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FED9" w14:textId="46BD4822" w:rsidR="00451ABF" w:rsidRPr="008055E1" w:rsidRDefault="002E4F16">
      <w:pPr>
        <w:pStyle w:val="aa"/>
        <w:spacing w:line="360" w:lineRule="auto"/>
        <w:rPr>
          <w:rtl/>
        </w:rPr>
      </w:pPr>
      <w:r>
        <w:rPr>
          <w:rFonts w:hint="cs"/>
          <w:rtl/>
        </w:rPr>
        <w:t>הקדימו פיהם לעיניהם</w:t>
      </w:r>
    </w:p>
    <w:p w14:paraId="4AEB9E55" w14:textId="7194EDE7" w:rsidR="002E4F16" w:rsidRDefault="002E4F16" w:rsidP="002E4F16">
      <w:pPr>
        <w:pStyle w:val="ab"/>
        <w:rPr>
          <w:rtl/>
        </w:rPr>
      </w:pPr>
      <w:r>
        <w:rPr>
          <w:rtl/>
        </w:rPr>
        <w:t>מסכת סנהדרין דף קד עמוד ב</w:t>
      </w:r>
      <w:r>
        <w:rPr>
          <w:rFonts w:hint="cs"/>
          <w:rtl/>
        </w:rPr>
        <w:t xml:space="preserve"> </w:t>
      </w:r>
      <w:r>
        <w:rPr>
          <w:rtl/>
        </w:rPr>
        <w:t>–</w:t>
      </w:r>
      <w:r>
        <w:rPr>
          <w:rFonts w:hint="cs"/>
          <w:rtl/>
        </w:rPr>
        <w:t xml:space="preserve"> </w:t>
      </w:r>
      <w:r w:rsidR="0067740B">
        <w:rPr>
          <w:rFonts w:hint="cs"/>
          <w:rtl/>
        </w:rPr>
        <w:t>המרגלים</w:t>
      </w:r>
    </w:p>
    <w:p w14:paraId="4C25FE5E" w14:textId="5ED42B59" w:rsidR="002E4F16" w:rsidRDefault="002E4F16" w:rsidP="002E4F16">
      <w:pPr>
        <w:pStyle w:val="ac"/>
        <w:rPr>
          <w:rtl/>
        </w:rPr>
      </w:pPr>
      <w:r>
        <w:rPr>
          <w:rFonts w:hint="cs"/>
          <w:rtl/>
        </w:rPr>
        <w:t>"</w:t>
      </w:r>
      <w:r>
        <w:rPr>
          <w:rtl/>
        </w:rPr>
        <w:t>פצו עליך פיהם</w:t>
      </w:r>
      <w:r>
        <w:rPr>
          <w:rFonts w:hint="cs"/>
          <w:rtl/>
        </w:rPr>
        <w:t xml:space="preserve"> כל אויביך" (איכה ב </w:t>
      </w:r>
      <w:proofErr w:type="spellStart"/>
      <w:r>
        <w:rPr>
          <w:rFonts w:hint="cs"/>
          <w:rtl/>
        </w:rPr>
        <w:t>טז</w:t>
      </w:r>
      <w:proofErr w:type="spellEnd"/>
      <w:r>
        <w:rPr>
          <w:rFonts w:hint="cs"/>
          <w:rtl/>
        </w:rPr>
        <w:t>).</w:t>
      </w:r>
      <w:r>
        <w:rPr>
          <w:rtl/>
        </w:rPr>
        <w:t xml:space="preserve"> אמר רבא אמר רבי יוחנן: בשביל מה הקדים פ"א לעי"ן</w:t>
      </w:r>
      <w:r w:rsidR="00D12055">
        <w:rPr>
          <w:rStyle w:val="a5"/>
          <w:rtl/>
        </w:rPr>
        <w:footnoteReference w:id="1"/>
      </w:r>
      <w:r>
        <w:rPr>
          <w:rtl/>
        </w:rPr>
        <w:t xml:space="preserve"> - בשביל מרגלים שאמרו בפיהם מה שלא ראו בעיניהם.</w:t>
      </w:r>
      <w:r w:rsidR="00700BB4">
        <w:rPr>
          <w:rStyle w:val="a5"/>
          <w:rtl/>
        </w:rPr>
        <w:footnoteReference w:id="2"/>
      </w:r>
    </w:p>
    <w:p w14:paraId="14E7406F" w14:textId="0FE683DE" w:rsidR="00DA794B" w:rsidRDefault="00DA794B" w:rsidP="00096A04">
      <w:pPr>
        <w:pStyle w:val="ab"/>
        <w:rPr>
          <w:rtl/>
        </w:rPr>
      </w:pPr>
      <w:r>
        <w:rPr>
          <w:rtl/>
        </w:rPr>
        <w:t>אלשיך איכה פרק א</w:t>
      </w:r>
      <w:r w:rsidR="00096A04">
        <w:rPr>
          <w:rFonts w:hint="cs"/>
          <w:rtl/>
        </w:rPr>
        <w:t xml:space="preserve"> </w:t>
      </w:r>
      <w:r w:rsidR="00096A04">
        <w:rPr>
          <w:rFonts w:cs="David"/>
          <w:rtl/>
        </w:rPr>
        <w:t>–</w:t>
      </w:r>
      <w:r w:rsidR="00096A04">
        <w:rPr>
          <w:rFonts w:hint="cs"/>
          <w:rtl/>
        </w:rPr>
        <w:t xml:space="preserve"> </w:t>
      </w:r>
      <w:r w:rsidR="0067740B">
        <w:rPr>
          <w:rFonts w:hint="cs"/>
          <w:rtl/>
        </w:rPr>
        <w:t>מ</w:t>
      </w:r>
      <w:r w:rsidR="005B2E40">
        <w:rPr>
          <w:rFonts w:hint="cs"/>
          <w:rtl/>
        </w:rPr>
        <w:t xml:space="preserve">ה מיוחד </w:t>
      </w:r>
      <w:r w:rsidR="0067740B">
        <w:rPr>
          <w:rFonts w:hint="cs"/>
          <w:rtl/>
        </w:rPr>
        <w:t>פרק א של איכה</w:t>
      </w:r>
    </w:p>
    <w:p w14:paraId="74D33055" w14:textId="4DACC2B6" w:rsidR="00DA794B" w:rsidRDefault="00DA794B" w:rsidP="00DA794B">
      <w:pPr>
        <w:pStyle w:val="ac"/>
        <w:rPr>
          <w:rtl/>
        </w:rPr>
      </w:pPr>
      <w:r>
        <w:rPr>
          <w:rtl/>
        </w:rPr>
        <w:t xml:space="preserve">והלא ראוי לשים לב מה </w:t>
      </w:r>
      <w:proofErr w:type="spellStart"/>
      <w:r>
        <w:rPr>
          <w:rtl/>
        </w:rPr>
        <w:t>נשתנית</w:t>
      </w:r>
      <w:proofErr w:type="spellEnd"/>
      <w:r>
        <w:rPr>
          <w:rtl/>
        </w:rPr>
        <w:t xml:space="preserve"> קינה זו,</w:t>
      </w:r>
      <w:r w:rsidR="0067740B">
        <w:rPr>
          <w:rStyle w:val="a5"/>
          <w:rtl/>
        </w:rPr>
        <w:footnoteReference w:id="3"/>
      </w:r>
      <w:r>
        <w:rPr>
          <w:rtl/>
        </w:rPr>
        <w:t xml:space="preserve"> כי לא קדמה בה פה לעין כי אם בשלש קינות שאחריה. ואחשבה כי על שפסוק הסמוך, צדיק הוא ה' כי </w:t>
      </w:r>
      <w:proofErr w:type="spellStart"/>
      <w:r>
        <w:rPr>
          <w:rtl/>
        </w:rPr>
        <w:t>פיהו</w:t>
      </w:r>
      <w:proofErr w:type="spellEnd"/>
      <w:r>
        <w:rPr>
          <w:rtl/>
        </w:rPr>
        <w:t xml:space="preserve"> מריתי, אמרו רבותינו ז"ל (איכה רבה א </w:t>
      </w:r>
      <w:proofErr w:type="spellStart"/>
      <w:r>
        <w:rPr>
          <w:rtl/>
        </w:rPr>
        <w:t>נג</w:t>
      </w:r>
      <w:proofErr w:type="spellEnd"/>
      <w:r w:rsidR="00B33037">
        <w:rPr>
          <w:rStyle w:val="a5"/>
          <w:rtl/>
        </w:rPr>
        <w:footnoteReference w:id="4"/>
      </w:r>
      <w:r>
        <w:rPr>
          <w:rtl/>
        </w:rPr>
        <w:t>) שאמרו יאשיהו</w:t>
      </w:r>
      <w:r w:rsidR="00096A04">
        <w:rPr>
          <w:rFonts w:hint="cs"/>
          <w:rtl/>
        </w:rPr>
        <w:t>.</w:t>
      </w:r>
      <w:r>
        <w:rPr>
          <w:rtl/>
        </w:rPr>
        <w:t xml:space="preserve"> שהטה ירמיה אזנו לשמוע מה היה אומר, כי ראה שפתיו נעות טרם צאת נפשו מאשר ירו בו המורים בקשת. ושמע שהיה אומר צדיק הוא ה' כי </w:t>
      </w:r>
      <w:proofErr w:type="spellStart"/>
      <w:r>
        <w:rPr>
          <w:rtl/>
        </w:rPr>
        <w:t>פיהו</w:t>
      </w:r>
      <w:proofErr w:type="spellEnd"/>
      <w:r>
        <w:rPr>
          <w:rtl/>
        </w:rPr>
        <w:t xml:space="preserve"> מריתי. על כן אחשוב שאם היה מקדים פה לעין וסומך מיד מאמר יאשיה צדיק הוא ה' כי </w:t>
      </w:r>
      <w:proofErr w:type="spellStart"/>
      <w:r>
        <w:rPr>
          <w:rtl/>
        </w:rPr>
        <w:t>פיהו</w:t>
      </w:r>
      <w:proofErr w:type="spellEnd"/>
      <w:r>
        <w:rPr>
          <w:rtl/>
        </w:rPr>
        <w:t xml:space="preserve"> מריתי היה נראה שעון הרמוז בסמוך היה מכלל מה שמרה את פיו, ולא כן היה. על כן לבל יראה שהוא חטא בזה, לא הקדים פה לעין מפני כבוד הצדיק:</w:t>
      </w:r>
      <w:r w:rsidR="007073E2">
        <w:rPr>
          <w:rStyle w:val="a5"/>
          <w:rtl/>
        </w:rPr>
        <w:footnoteReference w:id="5"/>
      </w:r>
    </w:p>
    <w:p w14:paraId="1941E27C" w14:textId="73F27EC1" w:rsidR="00005889" w:rsidRDefault="00005889" w:rsidP="00700BB4">
      <w:pPr>
        <w:pStyle w:val="ab"/>
        <w:rPr>
          <w:rtl/>
        </w:rPr>
      </w:pPr>
      <w:r>
        <w:rPr>
          <w:rtl/>
        </w:rPr>
        <w:t>ח</w:t>
      </w:r>
      <w:r w:rsidR="003C33D6">
        <w:rPr>
          <w:rFonts w:hint="cs"/>
          <w:rtl/>
        </w:rPr>
        <w:t>י</w:t>
      </w:r>
      <w:r>
        <w:rPr>
          <w:rtl/>
        </w:rPr>
        <w:t>דושי אגדות למהר"ל סנהדרין קד ע</w:t>
      </w:r>
      <w:r w:rsidR="00700BB4">
        <w:rPr>
          <w:rFonts w:hint="cs"/>
          <w:rtl/>
        </w:rPr>
        <w:t>"</w:t>
      </w:r>
      <w:r>
        <w:rPr>
          <w:rtl/>
        </w:rPr>
        <w:t>א</w:t>
      </w:r>
      <w:r w:rsidR="00700BB4">
        <w:rPr>
          <w:rFonts w:hint="cs"/>
          <w:rtl/>
        </w:rPr>
        <w:t xml:space="preserve"> </w:t>
      </w:r>
      <w:r w:rsidR="00700BB4">
        <w:rPr>
          <w:rFonts w:cs="David"/>
          <w:rtl/>
        </w:rPr>
        <w:t>–</w:t>
      </w:r>
      <w:r w:rsidR="00700BB4">
        <w:rPr>
          <w:rFonts w:hint="cs"/>
          <w:rtl/>
        </w:rPr>
        <w:t xml:space="preserve"> בין מציאות לדיבור (שקר)</w:t>
      </w:r>
    </w:p>
    <w:p w14:paraId="74208147" w14:textId="27D59D7A" w:rsidR="00005889" w:rsidRDefault="00005889" w:rsidP="00005889">
      <w:pPr>
        <w:pStyle w:val="ac"/>
        <w:rPr>
          <w:rtl/>
        </w:rPr>
      </w:pPr>
      <w:r>
        <w:rPr>
          <w:rtl/>
        </w:rPr>
        <w:t xml:space="preserve">והאיש המשכיל יבין </w:t>
      </w:r>
      <w:proofErr w:type="spellStart"/>
      <w:r>
        <w:rPr>
          <w:rtl/>
        </w:rPr>
        <w:t>בענין</w:t>
      </w:r>
      <w:proofErr w:type="spellEnd"/>
      <w:r>
        <w:rPr>
          <w:rtl/>
        </w:rPr>
        <w:t xml:space="preserve"> [</w:t>
      </w:r>
      <w:proofErr w:type="spellStart"/>
      <w:r>
        <w:rPr>
          <w:rtl/>
        </w:rPr>
        <w:t>קדימת</w:t>
      </w:r>
      <w:proofErr w:type="spellEnd"/>
      <w:r>
        <w:rPr>
          <w:rtl/>
        </w:rPr>
        <w:t>] קריא' פ"ה לעין, כי העין הוא המציאות שכך נראה ונמצא</w:t>
      </w:r>
      <w:r w:rsidR="007073E2">
        <w:rPr>
          <w:rFonts w:hint="cs"/>
          <w:rtl/>
        </w:rPr>
        <w:t>,</w:t>
      </w:r>
      <w:r>
        <w:rPr>
          <w:rtl/>
        </w:rPr>
        <w:t xml:space="preserve"> והפה הוא הדבור ואינו המציאות רק העין הוא המציאות</w:t>
      </w:r>
      <w:r w:rsidR="007073E2">
        <w:rPr>
          <w:rFonts w:hint="cs"/>
          <w:rtl/>
        </w:rPr>
        <w:t>.</w:t>
      </w:r>
      <w:r>
        <w:rPr>
          <w:rtl/>
        </w:rPr>
        <w:t xml:space="preserve"> וראוי שיהיו הדבור כמו שהוא נמצא במציאות</w:t>
      </w:r>
      <w:r w:rsidR="007073E2">
        <w:rPr>
          <w:rFonts w:hint="cs"/>
          <w:rtl/>
        </w:rPr>
        <w:t>.</w:t>
      </w:r>
      <w:r w:rsidR="007073E2">
        <w:rPr>
          <w:rStyle w:val="a5"/>
          <w:rtl/>
        </w:rPr>
        <w:footnoteReference w:id="6"/>
      </w:r>
      <w:r>
        <w:rPr>
          <w:rtl/>
        </w:rPr>
        <w:t xml:space="preserve"> אבל המרגלים הקדימו הפה לעין ולא היו </w:t>
      </w:r>
      <w:proofErr w:type="spellStart"/>
      <w:r>
        <w:rPr>
          <w:rtl/>
        </w:rPr>
        <w:t>נמשכין</w:t>
      </w:r>
      <w:proofErr w:type="spellEnd"/>
      <w:r>
        <w:rPr>
          <w:rtl/>
        </w:rPr>
        <w:t xml:space="preserve"> אחר האמת שהוא המציאות, </w:t>
      </w:r>
      <w:r w:rsidR="007073E2">
        <w:rPr>
          <w:rFonts w:hint="cs"/>
          <w:rtl/>
        </w:rPr>
        <w:t>...</w:t>
      </w:r>
      <w:r>
        <w:rPr>
          <w:rtl/>
        </w:rPr>
        <w:t xml:space="preserve"> וכל זה הגיע להם כאשר הקדימו הפה לעין ולא היו </w:t>
      </w:r>
      <w:proofErr w:type="spellStart"/>
      <w:r>
        <w:rPr>
          <w:rtl/>
        </w:rPr>
        <w:t>נמשכין</w:t>
      </w:r>
      <w:proofErr w:type="spellEnd"/>
      <w:r>
        <w:rPr>
          <w:rtl/>
        </w:rPr>
        <w:t xml:space="preserve"> </w:t>
      </w:r>
      <w:proofErr w:type="spellStart"/>
      <w:r>
        <w:rPr>
          <w:rtl/>
        </w:rPr>
        <w:t>בענין</w:t>
      </w:r>
      <w:proofErr w:type="spellEnd"/>
      <w:r>
        <w:rPr>
          <w:rtl/>
        </w:rPr>
        <w:t xml:space="preserve"> הארץ אל המציאות האמיתי, רק הם </w:t>
      </w:r>
      <w:proofErr w:type="spellStart"/>
      <w:r>
        <w:rPr>
          <w:rtl/>
        </w:rPr>
        <w:t>נמשכין</w:t>
      </w:r>
      <w:proofErr w:type="spellEnd"/>
      <w:r>
        <w:rPr>
          <w:rtl/>
        </w:rPr>
        <w:t xml:space="preserve"> אחר השקר שהוא בלתי נמצא והוא נעדר ולכך נעדר להם ג"כ הארץ והבן זה מאוד.</w:t>
      </w:r>
      <w:r w:rsidR="005B2E40">
        <w:rPr>
          <w:rStyle w:val="a5"/>
          <w:rtl/>
        </w:rPr>
        <w:footnoteReference w:id="7"/>
      </w:r>
    </w:p>
    <w:p w14:paraId="0AEE4D77" w14:textId="7A4F5A56" w:rsidR="006B0F7C" w:rsidRDefault="006B0F7C" w:rsidP="005B2E40">
      <w:pPr>
        <w:pStyle w:val="ab"/>
        <w:rPr>
          <w:rtl/>
        </w:rPr>
      </w:pPr>
      <w:r>
        <w:rPr>
          <w:rtl/>
        </w:rPr>
        <w:t xml:space="preserve">שו"ת </w:t>
      </w:r>
      <w:proofErr w:type="spellStart"/>
      <w:r>
        <w:rPr>
          <w:rtl/>
        </w:rPr>
        <w:t>הרמ"א</w:t>
      </w:r>
      <w:proofErr w:type="spellEnd"/>
      <w:r>
        <w:rPr>
          <w:rtl/>
        </w:rPr>
        <w:t xml:space="preserve"> סימן טו</w:t>
      </w:r>
      <w:r w:rsidR="005B2E40">
        <w:rPr>
          <w:rFonts w:hint="cs"/>
          <w:rtl/>
        </w:rPr>
        <w:t xml:space="preserve"> </w:t>
      </w:r>
      <w:r w:rsidR="005B2E40">
        <w:rPr>
          <w:rFonts w:cs="David"/>
          <w:rtl/>
        </w:rPr>
        <w:t>–</w:t>
      </w:r>
      <w:r w:rsidR="005B2E40">
        <w:rPr>
          <w:rFonts w:hint="cs"/>
          <w:rtl/>
        </w:rPr>
        <w:t xml:space="preserve"> עדים שקריים</w:t>
      </w:r>
    </w:p>
    <w:p w14:paraId="731E9423" w14:textId="2A1B6C14" w:rsidR="006B0F7C" w:rsidRDefault="006B0F7C" w:rsidP="006B0F7C">
      <w:pPr>
        <w:pStyle w:val="ac"/>
        <w:rPr>
          <w:rtl/>
        </w:rPr>
      </w:pPr>
      <w:r>
        <w:rPr>
          <w:rtl/>
        </w:rPr>
        <w:t xml:space="preserve">ועוד הובא לפני הדיינים כמה עדים שהוא ובני משפחתו רצו לשכור עדים שקרים להקדים פיהם למה שלא ראו עיניהם, אוי לאזנים ששמעו </w:t>
      </w:r>
      <w:proofErr w:type="spellStart"/>
      <w:r>
        <w:rPr>
          <w:rtl/>
        </w:rPr>
        <w:t>כזהיא</w:t>
      </w:r>
      <w:proofErr w:type="spellEnd"/>
      <w:r>
        <w:rPr>
          <w:rtl/>
        </w:rPr>
        <w:t xml:space="preserve"> ואיך יעלה על דעת שום רב וצורב</w:t>
      </w:r>
      <w:r>
        <w:rPr>
          <w:rStyle w:val="a5"/>
          <w:rtl/>
        </w:rPr>
        <w:footnoteReference w:id="8"/>
      </w:r>
      <w:r>
        <w:rPr>
          <w:rtl/>
        </w:rPr>
        <w:t xml:space="preserve"> </w:t>
      </w:r>
      <w:proofErr w:type="spellStart"/>
      <w:r>
        <w:rPr>
          <w:rtl/>
        </w:rPr>
        <w:t>לדונו</w:t>
      </w:r>
      <w:proofErr w:type="spellEnd"/>
      <w:r>
        <w:rPr>
          <w:rtl/>
        </w:rPr>
        <w:t xml:space="preserve"> לכף זכות</w:t>
      </w:r>
      <w:r>
        <w:rPr>
          <w:rFonts w:hint="cs"/>
          <w:rtl/>
        </w:rPr>
        <w:t>?</w:t>
      </w:r>
      <w:r w:rsidR="005B2E40">
        <w:rPr>
          <w:rStyle w:val="a5"/>
          <w:rtl/>
        </w:rPr>
        <w:footnoteReference w:id="9"/>
      </w:r>
    </w:p>
    <w:p w14:paraId="113582A4" w14:textId="48A8DDBD" w:rsidR="006B0F7C" w:rsidRPr="006D6BA2" w:rsidRDefault="006B0F7C" w:rsidP="006B0F7C">
      <w:pPr>
        <w:pStyle w:val="ac"/>
        <w:rPr>
          <w:rFonts w:ascii="Narkisim" w:hAnsi="Narkisim" w:cs="Narkisim"/>
          <w:szCs w:val="22"/>
          <w:rtl/>
        </w:rPr>
      </w:pPr>
      <w:r w:rsidRPr="006D6BA2">
        <w:rPr>
          <w:rFonts w:ascii="Narkisim" w:hAnsi="Narkisim" w:cs="Narkisim"/>
          <w:b/>
          <w:bCs/>
          <w:szCs w:val="22"/>
          <w:rtl/>
        </w:rPr>
        <w:lastRenderedPageBreak/>
        <w:t>מים ביניים:</w:t>
      </w:r>
      <w:r w:rsidRPr="006D6BA2">
        <w:rPr>
          <w:rFonts w:ascii="Narkisim" w:hAnsi="Narkisim" w:cs="Narkisim"/>
          <w:szCs w:val="22"/>
          <w:rtl/>
        </w:rPr>
        <w:t xml:space="preserve"> </w:t>
      </w:r>
      <w:r w:rsidR="006D6BA2">
        <w:rPr>
          <w:rFonts w:ascii="Narkisim" w:hAnsi="Narkisim" w:cs="Narkisim" w:hint="cs"/>
          <w:szCs w:val="22"/>
          <w:rtl/>
        </w:rPr>
        <w:t xml:space="preserve">לצערנו, לא מצאנו מקורות נוספים </w:t>
      </w:r>
      <w:r w:rsidRPr="006D6BA2">
        <w:rPr>
          <w:rFonts w:ascii="Narkisim" w:hAnsi="Narkisim" w:cs="Narkisim"/>
          <w:szCs w:val="22"/>
          <w:rtl/>
        </w:rPr>
        <w:t>שעושים שימוש במאמר הקדימו פיהם לעיניהם</w:t>
      </w:r>
      <w:r w:rsidR="006D6BA2">
        <w:rPr>
          <w:rFonts w:ascii="Narkisim" w:hAnsi="Narkisim" w:cs="Narkisim" w:hint="cs"/>
          <w:szCs w:val="22"/>
          <w:rtl/>
        </w:rPr>
        <w:t>. לפיכך</w:t>
      </w:r>
      <w:r w:rsidRPr="006D6BA2">
        <w:rPr>
          <w:rFonts w:ascii="Narkisim" w:hAnsi="Narkisim" w:cs="Narkisim"/>
          <w:szCs w:val="22"/>
          <w:rtl/>
        </w:rPr>
        <w:t xml:space="preserve">, </w:t>
      </w:r>
      <w:r w:rsidR="006D6BA2">
        <w:rPr>
          <w:rFonts w:ascii="Narkisim" w:hAnsi="Narkisim" w:cs="Narkisim" w:hint="cs"/>
          <w:szCs w:val="22"/>
          <w:rtl/>
        </w:rPr>
        <w:t xml:space="preserve">חשבנו לנסות את כוחנו אנו במציאת </w:t>
      </w:r>
      <w:r w:rsidRPr="006D6BA2">
        <w:rPr>
          <w:rFonts w:ascii="Narkisim" w:hAnsi="Narkisim" w:cs="Narkisim"/>
          <w:szCs w:val="22"/>
          <w:rtl/>
        </w:rPr>
        <w:t xml:space="preserve">מוטיב זה </w:t>
      </w:r>
      <w:r w:rsidR="006D6BA2">
        <w:rPr>
          <w:rFonts w:ascii="Narkisim" w:hAnsi="Narkisim" w:cs="Narkisim" w:hint="cs"/>
          <w:szCs w:val="22"/>
          <w:rtl/>
        </w:rPr>
        <w:t xml:space="preserve">במקורות נוספים, </w:t>
      </w:r>
      <w:r w:rsidRPr="006D6BA2">
        <w:rPr>
          <w:rFonts w:ascii="Narkisim" w:hAnsi="Narkisim" w:cs="Narkisim"/>
          <w:szCs w:val="22"/>
          <w:rtl/>
        </w:rPr>
        <w:t xml:space="preserve">גם אם </w:t>
      </w:r>
      <w:r w:rsidR="006D6BA2">
        <w:rPr>
          <w:rFonts w:ascii="Narkisim" w:hAnsi="Narkisim" w:cs="Narkisim" w:hint="cs"/>
          <w:szCs w:val="22"/>
          <w:rtl/>
        </w:rPr>
        <w:t xml:space="preserve">זה </w:t>
      </w:r>
      <w:r w:rsidRPr="006D6BA2">
        <w:rPr>
          <w:rFonts w:ascii="Narkisim" w:hAnsi="Narkisim" w:cs="Narkisim"/>
          <w:szCs w:val="22"/>
          <w:rtl/>
        </w:rPr>
        <w:t>באופן סמוי ומרומז.</w:t>
      </w:r>
    </w:p>
    <w:p w14:paraId="51C97EEA" w14:textId="5785A30A" w:rsidR="005A42FD" w:rsidRDefault="005A42FD" w:rsidP="00805DEA">
      <w:pPr>
        <w:pStyle w:val="ab"/>
        <w:rPr>
          <w:rtl/>
        </w:rPr>
      </w:pPr>
      <w:r>
        <w:rPr>
          <w:rtl/>
        </w:rPr>
        <w:t xml:space="preserve">במדבר פרשת בלק פרק </w:t>
      </w:r>
      <w:proofErr w:type="spellStart"/>
      <w:r>
        <w:rPr>
          <w:rtl/>
        </w:rPr>
        <w:t>כב</w:t>
      </w:r>
      <w:proofErr w:type="spellEnd"/>
      <w:r>
        <w:rPr>
          <w:rtl/>
        </w:rPr>
        <w:t xml:space="preserve"> </w:t>
      </w:r>
      <w:r w:rsidR="00805DEA">
        <w:rPr>
          <w:rtl/>
        </w:rPr>
        <w:t>–</w:t>
      </w:r>
      <w:r w:rsidR="00805DEA">
        <w:rPr>
          <w:rFonts w:hint="cs"/>
          <w:rtl/>
        </w:rPr>
        <w:t xml:space="preserve"> פי האתון</w:t>
      </w:r>
    </w:p>
    <w:p w14:paraId="0C5C3A3B" w14:textId="384C49E1" w:rsidR="009A5A4F" w:rsidRDefault="005A42FD" w:rsidP="009A5A4F">
      <w:pPr>
        <w:pStyle w:val="ac"/>
        <w:rPr>
          <w:rtl/>
        </w:rPr>
      </w:pPr>
      <w:r>
        <w:rPr>
          <w:rtl/>
        </w:rPr>
        <w:t>וַיִּפְתַּח ה' אֶת פִּי הָאָתוֹן וַתֹּאמֶר לְבִלְעָם מֶה עָשִׂיתִי לְךָ כִּי הִכִּיתַנִי זֶה שָׁלֹשׁ רְגָלִים:</w:t>
      </w:r>
      <w:r w:rsidR="009A5A4F">
        <w:rPr>
          <w:rFonts w:hint="cs"/>
          <w:rtl/>
        </w:rPr>
        <w:t xml:space="preserve"> </w:t>
      </w:r>
      <w:r>
        <w:rPr>
          <w:rtl/>
        </w:rPr>
        <w:t>וַיֹּאמֶר בִּלְעָם לָאָתוֹן כִּי הִתְעַלַּלְתְּ בִּי לוּ יֶשׁ חֶרֶב בְּיָדִי כִּי עַתָּה הֲרַגְתִּיךְ:</w:t>
      </w:r>
      <w:r w:rsidR="009A5A4F">
        <w:rPr>
          <w:rFonts w:hint="cs"/>
          <w:rtl/>
        </w:rPr>
        <w:t xml:space="preserve"> </w:t>
      </w:r>
      <w:r>
        <w:rPr>
          <w:rtl/>
        </w:rPr>
        <w:t xml:space="preserve">וַתֹּאמֶר הָאָתוֹן אֶל בִּלְעָם הֲלוֹא אָנֹכִי אֲתֹנְךָ אֲשֶׁר רָכַבְתָּ עָלַי מֵעוֹדְךָ עַד הַיּוֹם הַזֶּה </w:t>
      </w:r>
      <w:proofErr w:type="spellStart"/>
      <w:r>
        <w:rPr>
          <w:rtl/>
        </w:rPr>
        <w:t>הַהַסְכֵּן</w:t>
      </w:r>
      <w:proofErr w:type="spellEnd"/>
      <w:r>
        <w:rPr>
          <w:rtl/>
        </w:rPr>
        <w:t xml:space="preserve"> הִסְכַּנְתִּי לַעֲשׂוֹת לְךָ כֹּה וַיֹּאמֶר לֹא:</w:t>
      </w:r>
      <w:r w:rsidR="009A5A4F">
        <w:rPr>
          <w:rFonts w:hint="cs"/>
          <w:rtl/>
        </w:rPr>
        <w:t xml:space="preserve"> </w:t>
      </w:r>
      <w:proofErr w:type="spellStart"/>
      <w:r>
        <w:rPr>
          <w:rtl/>
        </w:rPr>
        <w:t>וַיְגַל</w:t>
      </w:r>
      <w:proofErr w:type="spellEnd"/>
      <w:r>
        <w:rPr>
          <w:rtl/>
        </w:rPr>
        <w:t xml:space="preserve"> ה' אֶת עֵינֵי בִלְעָם וַיַּרְא אֶת מַלְאַךְ ה' </w:t>
      </w:r>
      <w:proofErr w:type="spellStart"/>
      <w:r>
        <w:rPr>
          <w:rtl/>
        </w:rPr>
        <w:t>נִצָּב</w:t>
      </w:r>
      <w:proofErr w:type="spellEnd"/>
      <w:r>
        <w:rPr>
          <w:rtl/>
        </w:rPr>
        <w:t xml:space="preserve"> בַּדֶּרֶךְ וְחַרְבּוֹ שְׁלֻפָה בְּיָדוֹ </w:t>
      </w:r>
      <w:r w:rsidR="00986E42">
        <w:rPr>
          <w:rStyle w:val="a5"/>
          <w:rtl/>
        </w:rPr>
        <w:footnoteReference w:id="10"/>
      </w:r>
    </w:p>
    <w:p w14:paraId="1006E3F7" w14:textId="143B142B" w:rsidR="00CD39D9" w:rsidRDefault="00CD39D9" w:rsidP="00805DEA">
      <w:pPr>
        <w:pStyle w:val="ab"/>
        <w:rPr>
          <w:rtl/>
        </w:rPr>
      </w:pPr>
      <w:r>
        <w:rPr>
          <w:rtl/>
        </w:rPr>
        <w:t xml:space="preserve">מסכת גיטין דף </w:t>
      </w:r>
      <w:proofErr w:type="spellStart"/>
      <w:r>
        <w:rPr>
          <w:rtl/>
        </w:rPr>
        <w:t>נה</w:t>
      </w:r>
      <w:proofErr w:type="spellEnd"/>
      <w:r>
        <w:rPr>
          <w:rtl/>
        </w:rPr>
        <w:t xml:space="preserve"> עמוד ב</w:t>
      </w:r>
      <w:r w:rsidR="00441A01">
        <w:rPr>
          <w:rFonts w:hint="cs"/>
          <w:rtl/>
        </w:rPr>
        <w:t xml:space="preserve"> </w:t>
      </w:r>
      <w:r w:rsidR="00441A01">
        <w:rPr>
          <w:rtl/>
        </w:rPr>
        <w:t>–</w:t>
      </w:r>
      <w:r w:rsidR="00441A01">
        <w:rPr>
          <w:rFonts w:hint="cs"/>
          <w:rtl/>
        </w:rPr>
        <w:t xml:space="preserve"> </w:t>
      </w:r>
      <w:proofErr w:type="spellStart"/>
      <w:r w:rsidR="00441A01">
        <w:rPr>
          <w:rFonts w:hint="cs"/>
          <w:rtl/>
        </w:rPr>
        <w:t>קמצא</w:t>
      </w:r>
      <w:proofErr w:type="spellEnd"/>
      <w:r w:rsidR="00441A01">
        <w:rPr>
          <w:rFonts w:hint="cs"/>
          <w:rtl/>
        </w:rPr>
        <w:t xml:space="preserve"> ובר </w:t>
      </w:r>
      <w:proofErr w:type="spellStart"/>
      <w:r w:rsidR="00441A01">
        <w:rPr>
          <w:rFonts w:hint="cs"/>
          <w:rtl/>
        </w:rPr>
        <w:t>קמצא</w:t>
      </w:r>
      <w:proofErr w:type="spellEnd"/>
      <w:r w:rsidR="00441A01">
        <w:rPr>
          <w:rFonts w:hint="cs"/>
          <w:rtl/>
        </w:rPr>
        <w:t>, מי ראה ומי דיבר</w:t>
      </w:r>
    </w:p>
    <w:p w14:paraId="2AE90B92" w14:textId="0BE8C659" w:rsidR="00CD39D9" w:rsidRDefault="00BB5DF5" w:rsidP="00BB5DF5">
      <w:pPr>
        <w:pStyle w:val="ac"/>
        <w:rPr>
          <w:rtl/>
        </w:rPr>
      </w:pPr>
      <w:proofErr w:type="spellStart"/>
      <w:r>
        <w:rPr>
          <w:rFonts w:hint="cs"/>
          <w:rtl/>
        </w:rPr>
        <w:t>אקמצא</w:t>
      </w:r>
      <w:proofErr w:type="spellEnd"/>
      <w:r>
        <w:rPr>
          <w:rFonts w:hint="cs"/>
          <w:rtl/>
        </w:rPr>
        <w:t xml:space="preserve"> ובר </w:t>
      </w:r>
      <w:proofErr w:type="spellStart"/>
      <w:r>
        <w:rPr>
          <w:rFonts w:hint="cs"/>
          <w:rtl/>
        </w:rPr>
        <w:t>קמצא</w:t>
      </w:r>
      <w:proofErr w:type="spellEnd"/>
      <w:r>
        <w:rPr>
          <w:rFonts w:hint="cs"/>
          <w:rtl/>
        </w:rPr>
        <w:t xml:space="preserve"> חרוב ירושלים ... על </w:t>
      </w:r>
      <w:proofErr w:type="spellStart"/>
      <w:r>
        <w:rPr>
          <w:rFonts w:hint="cs"/>
          <w:rtl/>
        </w:rPr>
        <w:t>קמצא</w:t>
      </w:r>
      <w:proofErr w:type="spellEnd"/>
      <w:r>
        <w:rPr>
          <w:rFonts w:hint="cs"/>
          <w:rtl/>
        </w:rPr>
        <w:t xml:space="preserve"> ובר </w:t>
      </w:r>
      <w:proofErr w:type="spellStart"/>
      <w:r>
        <w:rPr>
          <w:rFonts w:hint="cs"/>
          <w:rtl/>
        </w:rPr>
        <w:t>קמצא</w:t>
      </w:r>
      <w:proofErr w:type="spellEnd"/>
      <w:r>
        <w:rPr>
          <w:rFonts w:hint="cs"/>
          <w:rtl/>
        </w:rPr>
        <w:t xml:space="preserve"> חרבה ירושלים</w:t>
      </w:r>
      <w:r>
        <w:rPr>
          <w:rStyle w:val="a5"/>
          <w:rtl/>
        </w:rPr>
        <w:footnoteReference w:id="11"/>
      </w:r>
      <w:r>
        <w:rPr>
          <w:rFonts w:hint="cs"/>
          <w:rtl/>
        </w:rPr>
        <w:t xml:space="preserve"> - אותו אדם שאוהבו היה </w:t>
      </w:r>
      <w:proofErr w:type="spellStart"/>
      <w:r>
        <w:rPr>
          <w:rFonts w:hint="cs"/>
          <w:rtl/>
        </w:rPr>
        <w:t>קמצא</w:t>
      </w:r>
      <w:proofErr w:type="spellEnd"/>
      <w:r>
        <w:rPr>
          <w:rFonts w:hint="cs"/>
          <w:rtl/>
        </w:rPr>
        <w:t xml:space="preserve"> ושונאו בר </w:t>
      </w:r>
      <w:proofErr w:type="spellStart"/>
      <w:r>
        <w:rPr>
          <w:rFonts w:hint="cs"/>
          <w:rtl/>
        </w:rPr>
        <w:t>קמצא</w:t>
      </w:r>
      <w:proofErr w:type="spellEnd"/>
      <w:r>
        <w:rPr>
          <w:rFonts w:hint="cs"/>
          <w:rtl/>
        </w:rPr>
        <w:t xml:space="preserve"> עשה סעודה (משתה). אמר לו לשמשו: לך והבא לי את </w:t>
      </w:r>
      <w:proofErr w:type="spellStart"/>
      <w:r>
        <w:rPr>
          <w:rFonts w:hint="cs"/>
          <w:rtl/>
        </w:rPr>
        <w:t>קמצא</w:t>
      </w:r>
      <w:proofErr w:type="spellEnd"/>
      <w:r>
        <w:rPr>
          <w:rFonts w:hint="cs"/>
          <w:rtl/>
        </w:rPr>
        <w:t xml:space="preserve">. הלך והביא לו את בר </w:t>
      </w:r>
      <w:proofErr w:type="spellStart"/>
      <w:r>
        <w:rPr>
          <w:rFonts w:hint="cs"/>
          <w:rtl/>
        </w:rPr>
        <w:t>קמצא</w:t>
      </w:r>
      <w:proofErr w:type="spellEnd"/>
      <w:r>
        <w:rPr>
          <w:rFonts w:hint="cs"/>
          <w:rtl/>
        </w:rPr>
        <w:t xml:space="preserve">. בא (בעל הסעודה) ומצאו (את בר </w:t>
      </w:r>
      <w:proofErr w:type="spellStart"/>
      <w:r>
        <w:rPr>
          <w:rFonts w:hint="cs"/>
          <w:rtl/>
        </w:rPr>
        <w:t>קמצא</w:t>
      </w:r>
      <w:proofErr w:type="spellEnd"/>
      <w:r>
        <w:rPr>
          <w:rFonts w:hint="cs"/>
          <w:rtl/>
        </w:rPr>
        <w:t>) שהיה יושב. אמר לו: הרי אדם זה שונא את אותו האיש,</w:t>
      </w:r>
      <w:r>
        <w:rPr>
          <w:rStyle w:val="a5"/>
          <w:rtl/>
        </w:rPr>
        <w:footnoteReference w:id="12"/>
      </w:r>
      <w:r>
        <w:rPr>
          <w:rFonts w:hint="cs"/>
          <w:rtl/>
        </w:rPr>
        <w:t xml:space="preserve"> מה אתה מבקש כאן? קום צא! אמר לו: הואיל ובאתי הנח לי ואתן לך דמי מה שאוכל ואשתה. אמר לו: לא. אמר לו: אתן לך דמי מחצית סעודתך! אמר לו: לא. אמר לו: אתן לך דמי כל סעודתך!</w:t>
      </w:r>
      <w:r>
        <w:rPr>
          <w:rStyle w:val="a5"/>
          <w:rtl/>
        </w:rPr>
        <w:footnoteReference w:id="13"/>
      </w:r>
      <w:r>
        <w:rPr>
          <w:rFonts w:hint="cs"/>
          <w:rtl/>
        </w:rPr>
        <w:t xml:space="preserve"> אמר לו: לא. תפסו בידו והעמידו והוציאו. אמר (בר </w:t>
      </w:r>
      <w:proofErr w:type="spellStart"/>
      <w:r>
        <w:rPr>
          <w:rFonts w:hint="cs"/>
          <w:rtl/>
        </w:rPr>
        <w:t>קמצא</w:t>
      </w:r>
      <w:proofErr w:type="spellEnd"/>
      <w:r>
        <w:rPr>
          <w:rFonts w:hint="cs"/>
          <w:rtl/>
        </w:rPr>
        <w:t>): הואיל וישבו שם רבנן ולא מחו בו, שמע מיניה (למד מכך) שנוח להם …</w:t>
      </w:r>
      <w:r w:rsidR="00CD39D9">
        <w:rPr>
          <w:rtl/>
        </w:rPr>
        <w:t xml:space="preserve">. </w:t>
      </w:r>
    </w:p>
    <w:p w14:paraId="05A53B74" w14:textId="3D68C4A2" w:rsidR="00CD39D9" w:rsidRDefault="00BB5DF5" w:rsidP="00CD39D9">
      <w:pPr>
        <w:pStyle w:val="ac"/>
        <w:rPr>
          <w:rtl/>
        </w:rPr>
      </w:pPr>
      <w:r>
        <w:rPr>
          <w:rFonts w:hint="cs"/>
          <w:rtl/>
        </w:rPr>
        <w:t xml:space="preserve">וההמשך שם ידוע שהלך בר </w:t>
      </w:r>
      <w:proofErr w:type="spellStart"/>
      <w:r>
        <w:rPr>
          <w:rFonts w:hint="cs"/>
          <w:rtl/>
        </w:rPr>
        <w:t>קמצא</w:t>
      </w:r>
      <w:proofErr w:type="spellEnd"/>
      <w:r>
        <w:rPr>
          <w:rFonts w:hint="cs"/>
          <w:rtl/>
        </w:rPr>
        <w:t xml:space="preserve"> והלשין לשלטונות הרומאים שיהודים מרדו בהם בטענה שלא יקריבו קרבן שהקיסר שלח והוא מתחכם ומטיל מום בקרבן:</w:t>
      </w:r>
      <w:r>
        <w:t xml:space="preserve"> </w:t>
      </w:r>
      <w:r>
        <w:rPr>
          <w:rFonts w:hint="cs"/>
          <w:rtl/>
        </w:rPr>
        <w:t>"</w:t>
      </w:r>
      <w:r w:rsidR="00CD39D9">
        <w:rPr>
          <w:rtl/>
        </w:rPr>
        <w:t>בניב שפתים, ו</w:t>
      </w:r>
      <w:r>
        <w:rPr>
          <w:rFonts w:hint="cs"/>
          <w:rtl/>
        </w:rPr>
        <w:t xml:space="preserve">יש אומרים </w:t>
      </w:r>
      <w:proofErr w:type="spellStart"/>
      <w:r w:rsidR="00CD39D9">
        <w:rPr>
          <w:rtl/>
        </w:rPr>
        <w:t>בדוקין</w:t>
      </w:r>
      <w:proofErr w:type="spellEnd"/>
      <w:r w:rsidR="00CD39D9">
        <w:rPr>
          <w:rtl/>
        </w:rPr>
        <w:t xml:space="preserve"> שבעין</w:t>
      </w:r>
      <w:r>
        <w:rPr>
          <w:rFonts w:hint="cs"/>
          <w:rtl/>
        </w:rPr>
        <w:t xml:space="preserve"> </w:t>
      </w:r>
      <w:r>
        <w:rPr>
          <w:rtl/>
        </w:rPr>
        <w:t>–</w:t>
      </w:r>
      <w:r>
        <w:rPr>
          <w:rFonts w:hint="cs"/>
          <w:rtl/>
        </w:rPr>
        <w:t xml:space="preserve"> מקום שלשיטתנו זהו מום ואילו לגבי הרומאים אין זה מום". חשבו חכמים </w:t>
      </w:r>
      <w:r w:rsidR="00CD39D9">
        <w:rPr>
          <w:rtl/>
        </w:rPr>
        <w:t>ל</w:t>
      </w:r>
      <w:r>
        <w:rPr>
          <w:rFonts w:hint="cs"/>
          <w:rtl/>
        </w:rPr>
        <w:t xml:space="preserve">הקריב </w:t>
      </w:r>
      <w:r w:rsidR="00CD39D9">
        <w:rPr>
          <w:rtl/>
        </w:rPr>
        <w:t>משום שלום מלכות</w:t>
      </w:r>
      <w:r>
        <w:rPr>
          <w:rFonts w:hint="cs"/>
          <w:rtl/>
        </w:rPr>
        <w:t xml:space="preserve">, אך </w:t>
      </w:r>
      <w:r w:rsidR="00CD39D9">
        <w:rPr>
          <w:rtl/>
        </w:rPr>
        <w:t xml:space="preserve">רבי זכריה בן </w:t>
      </w:r>
      <w:proofErr w:type="spellStart"/>
      <w:r w:rsidR="00CD39D9">
        <w:rPr>
          <w:rtl/>
        </w:rPr>
        <w:t>אבקולס</w:t>
      </w:r>
      <w:proofErr w:type="spellEnd"/>
      <w:r>
        <w:rPr>
          <w:rFonts w:hint="cs"/>
          <w:rtl/>
        </w:rPr>
        <w:t xml:space="preserve"> גוער בהם: "יאמרו </w:t>
      </w:r>
      <w:r w:rsidR="00CD39D9">
        <w:rPr>
          <w:rtl/>
        </w:rPr>
        <w:t xml:space="preserve">בעלי </w:t>
      </w:r>
      <w:proofErr w:type="spellStart"/>
      <w:r w:rsidR="00CD39D9">
        <w:rPr>
          <w:rtl/>
        </w:rPr>
        <w:t>מומין</w:t>
      </w:r>
      <w:proofErr w:type="spellEnd"/>
      <w:r w:rsidR="00CD39D9">
        <w:rPr>
          <w:rtl/>
        </w:rPr>
        <w:t xml:space="preserve"> </w:t>
      </w:r>
      <w:proofErr w:type="spellStart"/>
      <w:r w:rsidR="00CD39D9">
        <w:rPr>
          <w:rtl/>
        </w:rPr>
        <w:t>קריבין</w:t>
      </w:r>
      <w:proofErr w:type="spellEnd"/>
      <w:r w:rsidR="00CD39D9">
        <w:rPr>
          <w:rtl/>
        </w:rPr>
        <w:t xml:space="preserve"> לגבי מזבח</w:t>
      </w:r>
      <w:r>
        <w:rPr>
          <w:rFonts w:hint="cs"/>
          <w:rtl/>
        </w:rPr>
        <w:t>"</w:t>
      </w:r>
      <w:r w:rsidR="009A5A4F">
        <w:rPr>
          <w:rFonts w:hint="cs"/>
          <w:rtl/>
        </w:rPr>
        <w:t xml:space="preserve"> </w:t>
      </w:r>
      <w:proofErr w:type="spellStart"/>
      <w:r w:rsidR="009A5A4F">
        <w:rPr>
          <w:rFonts w:hint="cs"/>
          <w:rtl/>
        </w:rPr>
        <w:t>וכו</w:t>
      </w:r>
      <w:proofErr w:type="spellEnd"/>
      <w:r w:rsidR="009A5A4F">
        <w:rPr>
          <w:rFonts w:hint="cs"/>
          <w:rtl/>
        </w:rPr>
        <w:t>'. וסוף דבר ש</w:t>
      </w:r>
      <w:r w:rsidR="00CD39D9">
        <w:rPr>
          <w:rtl/>
        </w:rPr>
        <w:t>רבי יוחנן</w:t>
      </w:r>
      <w:r w:rsidR="009A5A4F">
        <w:rPr>
          <w:rFonts w:hint="cs"/>
          <w:rtl/>
        </w:rPr>
        <w:t xml:space="preserve"> מסכם</w:t>
      </w:r>
      <w:r w:rsidR="00CD39D9">
        <w:rPr>
          <w:rtl/>
        </w:rPr>
        <w:t xml:space="preserve">: </w:t>
      </w:r>
      <w:r w:rsidR="009A5A4F">
        <w:rPr>
          <w:rFonts w:hint="cs"/>
          <w:rtl/>
        </w:rPr>
        <w:t>"</w:t>
      </w:r>
      <w:r w:rsidR="00CD39D9">
        <w:rPr>
          <w:rtl/>
        </w:rPr>
        <w:t xml:space="preserve">ענוותנותו של רבי זכריה בן </w:t>
      </w:r>
      <w:proofErr w:type="spellStart"/>
      <w:r w:rsidR="00CD39D9">
        <w:rPr>
          <w:rtl/>
        </w:rPr>
        <w:t>אבקולס</w:t>
      </w:r>
      <w:proofErr w:type="spellEnd"/>
      <w:r w:rsidR="00CD39D9">
        <w:rPr>
          <w:rtl/>
        </w:rPr>
        <w:t>, החריבה את ביתנו, ושרפה את היכלנו, והגליתנו מארצנו</w:t>
      </w:r>
      <w:r w:rsidR="009A5A4F">
        <w:rPr>
          <w:rFonts w:hint="cs"/>
          <w:rtl/>
        </w:rPr>
        <w:t>"</w:t>
      </w:r>
      <w:r w:rsidR="00CD39D9">
        <w:rPr>
          <w:rtl/>
        </w:rPr>
        <w:t>.</w:t>
      </w:r>
      <w:r w:rsidR="009A5A4F">
        <w:rPr>
          <w:rStyle w:val="a5"/>
          <w:rtl/>
        </w:rPr>
        <w:footnoteReference w:id="14"/>
      </w:r>
    </w:p>
    <w:p w14:paraId="1E1881FD" w14:textId="77777777" w:rsidR="002E4F16" w:rsidRDefault="002E4F16" w:rsidP="002E4F16">
      <w:pPr>
        <w:pStyle w:val="ac"/>
        <w:rPr>
          <w:rtl/>
        </w:rPr>
      </w:pPr>
    </w:p>
    <w:p w14:paraId="39CD6944" w14:textId="3AFCB49B" w:rsidR="002E4F16" w:rsidRDefault="002E4F16" w:rsidP="002E4F16">
      <w:pPr>
        <w:pStyle w:val="ac"/>
        <w:rPr>
          <w:rtl/>
        </w:rPr>
      </w:pPr>
      <w:r>
        <w:rPr>
          <w:rFonts w:hint="cs"/>
          <w:rtl/>
        </w:rPr>
        <w:t xml:space="preserve">מה </w:t>
      </w:r>
      <w:proofErr w:type="spellStart"/>
      <w:r>
        <w:rPr>
          <w:rFonts w:hint="cs"/>
          <w:rtl/>
        </w:rPr>
        <w:t>שאברהמלה</w:t>
      </w:r>
      <w:proofErr w:type="spellEnd"/>
      <w:r>
        <w:rPr>
          <w:rFonts w:hint="cs"/>
          <w:rtl/>
        </w:rPr>
        <w:t xml:space="preserve"> אמר בשם ....</w:t>
      </w:r>
    </w:p>
    <w:p w14:paraId="3BF2F5B0" w14:textId="77777777" w:rsidR="00C760A1" w:rsidRDefault="00451ABF" w:rsidP="003E4C21">
      <w:pPr>
        <w:pStyle w:val="ad"/>
        <w:spacing w:before="240"/>
        <w:rPr>
          <w:rtl/>
        </w:rPr>
      </w:pPr>
      <w:r w:rsidRPr="008055E1">
        <w:rPr>
          <w:rFonts w:hint="cs"/>
          <w:rtl/>
        </w:rPr>
        <w:t xml:space="preserve">שנזכה </w:t>
      </w:r>
      <w:r w:rsidR="00DF78B6">
        <w:rPr>
          <w:rFonts w:hint="cs"/>
          <w:rtl/>
        </w:rPr>
        <w:t>לגאולה השלימה</w:t>
      </w:r>
    </w:p>
    <w:p w14:paraId="72C8293E" w14:textId="77777777" w:rsidR="00451ABF" w:rsidRPr="008055E1" w:rsidRDefault="00451ABF" w:rsidP="00C760A1">
      <w:pPr>
        <w:pStyle w:val="ad"/>
        <w:rPr>
          <w:rtl/>
        </w:rPr>
      </w:pPr>
      <w:r w:rsidRPr="008055E1">
        <w:rPr>
          <w:rFonts w:hint="cs"/>
          <w:rtl/>
        </w:rPr>
        <w:t xml:space="preserve">לנחמת ציון ובניין ירושלים </w:t>
      </w:r>
    </w:p>
    <w:p w14:paraId="03E3143B" w14:textId="77777777" w:rsidR="00C0149B" w:rsidRDefault="001F62FA" w:rsidP="00CF7565">
      <w:pPr>
        <w:pStyle w:val="ad"/>
        <w:rPr>
          <w:rtl/>
          <w:lang w:eastAsia="en-US"/>
        </w:rPr>
      </w:pPr>
      <w:r w:rsidRPr="008055E1">
        <w:rPr>
          <w:rtl/>
        </w:rPr>
        <w:t>מחלקי המים</w:t>
      </w:r>
    </w:p>
    <w:sectPr w:rsidR="00C0149B" w:rsidSect="00F723A8">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63CC" w14:textId="77777777" w:rsidR="00B55FCE" w:rsidRDefault="00B55FCE">
      <w:r>
        <w:separator/>
      </w:r>
    </w:p>
  </w:endnote>
  <w:endnote w:type="continuationSeparator" w:id="0">
    <w:p w14:paraId="51DCAA7F" w14:textId="77777777" w:rsidR="00B55FCE" w:rsidRDefault="00B5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938" w14:textId="77777777" w:rsidR="00FA62AE" w:rsidRPr="00F8747C" w:rsidRDefault="00FA62AE" w:rsidP="003A025E">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44106A">
      <w:rPr>
        <w:rStyle w:val="af1"/>
        <w:noProof/>
        <w:rtl/>
      </w:rPr>
      <w:t>6</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44106A">
      <w:rPr>
        <w:rStyle w:val="af1"/>
        <w:noProof/>
        <w:rtl/>
      </w:rPr>
      <w:t>6</w:t>
    </w:r>
    <w:r w:rsidRPr="00F8747C">
      <w:rPr>
        <w:rStyle w:val="af1"/>
      </w:rPr>
      <w:fldChar w:fldCharType="end"/>
    </w:r>
  </w:p>
  <w:p w14:paraId="185939A1" w14:textId="77777777" w:rsidR="00FA62AE" w:rsidRDefault="00FA62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D2E8" w14:textId="77777777" w:rsidR="00B55FCE" w:rsidRDefault="00B55FCE">
      <w:r>
        <w:separator/>
      </w:r>
    </w:p>
  </w:footnote>
  <w:footnote w:type="continuationSeparator" w:id="0">
    <w:p w14:paraId="054B7753" w14:textId="77777777" w:rsidR="00B55FCE" w:rsidRDefault="00B55FCE">
      <w:r>
        <w:continuationSeparator/>
      </w:r>
    </w:p>
  </w:footnote>
  <w:footnote w:id="1">
    <w:p w14:paraId="4BBDC0B4" w14:textId="11561398" w:rsidR="00D12055" w:rsidRDefault="00D12055" w:rsidP="00D12055">
      <w:pPr>
        <w:pStyle w:val="a3"/>
        <w:rPr>
          <w:rtl/>
        </w:rPr>
      </w:pPr>
      <w:r>
        <w:rPr>
          <w:rStyle w:val="a5"/>
        </w:rPr>
        <w:footnoteRef/>
      </w:r>
      <w:r>
        <w:rPr>
          <w:rtl/>
        </w:rPr>
        <w:t xml:space="preserve"> רש"י</w:t>
      </w:r>
      <w:r>
        <w:rPr>
          <w:rFonts w:hint="cs"/>
          <w:rtl/>
        </w:rPr>
        <w:t xml:space="preserve"> שם: "</w:t>
      </w:r>
      <w:r>
        <w:rPr>
          <w:rtl/>
        </w:rPr>
        <w:t>מפני מה הקדים פ"א לעי"ן - ברוב האלפא ביתא שבאיכה</w:t>
      </w:r>
      <w:r>
        <w:rPr>
          <w:rFonts w:hint="cs"/>
          <w:rtl/>
        </w:rPr>
        <w:t>"</w:t>
      </w:r>
      <w:r>
        <w:rPr>
          <w:rtl/>
        </w:rPr>
        <w:t>.</w:t>
      </w:r>
      <w:r>
        <w:rPr>
          <w:rFonts w:hint="cs"/>
          <w:rtl/>
        </w:rPr>
        <w:t xml:space="preserve"> נסביר. פרקים א-ד במגילת איכה מסודרים עפ"י סדר אל"ף-בי"ת, אך בהבדל מסוים. בפרק א הסדר הוא סמ"ך-עי"ן-פ"א כפי שמקובל היום, אך בפרקים ב-ד הסדר הוא: סמ"ך-פ"א-עי"ן. הייתה כנראה שיטה כזו שבה האות פ"א הקדימה את עי"ן בסדר האל"ף-בי"ת, שיטה שהדרגה נדחתה מפני השיטה הנוהגת כיום. סימוכין לכך ניתן למצוא למשל בתהלים לד, משלי לא, שמסודרים עפ"י האל"ף-בי"ת ואם תחליף את סדר הפסוקים בין עי"ן לפ"א יהיו הדברים ברורים יותר. ראו </w:t>
      </w:r>
      <w:hyperlink r:id="rId1" w:history="1">
        <w:r w:rsidRPr="00F92AB0">
          <w:rPr>
            <w:rStyle w:val="Hyperlink"/>
            <w:rFonts w:hint="cs"/>
            <w:rtl/>
          </w:rPr>
          <w:t>מאמר לשוני בנושא זה</w:t>
        </w:r>
      </w:hyperlink>
      <w:r>
        <w:rPr>
          <w:rFonts w:hint="cs"/>
          <w:rtl/>
        </w:rPr>
        <w:t>.</w:t>
      </w:r>
    </w:p>
  </w:footnote>
  <w:footnote w:id="2">
    <w:p w14:paraId="0C8FDCBD" w14:textId="2BB8611C" w:rsidR="00700BB4" w:rsidRDefault="00700BB4" w:rsidP="00700BB4">
      <w:pPr>
        <w:pStyle w:val="a3"/>
        <w:rPr>
          <w:rtl/>
        </w:rPr>
      </w:pPr>
      <w:r>
        <w:rPr>
          <w:rStyle w:val="a5"/>
        </w:rPr>
        <w:footnoteRef/>
      </w:r>
      <w:r>
        <w:rPr>
          <w:rtl/>
        </w:rPr>
        <w:t xml:space="preserve"> </w:t>
      </w:r>
      <w:r>
        <w:rPr>
          <w:rFonts w:hint="cs"/>
          <w:rtl/>
        </w:rPr>
        <w:t>רש"י: "</w:t>
      </w:r>
      <w:r>
        <w:rPr>
          <w:rtl/>
        </w:rPr>
        <w:t>מפני מרגלים - שהקדימו מאמר פיהם עד שלא ראו בעין</w:t>
      </w:r>
      <w:r>
        <w:rPr>
          <w:rFonts w:hint="cs"/>
          <w:rtl/>
        </w:rPr>
        <w:t>". שינוי הסדר בין עי"ן לפ"א משמש לדרשה על המרגלים שהקדימו את פיהם לעיניהם ואמרו דברים שלא ראו (או שראו אבל לא נתנו לבם להבין ומיהרו לפצות פה). ראו דרשה זו גם ב</w:t>
      </w:r>
      <w:r>
        <w:rPr>
          <w:rtl/>
        </w:rPr>
        <w:t xml:space="preserve">איכה רבה </w:t>
      </w:r>
      <w:r>
        <w:rPr>
          <w:rFonts w:hint="cs"/>
          <w:rtl/>
        </w:rPr>
        <w:t xml:space="preserve"> </w:t>
      </w:r>
      <w:r>
        <w:rPr>
          <w:rtl/>
        </w:rPr>
        <w:t xml:space="preserve">פרשה </w:t>
      </w:r>
      <w:r>
        <w:rPr>
          <w:rFonts w:hint="cs"/>
          <w:rtl/>
        </w:rPr>
        <w:t xml:space="preserve"> ב: "</w:t>
      </w:r>
      <w:r>
        <w:rPr>
          <w:rtl/>
        </w:rPr>
        <w:t>פצו עליך פיהם, למה הקדים פ"ה לעי"ן</w:t>
      </w:r>
      <w:r>
        <w:rPr>
          <w:rFonts w:hint="cs"/>
          <w:rtl/>
        </w:rPr>
        <w:t>?</w:t>
      </w:r>
      <w:r>
        <w:rPr>
          <w:rtl/>
        </w:rPr>
        <w:t xml:space="preserve"> לפי שהיו אומרים בפיהם מה שלא ראו בעיניהם</w:t>
      </w:r>
      <w:r>
        <w:rPr>
          <w:rFonts w:hint="cs"/>
          <w:rtl/>
        </w:rPr>
        <w:t>"</w:t>
      </w:r>
      <w:r>
        <w:rPr>
          <w:rtl/>
        </w:rPr>
        <w:t>.</w:t>
      </w:r>
      <w:r>
        <w:rPr>
          <w:rFonts w:hint="cs"/>
          <w:rtl/>
        </w:rPr>
        <w:t xml:space="preserve"> הקשר לאיכה הוא כמובן תשעה באב שנקבע כיום שבו חזרו המרגלים והוציאו את דיבת הארץ ועליהם אמרו חז"ל: "</w:t>
      </w:r>
      <w:r>
        <w:rPr>
          <w:rtl/>
        </w:rPr>
        <w:t>אתם בכיתם בכיה של חנם - ואני קובע לכם בכיה לדורות</w:t>
      </w:r>
      <w:r>
        <w:rPr>
          <w:rFonts w:hint="cs"/>
          <w:rtl/>
        </w:rPr>
        <w:t xml:space="preserve">" (תענית </w:t>
      </w:r>
      <w:proofErr w:type="spellStart"/>
      <w:r>
        <w:rPr>
          <w:rFonts w:hint="cs"/>
          <w:rtl/>
        </w:rPr>
        <w:t>כט</w:t>
      </w:r>
      <w:proofErr w:type="spellEnd"/>
      <w:r>
        <w:rPr>
          <w:rFonts w:hint="cs"/>
          <w:rtl/>
        </w:rPr>
        <w:t xml:space="preserve"> ע"א, סנהדרין קד ע"ב, איכה רבה בובר פרשה א ועוד). ואפשר שבדרשה זו סונט הדרשן לא רק במרגלים, אלא כנראה גם במי שהפך את סדר האל"ף-בי"ת והקדים את הפ"א לעי"ן (ומבקש באמצעות הקישור למרגלים לעקור שיטה זו). מי שמקדים את פיו לעיניו (ולאוזניו) הוא כמי מי מוציא דיבה ודברי דופי.</w:t>
      </w:r>
    </w:p>
  </w:footnote>
  <w:footnote w:id="3">
    <w:p w14:paraId="23AAE1C5" w14:textId="36BFC4C3" w:rsidR="0067740B" w:rsidRDefault="0067740B">
      <w:pPr>
        <w:pStyle w:val="a3"/>
        <w:rPr>
          <w:rtl/>
        </w:rPr>
      </w:pPr>
      <w:r>
        <w:rPr>
          <w:rStyle w:val="a5"/>
        </w:rPr>
        <w:footnoteRef/>
      </w:r>
      <w:r>
        <w:rPr>
          <w:rtl/>
        </w:rPr>
        <w:t xml:space="preserve"> </w:t>
      </w:r>
      <w:r>
        <w:rPr>
          <w:rFonts w:hint="cs"/>
          <w:rtl/>
        </w:rPr>
        <w:t xml:space="preserve">פרק א של מגילת איכה. כל פרק הוא קינה בפני עצמה. מקובל במחקר </w:t>
      </w:r>
      <w:hyperlink r:id="rId2" w:history="1">
        <w:r w:rsidRPr="00B33037">
          <w:rPr>
            <w:rStyle w:val="Hyperlink"/>
            <w:rFonts w:hint="cs"/>
            <w:rtl/>
          </w:rPr>
          <w:t>שחלוקת התנ"ך לפרקים</w:t>
        </w:r>
      </w:hyperlink>
      <w:r>
        <w:rPr>
          <w:rFonts w:hint="cs"/>
          <w:rtl/>
        </w:rPr>
        <w:t xml:space="preserve"> איננה "יהודית" ונעשתה ע"י התיאולוג הנוצרי סטיבן </w:t>
      </w:r>
      <w:proofErr w:type="spellStart"/>
      <w:r>
        <w:rPr>
          <w:rFonts w:hint="cs"/>
          <w:rtl/>
        </w:rPr>
        <w:t>לנגטון</w:t>
      </w:r>
      <w:proofErr w:type="spellEnd"/>
      <w:r>
        <w:rPr>
          <w:rFonts w:hint="cs"/>
          <w:rtl/>
        </w:rPr>
        <w:t xml:space="preserve"> (מאה 13 אנגליה). אבל החלוקה לפרקים </w:t>
      </w:r>
      <w:r w:rsidR="00B33037">
        <w:rPr>
          <w:rFonts w:hint="cs"/>
          <w:rtl/>
        </w:rPr>
        <w:t xml:space="preserve">(לקינות) </w:t>
      </w:r>
      <w:r>
        <w:rPr>
          <w:rFonts w:hint="cs"/>
          <w:rtl/>
        </w:rPr>
        <w:t>של מגילת איכה</w:t>
      </w:r>
      <w:r w:rsidR="00B33037">
        <w:rPr>
          <w:rFonts w:hint="cs"/>
          <w:rtl/>
        </w:rPr>
        <w:t xml:space="preserve"> נראית טבעית וקדומה.</w:t>
      </w:r>
    </w:p>
  </w:footnote>
  <w:footnote w:id="4">
    <w:p w14:paraId="3701E983" w14:textId="07E3CA69" w:rsidR="00B33037" w:rsidRDefault="00B33037">
      <w:pPr>
        <w:pStyle w:val="a3"/>
      </w:pPr>
      <w:r>
        <w:rPr>
          <w:rStyle w:val="a5"/>
        </w:rPr>
        <w:footnoteRef/>
      </w:r>
      <w:r>
        <w:rPr>
          <w:rtl/>
        </w:rPr>
        <w:t xml:space="preserve"> </w:t>
      </w:r>
      <w:r>
        <w:rPr>
          <w:rFonts w:hint="cs"/>
          <w:rtl/>
        </w:rPr>
        <w:t xml:space="preserve">ראו גם גמרא תענית </w:t>
      </w:r>
      <w:proofErr w:type="spellStart"/>
      <w:r>
        <w:rPr>
          <w:rFonts w:hint="cs"/>
          <w:rtl/>
        </w:rPr>
        <w:t>כב</w:t>
      </w:r>
      <w:proofErr w:type="spellEnd"/>
      <w:r>
        <w:rPr>
          <w:rFonts w:hint="cs"/>
          <w:rtl/>
        </w:rPr>
        <w:t xml:space="preserve"> ב.</w:t>
      </w:r>
    </w:p>
  </w:footnote>
  <w:footnote w:id="5">
    <w:p w14:paraId="77B6AC76" w14:textId="28C58CC7" w:rsidR="007073E2" w:rsidRDefault="007073E2" w:rsidP="007073E2">
      <w:pPr>
        <w:pStyle w:val="a3"/>
        <w:rPr>
          <w:rtl/>
        </w:rPr>
      </w:pPr>
      <w:r>
        <w:rPr>
          <w:rStyle w:val="a5"/>
        </w:rPr>
        <w:footnoteRef/>
      </w:r>
      <w:r>
        <w:rPr>
          <w:rtl/>
        </w:rPr>
        <w:t xml:space="preserve"> </w:t>
      </w:r>
      <w:r>
        <w:rPr>
          <w:rFonts w:hint="cs"/>
          <w:rtl/>
        </w:rPr>
        <w:t xml:space="preserve">אם מצאה הגמרא הסבר נאה מדוע הוקדמה האות פ"ה לעי"ן בפרקי מגילת איכה, למה רק בשלושה הפרקים האחרונים, שואל אלשיך? למה לא גם בפרק א? ותשובתו בהסתמך על מדרש איכה רבה שלאחר הפסוקים המתחילים באותיות עי"ן </w:t>
      </w:r>
      <w:proofErr w:type="spellStart"/>
      <w:r>
        <w:rPr>
          <w:rFonts w:hint="cs"/>
          <w:rtl/>
        </w:rPr>
        <w:t>ופ"ה</w:t>
      </w:r>
      <w:proofErr w:type="spellEnd"/>
      <w:r>
        <w:rPr>
          <w:rFonts w:hint="cs"/>
          <w:rtl/>
        </w:rPr>
        <w:t xml:space="preserve">, מצוי הפסוק המתחיל באות צד"י: "צדיק הוא ה' כי </w:t>
      </w:r>
      <w:proofErr w:type="spellStart"/>
      <w:r>
        <w:rPr>
          <w:rFonts w:hint="cs"/>
          <w:rtl/>
        </w:rPr>
        <w:t>פיהו</w:t>
      </w:r>
      <w:proofErr w:type="spellEnd"/>
      <w:r>
        <w:rPr>
          <w:rFonts w:hint="cs"/>
          <w:rtl/>
        </w:rPr>
        <w:t xml:space="preserve"> מריתי" שמיוחס ליאשיהו המלך לפני מותו במלחמה (ראו דברי הימים ב פרק לה). אילו גם בפרק א של איכה היו מקדימים את האות פ"ע לעי"ן , היינו חושבים שווידוי זה של יאשיהו איננו כנה.</w:t>
      </w:r>
    </w:p>
  </w:footnote>
  <w:footnote w:id="6">
    <w:p w14:paraId="42FB87DB" w14:textId="20FE820B" w:rsidR="007073E2" w:rsidRDefault="007073E2">
      <w:pPr>
        <w:pStyle w:val="a3"/>
        <w:rPr>
          <w:rtl/>
        </w:rPr>
      </w:pPr>
      <w:r>
        <w:rPr>
          <w:rStyle w:val="a5"/>
        </w:rPr>
        <w:footnoteRef/>
      </w:r>
      <w:r>
        <w:rPr>
          <w:rtl/>
        </w:rPr>
        <w:t xml:space="preserve"> </w:t>
      </w:r>
      <w:r>
        <w:rPr>
          <w:rFonts w:hint="cs"/>
          <w:rtl/>
        </w:rPr>
        <w:t xml:space="preserve">אם </w:t>
      </w:r>
      <w:proofErr w:type="spellStart"/>
      <w:r>
        <w:rPr>
          <w:rFonts w:hint="cs"/>
          <w:rtl/>
        </w:rPr>
        <w:t>הפ"ה</w:t>
      </w:r>
      <w:proofErr w:type="spellEnd"/>
      <w:r>
        <w:rPr>
          <w:rFonts w:hint="cs"/>
          <w:rtl/>
        </w:rPr>
        <w:t xml:space="preserve"> אומר רק מה שראתה העי"ן, אזי הדיבור הוא מציאות.</w:t>
      </w:r>
    </w:p>
  </w:footnote>
  <w:footnote w:id="7">
    <w:p w14:paraId="49070911" w14:textId="7F318F24" w:rsidR="005B2E40" w:rsidRDefault="005B2E40">
      <w:pPr>
        <w:pStyle w:val="a3"/>
        <w:rPr>
          <w:rtl/>
        </w:rPr>
      </w:pPr>
      <w:r>
        <w:rPr>
          <w:rStyle w:val="a5"/>
        </w:rPr>
        <w:footnoteRef/>
      </w:r>
      <w:r>
        <w:rPr>
          <w:rtl/>
        </w:rPr>
        <w:t xml:space="preserve"> </w:t>
      </w:r>
      <w:r>
        <w:rPr>
          <w:rFonts w:hint="cs"/>
          <w:rtl/>
        </w:rPr>
        <w:t>אנו יודעים שגם הראייה איננה משקפת תמיד את "המציאות" ולעתים מתעתעת ועל גבול הדמיון (החל מהרמב"ם וכלה באיינשטיין), אבל עדיין עדות ראייה תיחשב בבית משפט, בעוד שדיבור ללא תשתית עובדתית מכלי ראשון איננה מוכיחה דבר. המרגלים נשלחו לראות את הארץ ("</w:t>
      </w:r>
      <w:r>
        <w:rPr>
          <w:rtl/>
        </w:rPr>
        <w:t>וּרְאִיתֶם אֶת הָאָרֶץ מַה הִוא</w:t>
      </w:r>
      <w:r>
        <w:rPr>
          <w:rFonts w:hint="cs"/>
          <w:rtl/>
        </w:rPr>
        <w:t>", במדבר</w:t>
      </w:r>
      <w:r w:rsidRPr="00080E16">
        <w:rPr>
          <w:rtl/>
        </w:rPr>
        <w:t xml:space="preserve"> </w:t>
      </w:r>
      <w:proofErr w:type="spellStart"/>
      <w:r>
        <w:rPr>
          <w:rFonts w:hint="cs"/>
          <w:rtl/>
        </w:rPr>
        <w:t>יג</w:t>
      </w:r>
      <w:proofErr w:type="spellEnd"/>
      <w:r>
        <w:rPr>
          <w:rFonts w:hint="cs"/>
          <w:rtl/>
        </w:rPr>
        <w:t xml:space="preserve"> </w:t>
      </w:r>
      <w:proofErr w:type="spellStart"/>
      <w:r>
        <w:rPr>
          <w:rFonts w:hint="cs"/>
          <w:rtl/>
        </w:rPr>
        <w:t>יח</w:t>
      </w:r>
      <w:proofErr w:type="spellEnd"/>
      <w:r>
        <w:rPr>
          <w:rFonts w:hint="cs"/>
          <w:rtl/>
        </w:rPr>
        <w:t xml:space="preserve">), אך העדיפו לדווח גם דברים שלא ראו ושעתידים לקרות לפי דעתם). לפיכך, נגזר אליהם שלא ייכנסו לארץ, היינו לא יזכו לאותה מציאות שכחשו בה. הקדמת </w:t>
      </w:r>
      <w:proofErr w:type="spellStart"/>
      <w:r>
        <w:rPr>
          <w:rFonts w:hint="cs"/>
          <w:rtl/>
        </w:rPr>
        <w:t>הפ"ה</w:t>
      </w:r>
      <w:proofErr w:type="spellEnd"/>
      <w:r>
        <w:rPr>
          <w:rFonts w:hint="cs"/>
          <w:rtl/>
        </w:rPr>
        <w:t xml:space="preserve"> לעי"ן כמוה כשקר עפ"י מהר"ל.</w:t>
      </w:r>
    </w:p>
  </w:footnote>
  <w:footnote w:id="8">
    <w:p w14:paraId="7725EE9C" w14:textId="77777777" w:rsidR="006B0F7C" w:rsidRDefault="006B0F7C" w:rsidP="006B0F7C">
      <w:pPr>
        <w:pStyle w:val="a3"/>
      </w:pPr>
      <w:r>
        <w:rPr>
          <w:rStyle w:val="a5"/>
        </w:rPr>
        <w:footnoteRef/>
      </w:r>
      <w:r>
        <w:rPr>
          <w:rtl/>
        </w:rPr>
        <w:t xml:space="preserve"> </w:t>
      </w:r>
      <w:r>
        <w:rPr>
          <w:rFonts w:hint="cs"/>
          <w:rtl/>
        </w:rPr>
        <w:t>צורב- כינוי לתלמיד חכם. ראו "צורבא מדרבנן".</w:t>
      </w:r>
    </w:p>
  </w:footnote>
  <w:footnote w:id="9">
    <w:p w14:paraId="790DFAE0" w14:textId="12A7F37B" w:rsidR="005B2E40" w:rsidRDefault="005B2E40" w:rsidP="005B2E40">
      <w:pPr>
        <w:pStyle w:val="a3"/>
        <w:rPr>
          <w:rtl/>
        </w:rPr>
      </w:pPr>
      <w:r>
        <w:rPr>
          <w:rStyle w:val="a5"/>
        </w:rPr>
        <w:footnoteRef/>
      </w:r>
      <w:r>
        <w:rPr>
          <w:rtl/>
        </w:rPr>
        <w:t xml:space="preserve"> </w:t>
      </w:r>
      <w:r>
        <w:rPr>
          <w:rFonts w:hint="cs"/>
          <w:rtl/>
        </w:rPr>
        <w:t xml:space="preserve">הנה מצטרפת האוזן לעי"ן </w:t>
      </w:r>
      <w:proofErr w:type="spellStart"/>
      <w:r>
        <w:rPr>
          <w:rFonts w:hint="cs"/>
          <w:rtl/>
        </w:rPr>
        <w:t>ולפ"ה</w:t>
      </w:r>
      <w:proofErr w:type="spellEnd"/>
      <w:r>
        <w:rPr>
          <w:rFonts w:hint="cs"/>
          <w:rtl/>
        </w:rPr>
        <w:t xml:space="preserve">. אוי לה לאוזן </w:t>
      </w:r>
      <w:r>
        <w:rPr>
          <w:rFonts w:cs="David"/>
          <w:rtl/>
        </w:rPr>
        <w:t>–</w:t>
      </w:r>
      <w:r>
        <w:rPr>
          <w:rFonts w:hint="cs"/>
          <w:rtl/>
        </w:rPr>
        <w:t xml:space="preserve"> שהיא אמצעי מרכזי להבאת מידע לשופט </w:t>
      </w:r>
      <w:r>
        <w:rPr>
          <w:rFonts w:cs="David"/>
          <w:rtl/>
        </w:rPr>
        <w:t>–</w:t>
      </w:r>
      <w:r>
        <w:rPr>
          <w:rFonts w:hint="cs"/>
          <w:rtl/>
        </w:rPr>
        <w:t xml:space="preserve"> אם מובא לפניה מידע </w:t>
      </w:r>
      <w:proofErr w:type="spellStart"/>
      <w:r>
        <w:rPr>
          <w:rFonts w:hint="cs"/>
          <w:rtl/>
        </w:rPr>
        <w:t>שהפ"ה</w:t>
      </w:r>
      <w:proofErr w:type="spellEnd"/>
      <w:r>
        <w:rPr>
          <w:rFonts w:hint="cs"/>
          <w:rtl/>
        </w:rPr>
        <w:t xml:space="preserve"> תיאר אך בלי ביסוס של העי"ן. או נאמר שמצופה מאזניהם של הדיינים שתהיה מספיק רגישה לאבחן אם המידע המובא לפניה הוא תוצר שקרי של </w:t>
      </w:r>
      <w:proofErr w:type="spellStart"/>
      <w:r>
        <w:rPr>
          <w:rFonts w:hint="cs"/>
          <w:rtl/>
        </w:rPr>
        <w:t>הפ"ה</w:t>
      </w:r>
      <w:proofErr w:type="spellEnd"/>
      <w:r>
        <w:rPr>
          <w:rFonts w:hint="cs"/>
          <w:rtl/>
        </w:rPr>
        <w:t xml:space="preserve"> ללא ביסוס העי"ן, או שהוא מידע מוצק בו </w:t>
      </w:r>
      <w:proofErr w:type="spellStart"/>
      <w:r>
        <w:rPr>
          <w:rFonts w:hint="cs"/>
          <w:rtl/>
        </w:rPr>
        <w:t>הפ"ה</w:t>
      </w:r>
      <w:proofErr w:type="spellEnd"/>
      <w:r>
        <w:rPr>
          <w:rFonts w:hint="cs"/>
          <w:rtl/>
        </w:rPr>
        <w:t xml:space="preserve"> רק מנסח ומסביר מה ראתה העי"ן? נראה שכל זה נוגע מחד גיסא, ביכולת של עורכי דין מיומנים ומשופשפים היטב לשאת נאומי 'חוצבי להבות'; ומאידך גיסא בעולם הבינה המלאכותית שיוצר "מציאויות" מדומות.</w:t>
      </w:r>
    </w:p>
  </w:footnote>
  <w:footnote w:id="10">
    <w:p w14:paraId="61BB039E" w14:textId="53146130" w:rsidR="00986E42" w:rsidRDefault="00986E42" w:rsidP="00986E42">
      <w:pPr>
        <w:pStyle w:val="a3"/>
      </w:pPr>
      <w:r>
        <w:rPr>
          <w:rStyle w:val="a5"/>
        </w:rPr>
        <w:footnoteRef/>
      </w:r>
      <w:r>
        <w:rPr>
          <w:rtl/>
        </w:rPr>
        <w:t xml:space="preserve"> </w:t>
      </w:r>
      <w:r>
        <w:rPr>
          <w:rFonts w:hint="cs"/>
          <w:rtl/>
        </w:rPr>
        <w:t xml:space="preserve">אפשר שפתגם זה "הקדים פה לעין" מתאים גם לפרשת בלעם ואתונו: בלעם ממהר לשפוט את האתון ולגדפה בפיו, כאשר הוא סומא ואינו רואה את מה שהאתון רואה. מי שכל כוחו בפיו הרשע ובעינו הרעה, בקללות שאח"כ תהפוכנה למציאות של הרס ואבדן, נלקחו ממנו הן הראיה והן </w:t>
      </w:r>
      <w:proofErr w:type="spellStart"/>
      <w:r>
        <w:rPr>
          <w:rFonts w:hint="cs"/>
          <w:rtl/>
        </w:rPr>
        <w:t>כח</w:t>
      </w:r>
      <w:proofErr w:type="spellEnd"/>
      <w:r>
        <w:rPr>
          <w:rFonts w:hint="cs"/>
          <w:rtl/>
        </w:rPr>
        <w:t xml:space="preserve"> הדיבור.. ייסכר פיו ותיסתם עינו הרעה. ראו </w:t>
      </w:r>
      <w:r w:rsidRPr="00F91A16">
        <w:rPr>
          <w:rFonts w:hint="eastAsia"/>
          <w:rtl/>
          <w:lang w:eastAsia="en-US"/>
        </w:rPr>
        <w:t>במדבר</w:t>
      </w:r>
      <w:r w:rsidRPr="00F91A16">
        <w:rPr>
          <w:rtl/>
          <w:lang w:eastAsia="en-US"/>
        </w:rPr>
        <w:t xml:space="preserve"> </w:t>
      </w:r>
      <w:r w:rsidRPr="00F91A16">
        <w:rPr>
          <w:rFonts w:hint="eastAsia"/>
          <w:rtl/>
          <w:lang w:eastAsia="en-US"/>
        </w:rPr>
        <w:t>רבה</w:t>
      </w:r>
      <w:r w:rsidRPr="00F91A16">
        <w:rPr>
          <w:rtl/>
          <w:lang w:eastAsia="en-US"/>
        </w:rPr>
        <w:t xml:space="preserve"> </w:t>
      </w:r>
      <w:r>
        <w:rPr>
          <w:rFonts w:hint="cs"/>
          <w:rtl/>
          <w:lang w:eastAsia="en-US"/>
        </w:rPr>
        <w:t xml:space="preserve">כ </w:t>
      </w:r>
      <w:r w:rsidRPr="00F91A16">
        <w:rPr>
          <w:rFonts w:hint="eastAsia"/>
          <w:rtl/>
          <w:lang w:eastAsia="en-US"/>
        </w:rPr>
        <w:t>יד</w:t>
      </w:r>
      <w:r>
        <w:rPr>
          <w:rFonts w:hint="cs"/>
          <w:rtl/>
          <w:lang w:eastAsia="en-US"/>
        </w:rPr>
        <w:t xml:space="preserve">: </w:t>
      </w:r>
      <w:r w:rsidRPr="00F91A16">
        <w:rPr>
          <w:rFonts w:hint="cs"/>
          <w:rtl/>
          <w:lang w:eastAsia="en-US"/>
        </w:rPr>
        <w:t>"</w:t>
      </w:r>
      <w:r w:rsidRPr="00F91A16">
        <w:rPr>
          <w:rFonts w:hint="eastAsia"/>
          <w:rtl/>
          <w:lang w:eastAsia="en-US"/>
        </w:rPr>
        <w:t>ויפתח</w:t>
      </w:r>
      <w:r w:rsidRPr="00F91A16">
        <w:rPr>
          <w:rtl/>
          <w:lang w:eastAsia="en-US"/>
        </w:rPr>
        <w:t xml:space="preserve"> </w:t>
      </w:r>
      <w:r w:rsidRPr="00F91A16">
        <w:rPr>
          <w:rFonts w:hint="eastAsia"/>
          <w:rtl/>
          <w:lang w:eastAsia="en-US"/>
        </w:rPr>
        <w:t>ה</w:t>
      </w:r>
      <w:r w:rsidRPr="00F91A16">
        <w:rPr>
          <w:rtl/>
          <w:lang w:eastAsia="en-US"/>
        </w:rPr>
        <w:t xml:space="preserve">' </w:t>
      </w:r>
      <w:r w:rsidRPr="00F91A16">
        <w:rPr>
          <w:rFonts w:hint="eastAsia"/>
          <w:rtl/>
          <w:lang w:eastAsia="en-US"/>
        </w:rPr>
        <w:t>את</w:t>
      </w:r>
      <w:r w:rsidRPr="00F91A16">
        <w:rPr>
          <w:rtl/>
          <w:lang w:eastAsia="en-US"/>
        </w:rPr>
        <w:t xml:space="preserve"> </w:t>
      </w:r>
      <w:r w:rsidRPr="00F91A16">
        <w:rPr>
          <w:rFonts w:hint="eastAsia"/>
          <w:rtl/>
          <w:lang w:eastAsia="en-US"/>
        </w:rPr>
        <w:t>פי</w:t>
      </w:r>
      <w:r w:rsidRPr="00F91A16">
        <w:rPr>
          <w:rtl/>
          <w:lang w:eastAsia="en-US"/>
        </w:rPr>
        <w:t xml:space="preserve"> </w:t>
      </w:r>
      <w:r w:rsidRPr="00F91A16">
        <w:rPr>
          <w:rFonts w:hint="eastAsia"/>
          <w:rtl/>
          <w:lang w:eastAsia="en-US"/>
        </w:rPr>
        <w:t>האתון</w:t>
      </w:r>
      <w:r w:rsidRPr="00F91A16">
        <w:rPr>
          <w:rFonts w:hint="cs"/>
          <w:rtl/>
          <w:lang w:eastAsia="en-US"/>
        </w:rPr>
        <w:t>" -</w:t>
      </w:r>
      <w:r w:rsidRPr="00F91A16">
        <w:rPr>
          <w:rtl/>
          <w:lang w:eastAsia="en-US"/>
        </w:rPr>
        <w:t xml:space="preserve"> </w:t>
      </w:r>
      <w:r w:rsidRPr="00F91A16">
        <w:rPr>
          <w:rFonts w:hint="eastAsia"/>
          <w:rtl/>
          <w:lang w:eastAsia="en-US"/>
        </w:rPr>
        <w:t>להודיעו</w:t>
      </w:r>
      <w:r w:rsidRPr="00F91A16">
        <w:rPr>
          <w:rtl/>
          <w:lang w:eastAsia="en-US"/>
        </w:rPr>
        <w:t xml:space="preserve"> </w:t>
      </w:r>
      <w:r w:rsidRPr="00F91A16">
        <w:rPr>
          <w:rFonts w:hint="eastAsia"/>
          <w:rtl/>
          <w:lang w:eastAsia="en-US"/>
        </w:rPr>
        <w:t>שהפה</w:t>
      </w:r>
      <w:r w:rsidRPr="00F91A16">
        <w:rPr>
          <w:rtl/>
          <w:lang w:eastAsia="en-US"/>
        </w:rPr>
        <w:t xml:space="preserve"> </w:t>
      </w:r>
      <w:r w:rsidRPr="00F91A16">
        <w:rPr>
          <w:rFonts w:hint="eastAsia"/>
          <w:rtl/>
          <w:lang w:eastAsia="en-US"/>
        </w:rPr>
        <w:t>והלשון</w:t>
      </w:r>
      <w:r w:rsidRPr="00F91A16">
        <w:rPr>
          <w:rtl/>
          <w:lang w:eastAsia="en-US"/>
        </w:rPr>
        <w:t xml:space="preserve"> </w:t>
      </w:r>
      <w:r w:rsidRPr="00F91A16">
        <w:rPr>
          <w:rFonts w:hint="eastAsia"/>
          <w:rtl/>
          <w:lang w:eastAsia="en-US"/>
        </w:rPr>
        <w:t>ברשותו</w:t>
      </w:r>
      <w:r w:rsidRPr="00F91A16">
        <w:rPr>
          <w:rFonts w:hint="cs"/>
          <w:rtl/>
          <w:lang w:eastAsia="en-US"/>
        </w:rPr>
        <w:t>,</w:t>
      </w:r>
      <w:r w:rsidRPr="00F91A16">
        <w:rPr>
          <w:rtl/>
          <w:lang w:eastAsia="en-US"/>
        </w:rPr>
        <w:t xml:space="preserve"> </w:t>
      </w:r>
      <w:r w:rsidRPr="00F91A16">
        <w:rPr>
          <w:rFonts w:hint="eastAsia"/>
          <w:rtl/>
          <w:lang w:eastAsia="en-US"/>
        </w:rPr>
        <w:t>שאם</w:t>
      </w:r>
      <w:r w:rsidRPr="00F91A16">
        <w:rPr>
          <w:rtl/>
          <w:lang w:eastAsia="en-US"/>
        </w:rPr>
        <w:t xml:space="preserve"> </w:t>
      </w:r>
      <w:r w:rsidRPr="00F91A16">
        <w:rPr>
          <w:rFonts w:hint="eastAsia"/>
          <w:rtl/>
          <w:lang w:eastAsia="en-US"/>
        </w:rPr>
        <w:t>ב</w:t>
      </w:r>
      <w:r>
        <w:rPr>
          <w:rFonts w:hint="cs"/>
          <w:rtl/>
          <w:lang w:eastAsia="en-US"/>
        </w:rPr>
        <w:t>י</w:t>
      </w:r>
      <w:r w:rsidRPr="00F91A16">
        <w:rPr>
          <w:rFonts w:hint="eastAsia"/>
          <w:rtl/>
          <w:lang w:eastAsia="en-US"/>
        </w:rPr>
        <w:t>קש</w:t>
      </w:r>
      <w:r w:rsidRPr="00F91A16">
        <w:rPr>
          <w:rtl/>
          <w:lang w:eastAsia="en-US"/>
        </w:rPr>
        <w:t xml:space="preserve"> </w:t>
      </w:r>
      <w:r w:rsidRPr="00F91A16">
        <w:rPr>
          <w:rFonts w:hint="eastAsia"/>
          <w:rtl/>
          <w:lang w:eastAsia="en-US"/>
        </w:rPr>
        <w:t>לקלל</w:t>
      </w:r>
      <w:r w:rsidRPr="00F91A16">
        <w:rPr>
          <w:rtl/>
          <w:lang w:eastAsia="en-US"/>
        </w:rPr>
        <w:t xml:space="preserve"> </w:t>
      </w:r>
      <w:r w:rsidRPr="00F91A16">
        <w:rPr>
          <w:rFonts w:hint="cs"/>
          <w:rtl/>
          <w:lang w:eastAsia="en-US"/>
        </w:rPr>
        <w:t xml:space="preserve">אין פיו </w:t>
      </w:r>
      <w:r w:rsidRPr="00F91A16">
        <w:rPr>
          <w:rFonts w:hint="eastAsia"/>
          <w:rtl/>
          <w:lang w:eastAsia="en-US"/>
        </w:rPr>
        <w:t>ברשותו</w:t>
      </w:r>
      <w:r w:rsidRPr="00F91A16">
        <w:rPr>
          <w:rFonts w:hint="cs"/>
          <w:rtl/>
          <w:lang w:eastAsia="en-US"/>
        </w:rPr>
        <w:t>.</w:t>
      </w:r>
      <w:r>
        <w:rPr>
          <w:rFonts w:hint="cs"/>
          <w:rtl/>
          <w:lang w:eastAsia="en-US"/>
        </w:rPr>
        <w:t xml:space="preserve"> ...</w:t>
      </w:r>
      <w:r w:rsidRPr="00F91A16">
        <w:rPr>
          <w:rFonts w:hint="cs"/>
          <w:rtl/>
          <w:lang w:eastAsia="en-US"/>
        </w:rPr>
        <w:t xml:space="preserve"> </w:t>
      </w:r>
      <w:r w:rsidRPr="00F91A16">
        <w:rPr>
          <w:rFonts w:hint="eastAsia"/>
          <w:rtl/>
          <w:lang w:eastAsia="en-US"/>
        </w:rPr>
        <w:t>משל</w:t>
      </w:r>
      <w:r w:rsidRPr="00F91A16">
        <w:rPr>
          <w:rtl/>
          <w:lang w:eastAsia="en-US"/>
        </w:rPr>
        <w:t xml:space="preserve"> </w:t>
      </w:r>
      <w:r w:rsidRPr="00F91A16">
        <w:rPr>
          <w:rFonts w:hint="eastAsia"/>
          <w:rtl/>
          <w:lang w:eastAsia="en-US"/>
        </w:rPr>
        <w:t>לרופא</w:t>
      </w:r>
      <w:r w:rsidRPr="00F91A16">
        <w:rPr>
          <w:rtl/>
          <w:lang w:eastAsia="en-US"/>
        </w:rPr>
        <w:t xml:space="preserve"> </w:t>
      </w:r>
      <w:r w:rsidRPr="00F91A16">
        <w:rPr>
          <w:rFonts w:hint="eastAsia"/>
          <w:rtl/>
          <w:lang w:eastAsia="en-US"/>
        </w:rPr>
        <w:t>שבא</w:t>
      </w:r>
      <w:r w:rsidRPr="00F91A16">
        <w:rPr>
          <w:rtl/>
          <w:lang w:eastAsia="en-US"/>
        </w:rPr>
        <w:t xml:space="preserve"> </w:t>
      </w:r>
      <w:r w:rsidRPr="00F91A16">
        <w:rPr>
          <w:rFonts w:hint="eastAsia"/>
          <w:rtl/>
          <w:lang w:eastAsia="en-US"/>
        </w:rPr>
        <w:t>לרפאות</w:t>
      </w:r>
      <w:r w:rsidRPr="00F91A16">
        <w:rPr>
          <w:rtl/>
          <w:lang w:eastAsia="en-US"/>
        </w:rPr>
        <w:t xml:space="preserve"> </w:t>
      </w:r>
      <w:r w:rsidRPr="00F91A16">
        <w:rPr>
          <w:rFonts w:hint="eastAsia"/>
          <w:rtl/>
          <w:lang w:eastAsia="en-US"/>
        </w:rPr>
        <w:t>בלשונו</w:t>
      </w:r>
      <w:r w:rsidRPr="00F91A16">
        <w:rPr>
          <w:rtl/>
          <w:lang w:eastAsia="en-US"/>
        </w:rPr>
        <w:t xml:space="preserve"> </w:t>
      </w:r>
      <w:r w:rsidRPr="00F91A16">
        <w:rPr>
          <w:rFonts w:hint="eastAsia"/>
          <w:rtl/>
          <w:lang w:eastAsia="en-US"/>
        </w:rPr>
        <w:t>נשוך</w:t>
      </w:r>
      <w:r w:rsidRPr="00F91A16">
        <w:rPr>
          <w:rtl/>
          <w:lang w:eastAsia="en-US"/>
        </w:rPr>
        <w:t xml:space="preserve"> </w:t>
      </w:r>
      <w:r w:rsidRPr="00F91A16">
        <w:rPr>
          <w:rFonts w:hint="eastAsia"/>
          <w:rtl/>
          <w:lang w:eastAsia="en-US"/>
        </w:rPr>
        <w:t>נחש</w:t>
      </w:r>
      <w:r w:rsidRPr="00F91A16">
        <w:rPr>
          <w:rFonts w:hint="cs"/>
          <w:rtl/>
          <w:lang w:eastAsia="en-US"/>
        </w:rPr>
        <w:t>.</w:t>
      </w:r>
      <w:r w:rsidRPr="00F91A16">
        <w:rPr>
          <w:rtl/>
          <w:lang w:eastAsia="en-US"/>
        </w:rPr>
        <w:t xml:space="preserve"> </w:t>
      </w:r>
      <w:r w:rsidRPr="00F91A16">
        <w:rPr>
          <w:rFonts w:hint="eastAsia"/>
          <w:rtl/>
          <w:lang w:eastAsia="en-US"/>
        </w:rPr>
        <w:t>בדרך</w:t>
      </w:r>
      <w:r w:rsidRPr="00F91A16">
        <w:rPr>
          <w:rtl/>
          <w:lang w:eastAsia="en-US"/>
        </w:rPr>
        <w:t xml:space="preserve"> </w:t>
      </w:r>
      <w:r w:rsidRPr="00F91A16">
        <w:rPr>
          <w:rFonts w:hint="eastAsia"/>
          <w:rtl/>
          <w:lang w:eastAsia="en-US"/>
        </w:rPr>
        <w:t>ראה</w:t>
      </w:r>
      <w:r w:rsidRPr="00F91A16">
        <w:rPr>
          <w:rtl/>
          <w:lang w:eastAsia="en-US"/>
        </w:rPr>
        <w:t xml:space="preserve"> </w:t>
      </w:r>
      <w:r w:rsidRPr="00F91A16">
        <w:rPr>
          <w:rFonts w:hint="eastAsia"/>
          <w:rtl/>
          <w:lang w:eastAsia="en-US"/>
        </w:rPr>
        <w:t>אנקה</w:t>
      </w:r>
      <w:r w:rsidRPr="00F91A16">
        <w:rPr>
          <w:rtl/>
          <w:lang w:eastAsia="en-US"/>
        </w:rPr>
        <w:t xml:space="preserve"> </w:t>
      </w:r>
      <w:r w:rsidRPr="00F91A16">
        <w:rPr>
          <w:rFonts w:hint="eastAsia"/>
          <w:rtl/>
          <w:lang w:eastAsia="en-US"/>
        </w:rPr>
        <w:t>אחת</w:t>
      </w:r>
      <w:r w:rsidRPr="00F91A16">
        <w:rPr>
          <w:rFonts w:hint="cs"/>
          <w:rtl/>
          <w:lang w:eastAsia="en-US"/>
        </w:rPr>
        <w:t>,</w:t>
      </w:r>
      <w:r w:rsidRPr="00F91A16">
        <w:rPr>
          <w:rtl/>
          <w:lang w:eastAsia="en-US"/>
        </w:rPr>
        <w:t xml:space="preserve"> </w:t>
      </w:r>
      <w:r w:rsidRPr="00F91A16">
        <w:rPr>
          <w:rFonts w:hint="eastAsia"/>
          <w:rtl/>
          <w:lang w:eastAsia="en-US"/>
        </w:rPr>
        <w:t>התחיל</w:t>
      </w:r>
      <w:r w:rsidRPr="00F91A16">
        <w:rPr>
          <w:rtl/>
          <w:lang w:eastAsia="en-US"/>
        </w:rPr>
        <w:t xml:space="preserve"> </w:t>
      </w:r>
      <w:r w:rsidRPr="00F91A16">
        <w:rPr>
          <w:rFonts w:hint="eastAsia"/>
          <w:rtl/>
          <w:lang w:eastAsia="en-US"/>
        </w:rPr>
        <w:t>מבקש</w:t>
      </w:r>
      <w:r w:rsidRPr="00F91A16">
        <w:rPr>
          <w:rtl/>
          <w:lang w:eastAsia="en-US"/>
        </w:rPr>
        <w:t xml:space="preserve"> </w:t>
      </w:r>
      <w:r w:rsidRPr="00F91A16">
        <w:rPr>
          <w:rFonts w:hint="eastAsia"/>
          <w:rtl/>
          <w:lang w:eastAsia="en-US"/>
        </w:rPr>
        <w:t>מקל</w:t>
      </w:r>
      <w:r w:rsidRPr="00F91A16">
        <w:rPr>
          <w:rtl/>
          <w:lang w:eastAsia="en-US"/>
        </w:rPr>
        <w:t xml:space="preserve"> </w:t>
      </w:r>
      <w:r w:rsidRPr="00F91A16">
        <w:rPr>
          <w:rFonts w:hint="eastAsia"/>
          <w:rtl/>
          <w:lang w:eastAsia="en-US"/>
        </w:rPr>
        <w:t>להורגה</w:t>
      </w:r>
      <w:r w:rsidRPr="00F91A16">
        <w:rPr>
          <w:rFonts w:hint="cs"/>
          <w:rtl/>
          <w:lang w:eastAsia="en-US"/>
        </w:rPr>
        <w:t>.</w:t>
      </w:r>
      <w:r w:rsidRPr="00F91A16">
        <w:rPr>
          <w:rtl/>
          <w:lang w:eastAsia="en-US"/>
        </w:rPr>
        <w:t xml:space="preserve"> </w:t>
      </w:r>
      <w:r w:rsidRPr="00F91A16">
        <w:rPr>
          <w:rFonts w:hint="eastAsia"/>
          <w:rtl/>
          <w:lang w:eastAsia="en-US"/>
        </w:rPr>
        <w:t>אמרו</w:t>
      </w:r>
      <w:r w:rsidRPr="00F91A16">
        <w:rPr>
          <w:rFonts w:hint="cs"/>
          <w:rtl/>
          <w:lang w:eastAsia="en-US"/>
        </w:rPr>
        <w:t xml:space="preserve"> לו:</w:t>
      </w:r>
      <w:r w:rsidRPr="00F91A16">
        <w:rPr>
          <w:rtl/>
          <w:lang w:eastAsia="en-US"/>
        </w:rPr>
        <w:t xml:space="preserve"> </w:t>
      </w:r>
      <w:r w:rsidRPr="00F91A16">
        <w:rPr>
          <w:rFonts w:hint="eastAsia"/>
          <w:rtl/>
          <w:lang w:eastAsia="en-US"/>
        </w:rPr>
        <w:t>זו</w:t>
      </w:r>
      <w:r w:rsidRPr="00F91A16">
        <w:rPr>
          <w:rtl/>
          <w:lang w:eastAsia="en-US"/>
        </w:rPr>
        <w:t xml:space="preserve"> </w:t>
      </w:r>
      <w:r w:rsidRPr="00F91A16">
        <w:rPr>
          <w:rFonts w:hint="eastAsia"/>
          <w:rtl/>
          <w:lang w:eastAsia="en-US"/>
        </w:rPr>
        <w:t>אי</w:t>
      </w:r>
      <w:r w:rsidRPr="00F91A16">
        <w:rPr>
          <w:rtl/>
          <w:lang w:eastAsia="en-US"/>
        </w:rPr>
        <w:t xml:space="preserve"> </w:t>
      </w:r>
      <w:r w:rsidRPr="00F91A16">
        <w:rPr>
          <w:rFonts w:hint="eastAsia"/>
          <w:rtl/>
          <w:lang w:eastAsia="en-US"/>
        </w:rPr>
        <w:t>אתה</w:t>
      </w:r>
      <w:r w:rsidRPr="00F91A16">
        <w:rPr>
          <w:rtl/>
          <w:lang w:eastAsia="en-US"/>
        </w:rPr>
        <w:t xml:space="preserve"> </w:t>
      </w:r>
      <w:r w:rsidRPr="00F91A16">
        <w:rPr>
          <w:rFonts w:hint="eastAsia"/>
          <w:rtl/>
          <w:lang w:eastAsia="en-US"/>
        </w:rPr>
        <w:t>יכול</w:t>
      </w:r>
      <w:r w:rsidRPr="00F91A16">
        <w:rPr>
          <w:rtl/>
          <w:lang w:eastAsia="en-US"/>
        </w:rPr>
        <w:t xml:space="preserve"> </w:t>
      </w:r>
      <w:r w:rsidRPr="00F91A16">
        <w:rPr>
          <w:rFonts w:hint="eastAsia"/>
          <w:rtl/>
          <w:lang w:eastAsia="en-US"/>
        </w:rPr>
        <w:t>ליטול</w:t>
      </w:r>
      <w:r w:rsidRPr="00F91A16">
        <w:rPr>
          <w:rFonts w:hint="cs"/>
          <w:rtl/>
          <w:lang w:eastAsia="en-US"/>
        </w:rPr>
        <w:t>,</w:t>
      </w:r>
      <w:r w:rsidRPr="00F91A16">
        <w:rPr>
          <w:rtl/>
          <w:lang w:eastAsia="en-US"/>
        </w:rPr>
        <w:t xml:space="preserve"> </w:t>
      </w:r>
      <w:r w:rsidRPr="00F91A16">
        <w:rPr>
          <w:rFonts w:hint="eastAsia"/>
          <w:rtl/>
          <w:lang w:eastAsia="en-US"/>
        </w:rPr>
        <w:t>היאך</w:t>
      </w:r>
      <w:r w:rsidRPr="00F91A16">
        <w:rPr>
          <w:rtl/>
          <w:lang w:eastAsia="en-US"/>
        </w:rPr>
        <w:t xml:space="preserve"> </w:t>
      </w:r>
      <w:r w:rsidRPr="00F91A16">
        <w:rPr>
          <w:rFonts w:hint="eastAsia"/>
          <w:rtl/>
          <w:lang w:eastAsia="en-US"/>
        </w:rPr>
        <w:t>באת</w:t>
      </w:r>
      <w:r w:rsidRPr="00F91A16">
        <w:rPr>
          <w:rtl/>
          <w:lang w:eastAsia="en-US"/>
        </w:rPr>
        <w:t xml:space="preserve"> </w:t>
      </w:r>
      <w:r w:rsidRPr="00F91A16">
        <w:rPr>
          <w:rFonts w:hint="eastAsia"/>
          <w:rtl/>
          <w:lang w:eastAsia="en-US"/>
        </w:rPr>
        <w:t>לרפאות</w:t>
      </w:r>
      <w:r w:rsidRPr="00F91A16">
        <w:rPr>
          <w:rtl/>
          <w:lang w:eastAsia="en-US"/>
        </w:rPr>
        <w:t xml:space="preserve"> </w:t>
      </w:r>
      <w:r w:rsidRPr="00F91A16">
        <w:rPr>
          <w:rFonts w:hint="eastAsia"/>
          <w:rtl/>
          <w:lang w:eastAsia="en-US"/>
        </w:rPr>
        <w:t>בלשונך</w:t>
      </w:r>
      <w:r w:rsidRPr="00F91A16">
        <w:rPr>
          <w:rtl/>
          <w:lang w:eastAsia="en-US"/>
        </w:rPr>
        <w:t xml:space="preserve"> </w:t>
      </w:r>
      <w:r w:rsidRPr="00F91A16">
        <w:rPr>
          <w:rFonts w:hint="eastAsia"/>
          <w:rtl/>
          <w:lang w:eastAsia="en-US"/>
        </w:rPr>
        <w:t>נשוך</w:t>
      </w:r>
      <w:r w:rsidRPr="00F91A16">
        <w:rPr>
          <w:rtl/>
          <w:lang w:eastAsia="en-US"/>
        </w:rPr>
        <w:t xml:space="preserve"> </w:t>
      </w:r>
      <w:r w:rsidRPr="00F91A16">
        <w:rPr>
          <w:rFonts w:hint="eastAsia"/>
          <w:rtl/>
          <w:lang w:eastAsia="en-US"/>
        </w:rPr>
        <w:t>נחש</w:t>
      </w:r>
      <w:r w:rsidRPr="00F91A16">
        <w:rPr>
          <w:rFonts w:hint="cs"/>
          <w:rtl/>
          <w:lang w:eastAsia="en-US"/>
        </w:rPr>
        <w:t>?!</w:t>
      </w:r>
      <w:r w:rsidRPr="00F91A16">
        <w:rPr>
          <w:rtl/>
          <w:lang w:eastAsia="en-US"/>
        </w:rPr>
        <w:t xml:space="preserve"> </w:t>
      </w:r>
      <w:r w:rsidRPr="00F91A16">
        <w:rPr>
          <w:rFonts w:hint="eastAsia"/>
          <w:rtl/>
          <w:lang w:eastAsia="en-US"/>
        </w:rPr>
        <w:t>כך</w:t>
      </w:r>
      <w:r w:rsidRPr="00F91A16">
        <w:rPr>
          <w:rtl/>
          <w:lang w:eastAsia="en-US"/>
        </w:rPr>
        <w:t xml:space="preserve"> </w:t>
      </w:r>
      <w:r w:rsidRPr="00F91A16">
        <w:rPr>
          <w:rFonts w:hint="eastAsia"/>
          <w:rtl/>
          <w:lang w:eastAsia="en-US"/>
        </w:rPr>
        <w:t>אמרה</w:t>
      </w:r>
      <w:r w:rsidRPr="00F91A16">
        <w:rPr>
          <w:rtl/>
          <w:lang w:eastAsia="en-US"/>
        </w:rPr>
        <w:t xml:space="preserve"> </w:t>
      </w:r>
      <w:r w:rsidRPr="00F91A16">
        <w:rPr>
          <w:rFonts w:hint="eastAsia"/>
          <w:rtl/>
          <w:lang w:eastAsia="en-US"/>
        </w:rPr>
        <w:t>האתון</w:t>
      </w:r>
      <w:r w:rsidRPr="00F91A16">
        <w:rPr>
          <w:rtl/>
          <w:lang w:eastAsia="en-US"/>
        </w:rPr>
        <w:t xml:space="preserve"> </w:t>
      </w:r>
      <w:r w:rsidRPr="00F91A16">
        <w:rPr>
          <w:rFonts w:hint="eastAsia"/>
          <w:rtl/>
          <w:lang w:eastAsia="en-US"/>
        </w:rPr>
        <w:t>לבלעם</w:t>
      </w:r>
      <w:r w:rsidRPr="00F91A16">
        <w:rPr>
          <w:rFonts w:hint="cs"/>
          <w:rtl/>
          <w:lang w:eastAsia="en-US"/>
        </w:rPr>
        <w:t>:</w:t>
      </w:r>
      <w:r w:rsidRPr="00F91A16">
        <w:rPr>
          <w:rtl/>
          <w:lang w:eastAsia="en-US"/>
        </w:rPr>
        <w:t xml:space="preserve"> </w:t>
      </w:r>
      <w:r w:rsidRPr="00F91A16">
        <w:rPr>
          <w:rFonts w:hint="eastAsia"/>
          <w:rtl/>
          <w:lang w:eastAsia="en-US"/>
        </w:rPr>
        <w:t>אני</w:t>
      </w:r>
      <w:r w:rsidRPr="00F91A16">
        <w:rPr>
          <w:rFonts w:hint="cs"/>
          <w:rtl/>
          <w:lang w:eastAsia="en-US"/>
        </w:rPr>
        <w:t xml:space="preserve"> -</w:t>
      </w:r>
      <w:r w:rsidRPr="00F91A16">
        <w:rPr>
          <w:rtl/>
          <w:lang w:eastAsia="en-US"/>
        </w:rPr>
        <w:t xml:space="preserve"> </w:t>
      </w:r>
      <w:r w:rsidRPr="00F91A16">
        <w:rPr>
          <w:rFonts w:hint="eastAsia"/>
          <w:rtl/>
          <w:lang w:eastAsia="en-US"/>
        </w:rPr>
        <w:t>אין</w:t>
      </w:r>
      <w:r w:rsidRPr="00F91A16">
        <w:rPr>
          <w:rtl/>
          <w:lang w:eastAsia="en-US"/>
        </w:rPr>
        <w:t xml:space="preserve"> </w:t>
      </w:r>
      <w:r w:rsidRPr="00F91A16">
        <w:rPr>
          <w:rFonts w:hint="eastAsia"/>
          <w:rtl/>
          <w:lang w:eastAsia="en-US"/>
        </w:rPr>
        <w:t>אתה</w:t>
      </w:r>
      <w:r w:rsidRPr="00F91A16">
        <w:rPr>
          <w:rtl/>
          <w:lang w:eastAsia="en-US"/>
        </w:rPr>
        <w:t xml:space="preserve"> </w:t>
      </w:r>
      <w:r w:rsidRPr="00F91A16">
        <w:rPr>
          <w:rFonts w:hint="eastAsia"/>
          <w:rtl/>
          <w:lang w:eastAsia="en-US"/>
        </w:rPr>
        <w:t>יכול</w:t>
      </w:r>
      <w:r w:rsidRPr="00F91A16">
        <w:rPr>
          <w:rtl/>
          <w:lang w:eastAsia="en-US"/>
        </w:rPr>
        <w:t xml:space="preserve"> </w:t>
      </w:r>
      <w:proofErr w:type="spellStart"/>
      <w:r w:rsidRPr="00F91A16">
        <w:rPr>
          <w:rFonts w:hint="eastAsia"/>
          <w:rtl/>
          <w:lang w:eastAsia="en-US"/>
        </w:rPr>
        <w:t>להרגני</w:t>
      </w:r>
      <w:proofErr w:type="spellEnd"/>
      <w:r w:rsidRPr="00F91A16">
        <w:rPr>
          <w:rtl/>
          <w:lang w:eastAsia="en-US"/>
        </w:rPr>
        <w:t xml:space="preserve"> </w:t>
      </w:r>
      <w:r w:rsidRPr="00F91A16">
        <w:rPr>
          <w:rFonts w:hint="eastAsia"/>
          <w:rtl/>
          <w:lang w:eastAsia="en-US"/>
        </w:rPr>
        <w:t>אלא</w:t>
      </w:r>
      <w:r w:rsidRPr="00F91A16">
        <w:rPr>
          <w:rtl/>
          <w:lang w:eastAsia="en-US"/>
        </w:rPr>
        <w:t xml:space="preserve"> </w:t>
      </w:r>
      <w:r w:rsidRPr="00F91A16">
        <w:rPr>
          <w:rFonts w:hint="eastAsia"/>
          <w:rtl/>
          <w:lang w:eastAsia="en-US"/>
        </w:rPr>
        <w:t>א</w:t>
      </w:r>
      <w:r>
        <w:rPr>
          <w:rFonts w:hint="cs"/>
          <w:rtl/>
          <w:lang w:eastAsia="en-US"/>
        </w:rPr>
        <w:t>ם כן</w:t>
      </w:r>
      <w:r w:rsidRPr="00F91A16">
        <w:rPr>
          <w:rtl/>
          <w:lang w:eastAsia="en-US"/>
        </w:rPr>
        <w:t xml:space="preserve"> </w:t>
      </w:r>
      <w:r w:rsidRPr="00F91A16">
        <w:rPr>
          <w:rFonts w:hint="eastAsia"/>
          <w:rtl/>
          <w:lang w:eastAsia="en-US"/>
        </w:rPr>
        <w:t>חרב</w:t>
      </w:r>
      <w:r w:rsidRPr="00F91A16">
        <w:rPr>
          <w:rtl/>
          <w:lang w:eastAsia="en-US"/>
        </w:rPr>
        <w:t xml:space="preserve"> </w:t>
      </w:r>
      <w:r w:rsidRPr="00F91A16">
        <w:rPr>
          <w:rFonts w:hint="eastAsia"/>
          <w:rtl/>
          <w:lang w:eastAsia="en-US"/>
        </w:rPr>
        <w:t>בידך</w:t>
      </w:r>
      <w:r w:rsidRPr="00F91A16">
        <w:rPr>
          <w:rFonts w:hint="cs"/>
          <w:rtl/>
          <w:lang w:eastAsia="en-US"/>
        </w:rPr>
        <w:t>,</w:t>
      </w:r>
      <w:r w:rsidRPr="00F91A16">
        <w:rPr>
          <w:rtl/>
          <w:lang w:eastAsia="en-US"/>
        </w:rPr>
        <w:t xml:space="preserve"> </w:t>
      </w:r>
      <w:r w:rsidRPr="00F91A16">
        <w:rPr>
          <w:rFonts w:hint="eastAsia"/>
          <w:rtl/>
          <w:lang w:eastAsia="en-US"/>
        </w:rPr>
        <w:t>והיאך</w:t>
      </w:r>
      <w:r w:rsidRPr="00F91A16">
        <w:rPr>
          <w:rtl/>
          <w:lang w:eastAsia="en-US"/>
        </w:rPr>
        <w:t xml:space="preserve"> </w:t>
      </w:r>
      <w:r w:rsidRPr="00F91A16">
        <w:rPr>
          <w:rFonts w:hint="eastAsia"/>
          <w:rtl/>
          <w:lang w:eastAsia="en-US"/>
        </w:rPr>
        <w:t>אתה</w:t>
      </w:r>
      <w:r w:rsidRPr="00F91A16">
        <w:rPr>
          <w:rtl/>
          <w:lang w:eastAsia="en-US"/>
        </w:rPr>
        <w:t xml:space="preserve"> </w:t>
      </w:r>
      <w:r w:rsidRPr="00F91A16">
        <w:rPr>
          <w:rFonts w:hint="eastAsia"/>
          <w:rtl/>
          <w:lang w:eastAsia="en-US"/>
        </w:rPr>
        <w:t>רוצה</w:t>
      </w:r>
      <w:r w:rsidRPr="00F91A16">
        <w:rPr>
          <w:rtl/>
          <w:lang w:eastAsia="en-US"/>
        </w:rPr>
        <w:t xml:space="preserve"> </w:t>
      </w:r>
      <w:r w:rsidRPr="00F91A16">
        <w:rPr>
          <w:rFonts w:hint="eastAsia"/>
          <w:rtl/>
          <w:lang w:eastAsia="en-US"/>
        </w:rPr>
        <w:t>לעקור</w:t>
      </w:r>
      <w:r w:rsidRPr="00F91A16">
        <w:rPr>
          <w:rtl/>
          <w:lang w:eastAsia="en-US"/>
        </w:rPr>
        <w:t xml:space="preserve"> </w:t>
      </w:r>
      <w:r w:rsidRPr="00F91A16">
        <w:rPr>
          <w:rFonts w:hint="eastAsia"/>
          <w:rtl/>
          <w:lang w:eastAsia="en-US"/>
        </w:rPr>
        <w:t>אומה</w:t>
      </w:r>
      <w:r w:rsidRPr="00F91A16">
        <w:rPr>
          <w:rtl/>
          <w:lang w:eastAsia="en-US"/>
        </w:rPr>
        <w:t xml:space="preserve"> </w:t>
      </w:r>
      <w:r w:rsidRPr="00F91A16">
        <w:rPr>
          <w:rFonts w:hint="eastAsia"/>
          <w:rtl/>
          <w:lang w:eastAsia="en-US"/>
        </w:rPr>
        <w:t>שלימה</w:t>
      </w:r>
      <w:r w:rsidRPr="00F91A16">
        <w:rPr>
          <w:rFonts w:hint="cs"/>
          <w:rtl/>
          <w:lang w:eastAsia="en-US"/>
        </w:rPr>
        <w:t xml:space="preserve"> בלשונך?!</w:t>
      </w:r>
      <w:r w:rsidRPr="00F91A16">
        <w:rPr>
          <w:rtl/>
          <w:lang w:eastAsia="en-US"/>
        </w:rPr>
        <w:t xml:space="preserve"> </w:t>
      </w:r>
    </w:p>
  </w:footnote>
  <w:footnote w:id="11">
    <w:p w14:paraId="62E0612E" w14:textId="77777777" w:rsidR="00BB5DF5" w:rsidRDefault="00BB5DF5" w:rsidP="00BB5DF5">
      <w:pPr>
        <w:pStyle w:val="a3"/>
        <w:rPr>
          <w:rtl/>
        </w:rPr>
      </w:pPr>
      <w:r>
        <w:rPr>
          <w:rStyle w:val="a5"/>
        </w:rPr>
        <w:footnoteRef/>
      </w:r>
      <w:r>
        <w:t xml:space="preserve"> </w:t>
      </w:r>
      <w:r>
        <w:rPr>
          <w:rFonts w:hint="cs"/>
          <w:rtl/>
        </w:rPr>
        <w:t xml:space="preserve"> </w:t>
      </w:r>
      <w:r>
        <w:rPr>
          <w:rFonts w:hint="cs"/>
          <w:rtl/>
        </w:rPr>
        <w:t xml:space="preserve">את המשך הסיפור נביא בעברית ע"ס תרגומו של </w:t>
      </w:r>
      <w:proofErr w:type="spellStart"/>
      <w:r>
        <w:rPr>
          <w:rFonts w:hint="cs"/>
          <w:rtl/>
        </w:rPr>
        <w:t>שטיינזלץ</w:t>
      </w:r>
      <w:proofErr w:type="spellEnd"/>
      <w:r>
        <w:rPr>
          <w:rFonts w:hint="cs"/>
          <w:rtl/>
        </w:rPr>
        <w:t xml:space="preserve"> שם.</w:t>
      </w:r>
    </w:p>
  </w:footnote>
  <w:footnote w:id="12">
    <w:p w14:paraId="54FD0C8F" w14:textId="77777777" w:rsidR="00BB5DF5" w:rsidRDefault="00BB5DF5" w:rsidP="00BB5DF5">
      <w:pPr>
        <w:pStyle w:val="a3"/>
        <w:rPr>
          <w:rtl/>
        </w:rPr>
      </w:pPr>
      <w:r>
        <w:rPr>
          <w:rStyle w:val="a5"/>
        </w:rPr>
        <w:footnoteRef/>
      </w:r>
      <w:r>
        <w:t xml:space="preserve"> </w:t>
      </w:r>
      <w:r>
        <w:rPr>
          <w:rFonts w:hint="cs"/>
          <w:rtl/>
        </w:rPr>
        <w:t xml:space="preserve"> </w:t>
      </w:r>
      <w:r>
        <w:rPr>
          <w:rFonts w:hint="cs"/>
          <w:rtl/>
        </w:rPr>
        <w:t xml:space="preserve">דיבור בגוף שלישי - הרי אתה שונא אותי (או שמא, אני שונא אותך …). אגב, שימו </w:t>
      </w:r>
      <w:smartTag w:uri="urn:schemas-microsoft-com:office:smarttags" w:element="PersonName">
        <w:smartTagPr>
          <w:attr w:name="ProductID" w:val="לב שהשנאה לא"/>
        </w:smartTagPr>
        <w:r>
          <w:rPr>
            <w:rFonts w:hint="cs"/>
            <w:rtl/>
          </w:rPr>
          <w:t>לב שהשנאה לא</w:t>
        </w:r>
      </w:smartTag>
      <w:r>
        <w:rPr>
          <w:rFonts w:hint="cs"/>
          <w:rtl/>
        </w:rPr>
        <w:t xml:space="preserve"> הייתה בין </w:t>
      </w:r>
      <w:proofErr w:type="spellStart"/>
      <w:r>
        <w:rPr>
          <w:rFonts w:hint="cs"/>
          <w:rtl/>
        </w:rPr>
        <w:t>קמצא</w:t>
      </w:r>
      <w:proofErr w:type="spellEnd"/>
      <w:r>
        <w:rPr>
          <w:rFonts w:hint="cs"/>
          <w:rtl/>
        </w:rPr>
        <w:t xml:space="preserve"> ובר </w:t>
      </w:r>
      <w:proofErr w:type="spellStart"/>
      <w:r>
        <w:rPr>
          <w:rFonts w:hint="cs"/>
          <w:rtl/>
        </w:rPr>
        <w:t>קמצא</w:t>
      </w:r>
      <w:proofErr w:type="spellEnd"/>
      <w:r>
        <w:rPr>
          <w:rFonts w:hint="cs"/>
          <w:rtl/>
        </w:rPr>
        <w:t xml:space="preserve">, אלא בין בעל הסעודה ובר </w:t>
      </w:r>
      <w:proofErr w:type="spellStart"/>
      <w:r>
        <w:rPr>
          <w:rFonts w:hint="cs"/>
          <w:rtl/>
        </w:rPr>
        <w:t>קמצא</w:t>
      </w:r>
      <w:proofErr w:type="spellEnd"/>
      <w:r>
        <w:rPr>
          <w:rFonts w:hint="cs"/>
          <w:rtl/>
        </w:rPr>
        <w:t xml:space="preserve">. </w:t>
      </w:r>
      <w:proofErr w:type="spellStart"/>
      <w:r>
        <w:rPr>
          <w:rFonts w:hint="cs"/>
          <w:rtl/>
        </w:rPr>
        <w:t>קמצא</w:t>
      </w:r>
      <w:proofErr w:type="spellEnd"/>
      <w:r>
        <w:rPr>
          <w:rFonts w:hint="cs"/>
          <w:rtl/>
        </w:rPr>
        <w:t xml:space="preserve"> עצמו כלל לא שייך לסיפור. הביטוי "</w:t>
      </w:r>
      <w:proofErr w:type="spellStart"/>
      <w:r>
        <w:rPr>
          <w:rFonts w:hint="cs"/>
          <w:rtl/>
        </w:rPr>
        <w:t>אקמצא</w:t>
      </w:r>
      <w:proofErr w:type="spellEnd"/>
      <w:r>
        <w:rPr>
          <w:rFonts w:hint="cs"/>
          <w:rtl/>
        </w:rPr>
        <w:t xml:space="preserve"> ובר </w:t>
      </w:r>
      <w:proofErr w:type="spellStart"/>
      <w:r>
        <w:rPr>
          <w:rFonts w:hint="cs"/>
          <w:rtl/>
        </w:rPr>
        <w:t>קמצא</w:t>
      </w:r>
      <w:proofErr w:type="spellEnd"/>
      <w:r>
        <w:rPr>
          <w:rFonts w:hint="cs"/>
          <w:rtl/>
        </w:rPr>
        <w:t xml:space="preserve"> חרבה ירושלים" קצת מטעה ונראה שכוונתו להדגיש את צליל המילה (אונומטופיה) של קמצנות וצרות עין שבגינם אירע מה שאירע . והכל בגלל ש</w:t>
      </w:r>
      <w:r>
        <w:rPr>
          <w:rFonts w:hint="eastAsia"/>
          <w:rtl/>
        </w:rPr>
        <w:t>ָׁ</w:t>
      </w:r>
      <w:r>
        <w:rPr>
          <w:rFonts w:hint="cs"/>
          <w:rtl/>
        </w:rPr>
        <w:t>מ</w:t>
      </w:r>
      <w:r>
        <w:rPr>
          <w:rFonts w:hint="eastAsia"/>
          <w:rtl/>
        </w:rPr>
        <w:t>ָ</w:t>
      </w:r>
      <w:r>
        <w:rPr>
          <w:rFonts w:hint="cs"/>
          <w:rtl/>
        </w:rPr>
        <w:t>ש שלא רק שלא שומע טוב, אלא גם איננו יודע מי החברים של בעל הבית שלו ומי אינם.</w:t>
      </w:r>
    </w:p>
  </w:footnote>
  <w:footnote w:id="13">
    <w:p w14:paraId="0AD7A48B" w14:textId="77777777" w:rsidR="00BB5DF5" w:rsidRDefault="00BB5DF5" w:rsidP="00BB5DF5">
      <w:pPr>
        <w:pStyle w:val="a3"/>
        <w:rPr>
          <w:rtl/>
        </w:rPr>
      </w:pPr>
      <w:r>
        <w:rPr>
          <w:rStyle w:val="a5"/>
        </w:rPr>
        <w:footnoteRef/>
      </w:r>
      <w:r>
        <w:t xml:space="preserve"> </w:t>
      </w:r>
      <w:r>
        <w:rPr>
          <w:rFonts w:hint="cs"/>
          <w:rtl/>
        </w:rPr>
        <w:t xml:space="preserve"> </w:t>
      </w:r>
      <w:r>
        <w:rPr>
          <w:rFonts w:hint="cs"/>
          <w:rtl/>
        </w:rPr>
        <w:t xml:space="preserve">ובלבד שלא תוציאני ולא תביישני ברבים. הנקודה המרכזית מצד בר </w:t>
      </w:r>
      <w:proofErr w:type="spellStart"/>
      <w:r>
        <w:rPr>
          <w:rFonts w:hint="cs"/>
          <w:rtl/>
        </w:rPr>
        <w:t>קמצא</w:t>
      </w:r>
      <w:proofErr w:type="spellEnd"/>
      <w:r>
        <w:rPr>
          <w:rFonts w:hint="cs"/>
          <w:rtl/>
        </w:rPr>
        <w:t xml:space="preserve"> היא הבושה (הביוש), כפי שהגמרא עצמה מסכמת שני דפים מאוחר יותר (</w:t>
      </w:r>
      <w:proofErr w:type="spellStart"/>
      <w:r>
        <w:rPr>
          <w:rFonts w:hint="cs"/>
          <w:rtl/>
        </w:rPr>
        <w:t>נז</w:t>
      </w:r>
      <w:proofErr w:type="spellEnd"/>
      <w:r>
        <w:rPr>
          <w:rFonts w:hint="cs"/>
          <w:rtl/>
        </w:rPr>
        <w:t xml:space="preserve"> ע"א): "תניא, אמר רבי אלעזר: בא וראה כמה גדולה </w:t>
      </w:r>
      <w:proofErr w:type="spellStart"/>
      <w:r>
        <w:rPr>
          <w:rFonts w:hint="cs"/>
          <w:rtl/>
        </w:rPr>
        <w:t>כחה</w:t>
      </w:r>
      <w:proofErr w:type="spellEnd"/>
      <w:r>
        <w:rPr>
          <w:rFonts w:hint="cs"/>
          <w:rtl/>
        </w:rPr>
        <w:t xml:space="preserve"> של בושה, שהרי סייע הקב"ה את בר </w:t>
      </w:r>
      <w:proofErr w:type="spellStart"/>
      <w:r>
        <w:rPr>
          <w:rFonts w:hint="cs"/>
          <w:rtl/>
        </w:rPr>
        <w:t>קמצא</w:t>
      </w:r>
      <w:proofErr w:type="spellEnd"/>
      <w:r>
        <w:rPr>
          <w:rFonts w:hint="cs"/>
          <w:rtl/>
        </w:rPr>
        <w:t xml:space="preserve">, והחריב את ביתו ושרף את היכלו". ובספר אורחות צדיקים שער הבושה כתב: "וחורבן ירושלים נתגלגל על ידי בושת דבר </w:t>
      </w:r>
      <w:proofErr w:type="spellStart"/>
      <w:r>
        <w:rPr>
          <w:rFonts w:hint="cs"/>
          <w:rtl/>
        </w:rPr>
        <w:t>קמצא</w:t>
      </w:r>
      <w:proofErr w:type="spellEnd"/>
      <w:r>
        <w:rPr>
          <w:rFonts w:hint="cs"/>
          <w:rtl/>
        </w:rPr>
        <w:t xml:space="preserve">". </w:t>
      </w:r>
    </w:p>
  </w:footnote>
  <w:footnote w:id="14">
    <w:p w14:paraId="774C5F2D" w14:textId="3479C730" w:rsidR="009A5A4F" w:rsidRDefault="009A5A4F">
      <w:pPr>
        <w:pStyle w:val="a3"/>
        <w:rPr>
          <w:rtl/>
        </w:rPr>
      </w:pPr>
      <w:r>
        <w:rPr>
          <w:rStyle w:val="a5"/>
        </w:rPr>
        <w:footnoteRef/>
      </w:r>
      <w:r>
        <w:rPr>
          <w:rtl/>
        </w:rPr>
        <w:t xml:space="preserve"> </w:t>
      </w:r>
      <w:r>
        <w:rPr>
          <w:rFonts w:hint="cs"/>
          <w:rtl/>
        </w:rPr>
        <w:t xml:space="preserve">ארבע דמויות מפתח בסיפור ידוע זה. בעל הסעודה שבדיבור פיו מגרש את בר </w:t>
      </w:r>
      <w:proofErr w:type="spellStart"/>
      <w:r>
        <w:rPr>
          <w:rFonts w:hint="cs"/>
          <w:rtl/>
        </w:rPr>
        <w:t>קמצא</w:t>
      </w:r>
      <w:proofErr w:type="spellEnd"/>
      <w:r>
        <w:rPr>
          <w:rFonts w:hint="cs"/>
          <w:rtl/>
        </w:rPr>
        <w:t xml:space="preserve">  מהסעודה וממאן להקשיב לו ולראות נכוחה את הביזוי שהוא עושה לבר </w:t>
      </w:r>
      <w:proofErr w:type="spellStart"/>
      <w:r>
        <w:rPr>
          <w:rFonts w:hint="cs"/>
          <w:rtl/>
        </w:rPr>
        <w:t>קמצא</w:t>
      </w:r>
      <w:proofErr w:type="spellEnd"/>
      <w:r>
        <w:rPr>
          <w:rFonts w:hint="cs"/>
          <w:rtl/>
        </w:rPr>
        <w:t xml:space="preserve">. נסחף בדיבורו ולא רואה בעיניו. או שמא רואה ומבין היטב מה הוא עושה, אך לפה </w:t>
      </w:r>
      <w:proofErr w:type="spellStart"/>
      <w:r>
        <w:rPr>
          <w:rFonts w:hint="cs"/>
          <w:rtl/>
        </w:rPr>
        <w:t>כח</w:t>
      </w:r>
      <w:proofErr w:type="spellEnd"/>
      <w:r>
        <w:rPr>
          <w:rFonts w:hint="cs"/>
          <w:rtl/>
        </w:rPr>
        <w:t xml:space="preserve"> משלו </w:t>
      </w:r>
      <w:proofErr w:type="spellStart"/>
      <w:r>
        <w:rPr>
          <w:rFonts w:hint="cs"/>
          <w:rtl/>
        </w:rPr>
        <w:t>ולבסןף</w:t>
      </w:r>
      <w:proofErr w:type="spellEnd"/>
      <w:r>
        <w:rPr>
          <w:rFonts w:hint="cs"/>
          <w:rtl/>
        </w:rPr>
        <w:t xml:space="preserve"> מצטרפת היד לפה ובר </w:t>
      </w:r>
      <w:proofErr w:type="spellStart"/>
      <w:r>
        <w:rPr>
          <w:rFonts w:hint="cs"/>
          <w:rtl/>
        </w:rPr>
        <w:t>קמצא</w:t>
      </w:r>
      <w:proofErr w:type="spellEnd"/>
      <w:r>
        <w:rPr>
          <w:rFonts w:hint="cs"/>
          <w:rtl/>
        </w:rPr>
        <w:t xml:space="preserve"> מגורש פיסית מהסעודה. דמות שנייה היא בר </w:t>
      </w:r>
      <w:proofErr w:type="spellStart"/>
      <w:r>
        <w:rPr>
          <w:rFonts w:hint="cs"/>
          <w:rtl/>
        </w:rPr>
        <w:t>קמצא</w:t>
      </w:r>
      <w:proofErr w:type="spellEnd"/>
      <w:r>
        <w:rPr>
          <w:rFonts w:hint="cs"/>
          <w:rtl/>
        </w:rPr>
        <w:t xml:space="preserve"> שמיהר להלשין לרומאים </w:t>
      </w:r>
      <w:r>
        <w:rPr>
          <w:rtl/>
        </w:rPr>
        <w:t>–</w:t>
      </w:r>
      <w:r>
        <w:rPr>
          <w:rFonts w:hint="cs"/>
          <w:rtl/>
        </w:rPr>
        <w:t xml:space="preserve"> כוחו של לשון הרע. שלישית הם החכמים שאולי ראו ועכ"פ לא מחו ולא התערבו. ודמות רביעית היא </w:t>
      </w:r>
      <w:r w:rsidRPr="009A5A4F">
        <w:rPr>
          <w:rtl/>
        </w:rPr>
        <w:t xml:space="preserve">רבי זכריה בן </w:t>
      </w:r>
      <w:proofErr w:type="spellStart"/>
      <w:r w:rsidRPr="009A5A4F">
        <w:rPr>
          <w:rtl/>
        </w:rPr>
        <w:t>אבקולס</w:t>
      </w:r>
      <w:proofErr w:type="spellEnd"/>
      <w:r>
        <w:rPr>
          <w:rFonts w:hint="cs"/>
          <w:rtl/>
        </w:rPr>
        <w:t xml:space="preserve"> שפסק מה שפסק "מתוך הספר" ולא "ראה" את הנושא בכללותו.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9FF9" w14:textId="617C14BC" w:rsidR="00FA62AE" w:rsidRDefault="00FA62AE" w:rsidP="00C37F2D">
    <w:pPr>
      <w:pStyle w:val="1"/>
      <w:tabs>
        <w:tab w:val="clear" w:pos="9469"/>
        <w:tab w:val="right" w:pos="9299"/>
        <w:tab w:val="right" w:pos="9582"/>
      </w:tabs>
      <w:rPr>
        <w:rtl/>
      </w:rPr>
    </w:pPr>
    <w:r>
      <w:rPr>
        <w:rFonts w:hint="cs"/>
        <w:rtl/>
      </w:rPr>
      <w:t>תשעה באב</w:t>
    </w:r>
    <w:r>
      <w:rPr>
        <w:rtl/>
      </w:rPr>
      <w:tab/>
    </w:r>
    <w:r>
      <w:rPr>
        <w:rFonts w:hint="cs"/>
        <w:rtl/>
      </w:rPr>
      <w:t>תשפ</w:t>
    </w:r>
    <w:r w:rsidR="002E4F16">
      <w:rPr>
        <w:rFonts w:hint="cs"/>
        <w:rtl/>
      </w:rPr>
      <w:t>"ה</w:t>
    </w:r>
  </w:p>
  <w:p w14:paraId="1D8601E7" w14:textId="77777777" w:rsidR="00FA62AE" w:rsidRDefault="00FA62AE">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025F" w14:textId="232FC177" w:rsidR="00FA62AE" w:rsidRDefault="00FA62AE">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תשעה באב</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64084">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63326847">
    <w:abstractNumId w:val="8"/>
  </w:num>
  <w:num w:numId="2" w16cid:durableId="239407278">
    <w:abstractNumId w:val="3"/>
  </w:num>
  <w:num w:numId="3" w16cid:durableId="1644307009">
    <w:abstractNumId w:val="2"/>
  </w:num>
  <w:num w:numId="4" w16cid:durableId="884412186">
    <w:abstractNumId w:val="1"/>
  </w:num>
  <w:num w:numId="5" w16cid:durableId="1884252480">
    <w:abstractNumId w:val="0"/>
  </w:num>
  <w:num w:numId="6" w16cid:durableId="358895890">
    <w:abstractNumId w:val="9"/>
  </w:num>
  <w:num w:numId="7" w16cid:durableId="584001124">
    <w:abstractNumId w:val="7"/>
  </w:num>
  <w:num w:numId="8" w16cid:durableId="1909343808">
    <w:abstractNumId w:val="6"/>
  </w:num>
  <w:num w:numId="9" w16cid:durableId="1714959473">
    <w:abstractNumId w:val="5"/>
  </w:num>
  <w:num w:numId="10" w16cid:durableId="121427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1NDQ2NDM2tjQxtTRS0lEKTi0uzszPAykwqQUAUiksYSwAAAA="/>
  </w:docVars>
  <w:rsids>
    <w:rsidRoot w:val="00180B77"/>
    <w:rsid w:val="00005889"/>
    <w:rsid w:val="00006193"/>
    <w:rsid w:val="00007243"/>
    <w:rsid w:val="00007D85"/>
    <w:rsid w:val="0001073C"/>
    <w:rsid w:val="0004109B"/>
    <w:rsid w:val="000433F0"/>
    <w:rsid w:val="000635EE"/>
    <w:rsid w:val="00080E16"/>
    <w:rsid w:val="0008424A"/>
    <w:rsid w:val="0009469E"/>
    <w:rsid w:val="00094D2E"/>
    <w:rsid w:val="00096A04"/>
    <w:rsid w:val="000B5D9D"/>
    <w:rsid w:val="000C33C2"/>
    <w:rsid w:val="000D418E"/>
    <w:rsid w:val="000D690B"/>
    <w:rsid w:val="000F01F1"/>
    <w:rsid w:val="000F6FF8"/>
    <w:rsid w:val="0013278E"/>
    <w:rsid w:val="00147354"/>
    <w:rsid w:val="00180B77"/>
    <w:rsid w:val="00181A4C"/>
    <w:rsid w:val="001901FE"/>
    <w:rsid w:val="00192EBD"/>
    <w:rsid w:val="00194B69"/>
    <w:rsid w:val="001C63C4"/>
    <w:rsid w:val="001D22A5"/>
    <w:rsid w:val="001D3085"/>
    <w:rsid w:val="001E721E"/>
    <w:rsid w:val="001E7724"/>
    <w:rsid w:val="001F5229"/>
    <w:rsid w:val="001F62FA"/>
    <w:rsid w:val="00205F93"/>
    <w:rsid w:val="00220501"/>
    <w:rsid w:val="00230D70"/>
    <w:rsid w:val="00264084"/>
    <w:rsid w:val="0026416D"/>
    <w:rsid w:val="00275F0E"/>
    <w:rsid w:val="00282527"/>
    <w:rsid w:val="00290332"/>
    <w:rsid w:val="00293607"/>
    <w:rsid w:val="002A46E7"/>
    <w:rsid w:val="002B2AE1"/>
    <w:rsid w:val="002B46FE"/>
    <w:rsid w:val="002C0C26"/>
    <w:rsid w:val="002C56A8"/>
    <w:rsid w:val="002C574F"/>
    <w:rsid w:val="002C5FF6"/>
    <w:rsid w:val="002D3D2A"/>
    <w:rsid w:val="002E4C98"/>
    <w:rsid w:val="002E4F16"/>
    <w:rsid w:val="002F7713"/>
    <w:rsid w:val="0030383A"/>
    <w:rsid w:val="00310CF6"/>
    <w:rsid w:val="003364B8"/>
    <w:rsid w:val="00344123"/>
    <w:rsid w:val="003462E2"/>
    <w:rsid w:val="00350EA6"/>
    <w:rsid w:val="00395D5A"/>
    <w:rsid w:val="00397EBD"/>
    <w:rsid w:val="003A025E"/>
    <w:rsid w:val="003A271A"/>
    <w:rsid w:val="003C0A27"/>
    <w:rsid w:val="003C3305"/>
    <w:rsid w:val="003C33D6"/>
    <w:rsid w:val="003D404E"/>
    <w:rsid w:val="003E4C21"/>
    <w:rsid w:val="003E4D76"/>
    <w:rsid w:val="003F4EBC"/>
    <w:rsid w:val="00400E7C"/>
    <w:rsid w:val="00410A5C"/>
    <w:rsid w:val="0044106A"/>
    <w:rsid w:val="0044124B"/>
    <w:rsid w:val="00441A01"/>
    <w:rsid w:val="00451ABF"/>
    <w:rsid w:val="00453533"/>
    <w:rsid w:val="00453805"/>
    <w:rsid w:val="00475DCB"/>
    <w:rsid w:val="0048151F"/>
    <w:rsid w:val="004862A8"/>
    <w:rsid w:val="00486302"/>
    <w:rsid w:val="004A4867"/>
    <w:rsid w:val="004C2958"/>
    <w:rsid w:val="004E2FF3"/>
    <w:rsid w:val="004E56CE"/>
    <w:rsid w:val="005000BA"/>
    <w:rsid w:val="005009AA"/>
    <w:rsid w:val="005138C0"/>
    <w:rsid w:val="0052255E"/>
    <w:rsid w:val="00527303"/>
    <w:rsid w:val="005414D7"/>
    <w:rsid w:val="00547142"/>
    <w:rsid w:val="00562741"/>
    <w:rsid w:val="005A00E3"/>
    <w:rsid w:val="005A42FD"/>
    <w:rsid w:val="005A4487"/>
    <w:rsid w:val="005A5EA5"/>
    <w:rsid w:val="005B2E40"/>
    <w:rsid w:val="005C1D07"/>
    <w:rsid w:val="005C6FCE"/>
    <w:rsid w:val="005E0A0E"/>
    <w:rsid w:val="005E11F8"/>
    <w:rsid w:val="005F1B6A"/>
    <w:rsid w:val="00600AAD"/>
    <w:rsid w:val="0060514C"/>
    <w:rsid w:val="0062323B"/>
    <w:rsid w:val="00627BBD"/>
    <w:rsid w:val="00630D1F"/>
    <w:rsid w:val="00647565"/>
    <w:rsid w:val="00647941"/>
    <w:rsid w:val="00652722"/>
    <w:rsid w:val="00655910"/>
    <w:rsid w:val="00670079"/>
    <w:rsid w:val="00670236"/>
    <w:rsid w:val="00672F3F"/>
    <w:rsid w:val="00676768"/>
    <w:rsid w:val="0067740B"/>
    <w:rsid w:val="006B0F7C"/>
    <w:rsid w:val="006C14D4"/>
    <w:rsid w:val="006C3456"/>
    <w:rsid w:val="006C7490"/>
    <w:rsid w:val="006D0C61"/>
    <w:rsid w:val="006D6BA2"/>
    <w:rsid w:val="006E39FD"/>
    <w:rsid w:val="00700BB4"/>
    <w:rsid w:val="007073E2"/>
    <w:rsid w:val="00720C9D"/>
    <w:rsid w:val="007221A0"/>
    <w:rsid w:val="0072468C"/>
    <w:rsid w:val="0074126D"/>
    <w:rsid w:val="00776BA7"/>
    <w:rsid w:val="007807CA"/>
    <w:rsid w:val="00784CF2"/>
    <w:rsid w:val="007925DB"/>
    <w:rsid w:val="0079306B"/>
    <w:rsid w:val="007A27F6"/>
    <w:rsid w:val="007A58AC"/>
    <w:rsid w:val="007B1095"/>
    <w:rsid w:val="007B1AF5"/>
    <w:rsid w:val="007C58A0"/>
    <w:rsid w:val="007E354F"/>
    <w:rsid w:val="007F636F"/>
    <w:rsid w:val="00801374"/>
    <w:rsid w:val="0080183D"/>
    <w:rsid w:val="008055E1"/>
    <w:rsid w:val="00805DEA"/>
    <w:rsid w:val="00807778"/>
    <w:rsid w:val="00831FA3"/>
    <w:rsid w:val="00832E12"/>
    <w:rsid w:val="00840C5A"/>
    <w:rsid w:val="0084780E"/>
    <w:rsid w:val="00856FF1"/>
    <w:rsid w:val="00857A42"/>
    <w:rsid w:val="0087119C"/>
    <w:rsid w:val="00875103"/>
    <w:rsid w:val="00880039"/>
    <w:rsid w:val="00883C2F"/>
    <w:rsid w:val="00883C6F"/>
    <w:rsid w:val="00886DDE"/>
    <w:rsid w:val="00891152"/>
    <w:rsid w:val="00891688"/>
    <w:rsid w:val="008932CB"/>
    <w:rsid w:val="008A5030"/>
    <w:rsid w:val="008A7EDF"/>
    <w:rsid w:val="008A7F48"/>
    <w:rsid w:val="008D0B19"/>
    <w:rsid w:val="008E1411"/>
    <w:rsid w:val="008E2B9E"/>
    <w:rsid w:val="0091002D"/>
    <w:rsid w:val="009135C2"/>
    <w:rsid w:val="009373CA"/>
    <w:rsid w:val="009410C5"/>
    <w:rsid w:val="00942B1B"/>
    <w:rsid w:val="0095264E"/>
    <w:rsid w:val="00957DF3"/>
    <w:rsid w:val="009670F1"/>
    <w:rsid w:val="00980794"/>
    <w:rsid w:val="009828B2"/>
    <w:rsid w:val="00985923"/>
    <w:rsid w:val="00986E42"/>
    <w:rsid w:val="00987235"/>
    <w:rsid w:val="009877DF"/>
    <w:rsid w:val="009A5A4F"/>
    <w:rsid w:val="009A64BF"/>
    <w:rsid w:val="009B1B5A"/>
    <w:rsid w:val="009B24CF"/>
    <w:rsid w:val="009B5AEC"/>
    <w:rsid w:val="009D4AEB"/>
    <w:rsid w:val="009E0CA1"/>
    <w:rsid w:val="009F5DF2"/>
    <w:rsid w:val="00A20071"/>
    <w:rsid w:val="00A274CC"/>
    <w:rsid w:val="00A32187"/>
    <w:rsid w:val="00A322A5"/>
    <w:rsid w:val="00A35FA3"/>
    <w:rsid w:val="00A6712A"/>
    <w:rsid w:val="00A70E23"/>
    <w:rsid w:val="00A74128"/>
    <w:rsid w:val="00A812BC"/>
    <w:rsid w:val="00A87E52"/>
    <w:rsid w:val="00A87FC9"/>
    <w:rsid w:val="00A90F31"/>
    <w:rsid w:val="00A9504E"/>
    <w:rsid w:val="00AA6BE8"/>
    <w:rsid w:val="00AB4A51"/>
    <w:rsid w:val="00AC6F8E"/>
    <w:rsid w:val="00AD6B4D"/>
    <w:rsid w:val="00AE0666"/>
    <w:rsid w:val="00AE2084"/>
    <w:rsid w:val="00AF1925"/>
    <w:rsid w:val="00AF4EDB"/>
    <w:rsid w:val="00AF79DD"/>
    <w:rsid w:val="00B01AEF"/>
    <w:rsid w:val="00B07F2F"/>
    <w:rsid w:val="00B20B5D"/>
    <w:rsid w:val="00B263E3"/>
    <w:rsid w:val="00B32145"/>
    <w:rsid w:val="00B33037"/>
    <w:rsid w:val="00B33B88"/>
    <w:rsid w:val="00B4138E"/>
    <w:rsid w:val="00B53B7C"/>
    <w:rsid w:val="00B55FCE"/>
    <w:rsid w:val="00B632E5"/>
    <w:rsid w:val="00B7257C"/>
    <w:rsid w:val="00B83FDD"/>
    <w:rsid w:val="00B8541F"/>
    <w:rsid w:val="00B90CAB"/>
    <w:rsid w:val="00B91E78"/>
    <w:rsid w:val="00B97672"/>
    <w:rsid w:val="00BA149C"/>
    <w:rsid w:val="00BA24FD"/>
    <w:rsid w:val="00BA4B4E"/>
    <w:rsid w:val="00BA7B02"/>
    <w:rsid w:val="00BB2167"/>
    <w:rsid w:val="00BB2AA5"/>
    <w:rsid w:val="00BB564B"/>
    <w:rsid w:val="00BB5DF5"/>
    <w:rsid w:val="00BB63CE"/>
    <w:rsid w:val="00BB747E"/>
    <w:rsid w:val="00BC047C"/>
    <w:rsid w:val="00BC4CB4"/>
    <w:rsid w:val="00BD0390"/>
    <w:rsid w:val="00BE0DAE"/>
    <w:rsid w:val="00BE3CEE"/>
    <w:rsid w:val="00BE7048"/>
    <w:rsid w:val="00BF1AAE"/>
    <w:rsid w:val="00BF53E9"/>
    <w:rsid w:val="00BF5697"/>
    <w:rsid w:val="00BF5783"/>
    <w:rsid w:val="00BF7DC2"/>
    <w:rsid w:val="00C0149B"/>
    <w:rsid w:val="00C12D76"/>
    <w:rsid w:val="00C16683"/>
    <w:rsid w:val="00C345FF"/>
    <w:rsid w:val="00C36A41"/>
    <w:rsid w:val="00C37F2D"/>
    <w:rsid w:val="00C42C0F"/>
    <w:rsid w:val="00C6209B"/>
    <w:rsid w:val="00C70617"/>
    <w:rsid w:val="00C760A1"/>
    <w:rsid w:val="00C83D36"/>
    <w:rsid w:val="00C91873"/>
    <w:rsid w:val="00C9678E"/>
    <w:rsid w:val="00CB22EC"/>
    <w:rsid w:val="00CB728F"/>
    <w:rsid w:val="00CC16DF"/>
    <w:rsid w:val="00CC2FAB"/>
    <w:rsid w:val="00CC7682"/>
    <w:rsid w:val="00CD35E9"/>
    <w:rsid w:val="00CD39D9"/>
    <w:rsid w:val="00CD6899"/>
    <w:rsid w:val="00CE3F4A"/>
    <w:rsid w:val="00CF7565"/>
    <w:rsid w:val="00D02D07"/>
    <w:rsid w:val="00D069C0"/>
    <w:rsid w:val="00D07552"/>
    <w:rsid w:val="00D11127"/>
    <w:rsid w:val="00D12055"/>
    <w:rsid w:val="00D133FA"/>
    <w:rsid w:val="00D24870"/>
    <w:rsid w:val="00D34B2B"/>
    <w:rsid w:val="00D40A4F"/>
    <w:rsid w:val="00D50EE2"/>
    <w:rsid w:val="00D56B0D"/>
    <w:rsid w:val="00D7243B"/>
    <w:rsid w:val="00D802A2"/>
    <w:rsid w:val="00D94237"/>
    <w:rsid w:val="00DA0234"/>
    <w:rsid w:val="00DA1748"/>
    <w:rsid w:val="00DA2EE3"/>
    <w:rsid w:val="00DA794B"/>
    <w:rsid w:val="00DD30BA"/>
    <w:rsid w:val="00DF2D46"/>
    <w:rsid w:val="00DF4B90"/>
    <w:rsid w:val="00DF581D"/>
    <w:rsid w:val="00DF78B6"/>
    <w:rsid w:val="00E04243"/>
    <w:rsid w:val="00E155C6"/>
    <w:rsid w:val="00E23C02"/>
    <w:rsid w:val="00E36F33"/>
    <w:rsid w:val="00E37035"/>
    <w:rsid w:val="00E41A4B"/>
    <w:rsid w:val="00E67719"/>
    <w:rsid w:val="00E678AA"/>
    <w:rsid w:val="00E67DD4"/>
    <w:rsid w:val="00E90920"/>
    <w:rsid w:val="00E91C57"/>
    <w:rsid w:val="00EA2221"/>
    <w:rsid w:val="00EE33F3"/>
    <w:rsid w:val="00EE6961"/>
    <w:rsid w:val="00EF1386"/>
    <w:rsid w:val="00F00CBB"/>
    <w:rsid w:val="00F11D47"/>
    <w:rsid w:val="00F2107C"/>
    <w:rsid w:val="00F3212E"/>
    <w:rsid w:val="00F362F0"/>
    <w:rsid w:val="00F46222"/>
    <w:rsid w:val="00F643FA"/>
    <w:rsid w:val="00F723A8"/>
    <w:rsid w:val="00F81614"/>
    <w:rsid w:val="00F84A93"/>
    <w:rsid w:val="00F978D6"/>
    <w:rsid w:val="00FA0384"/>
    <w:rsid w:val="00FA1D81"/>
    <w:rsid w:val="00FA62AE"/>
    <w:rsid w:val="00FD31D6"/>
    <w:rsid w:val="00FD68BF"/>
    <w:rsid w:val="00FE5ED0"/>
    <w:rsid w:val="00FF34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D15C52"/>
  <w15:chartTrackingRefBased/>
  <w15:docId w15:val="{1080072C-F807-4696-8309-CE24A0DB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084"/>
    <w:pPr>
      <w:bidi/>
    </w:pPr>
    <w:rPr>
      <w:rFonts w:cs="Narkisim"/>
      <w:sz w:val="22"/>
      <w:szCs w:val="22"/>
      <w:lang w:eastAsia="he-IL"/>
    </w:rPr>
  </w:style>
  <w:style w:type="paragraph" w:styleId="1">
    <w:name w:val="heading 1"/>
    <w:basedOn w:val="a"/>
    <w:next w:val="a"/>
    <w:link w:val="10"/>
    <w:qFormat/>
    <w:rsid w:val="00264084"/>
    <w:pPr>
      <w:keepNext/>
      <w:tabs>
        <w:tab w:val="right" w:pos="9469"/>
      </w:tabs>
      <w:jc w:val="both"/>
      <w:outlineLvl w:val="0"/>
    </w:pPr>
    <w:rPr>
      <w:rFonts w:cs="David"/>
      <w:b/>
      <w:bCs/>
      <w:szCs w:val="28"/>
    </w:rPr>
  </w:style>
  <w:style w:type="character" w:default="1" w:styleId="a0">
    <w:name w:val="Default Paragraph Font"/>
    <w:uiPriority w:val="1"/>
    <w:semiHidden/>
    <w:unhideWhenUsed/>
    <w:rsid w:val="0026408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64084"/>
  </w:style>
  <w:style w:type="paragraph" w:styleId="a3">
    <w:name w:val="footnote text"/>
    <w:basedOn w:val="a"/>
    <w:link w:val="a4"/>
    <w:rsid w:val="00264084"/>
    <w:pPr>
      <w:ind w:left="170" w:hanging="170"/>
      <w:jc w:val="both"/>
    </w:pPr>
    <w:rPr>
      <w:sz w:val="20"/>
      <w:szCs w:val="20"/>
    </w:rPr>
  </w:style>
  <w:style w:type="character" w:styleId="a5">
    <w:name w:val="footnote reference"/>
    <w:basedOn w:val="a0"/>
    <w:semiHidden/>
    <w:rsid w:val="00264084"/>
    <w:rPr>
      <w:vertAlign w:val="superscript"/>
    </w:rPr>
  </w:style>
  <w:style w:type="paragraph" w:styleId="a6">
    <w:name w:val="header"/>
    <w:basedOn w:val="a"/>
    <w:link w:val="a7"/>
    <w:rsid w:val="00264084"/>
    <w:pPr>
      <w:tabs>
        <w:tab w:val="center" w:pos="4153"/>
        <w:tab w:val="right" w:pos="8306"/>
      </w:tabs>
    </w:pPr>
  </w:style>
  <w:style w:type="paragraph" w:styleId="a8">
    <w:name w:val="footer"/>
    <w:basedOn w:val="a"/>
    <w:link w:val="a9"/>
    <w:rsid w:val="00264084"/>
    <w:pPr>
      <w:tabs>
        <w:tab w:val="center" w:pos="4153"/>
        <w:tab w:val="right" w:pos="8306"/>
      </w:tabs>
    </w:pPr>
  </w:style>
  <w:style w:type="paragraph" w:customStyle="1" w:styleId="aa">
    <w:name w:val="כותרת"/>
    <w:basedOn w:val="a"/>
    <w:rsid w:val="00264084"/>
    <w:pPr>
      <w:spacing w:before="240" w:line="320" w:lineRule="atLeast"/>
      <w:jc w:val="center"/>
    </w:pPr>
    <w:rPr>
      <w:rFonts w:cs="David"/>
      <w:b/>
      <w:bCs/>
      <w:spacing w:val="20"/>
      <w:szCs w:val="32"/>
    </w:rPr>
  </w:style>
  <w:style w:type="paragraph" w:customStyle="1" w:styleId="ab">
    <w:name w:val="כותרת קטע"/>
    <w:basedOn w:val="a"/>
    <w:rsid w:val="00264084"/>
    <w:pPr>
      <w:spacing w:before="240" w:line="300" w:lineRule="atLeast"/>
    </w:pPr>
    <w:rPr>
      <w:rFonts w:cs="Arial"/>
      <w:b/>
      <w:bCs/>
      <w:szCs w:val="24"/>
    </w:rPr>
  </w:style>
  <w:style w:type="paragraph" w:customStyle="1" w:styleId="ac">
    <w:name w:val="מקור"/>
    <w:basedOn w:val="a"/>
    <w:rsid w:val="00264084"/>
    <w:pPr>
      <w:spacing w:line="320" w:lineRule="atLeast"/>
      <w:jc w:val="both"/>
    </w:pPr>
    <w:rPr>
      <w:rFonts w:cs="David"/>
      <w:szCs w:val="24"/>
    </w:rPr>
  </w:style>
  <w:style w:type="paragraph" w:customStyle="1" w:styleId="ad">
    <w:name w:val="מחלקי המים"/>
    <w:basedOn w:val="a"/>
    <w:rsid w:val="00264084"/>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264084"/>
    <w:rPr>
      <w:rFonts w:ascii="Tahoma" w:hAnsi="Tahoma" w:cs="Tahoma"/>
      <w:sz w:val="16"/>
      <w:szCs w:val="16"/>
    </w:rPr>
  </w:style>
  <w:style w:type="character" w:styleId="af1">
    <w:name w:val="page number"/>
    <w:basedOn w:val="a0"/>
    <w:rsid w:val="003A025E"/>
  </w:style>
  <w:style w:type="character" w:styleId="Hyperlink">
    <w:name w:val="Hyperlink"/>
    <w:basedOn w:val="a0"/>
    <w:rsid w:val="00264084"/>
    <w:rPr>
      <w:color w:val="0563C1" w:themeColor="hyperlink"/>
      <w:u w:val="single"/>
    </w:rPr>
  </w:style>
  <w:style w:type="character" w:customStyle="1" w:styleId="a4">
    <w:name w:val="טקסט הערת שוליים תו"/>
    <w:basedOn w:val="a0"/>
    <w:link w:val="a3"/>
    <w:rsid w:val="00264084"/>
    <w:rPr>
      <w:rFonts w:cs="Narkisim"/>
      <w:lang w:eastAsia="he-IL"/>
    </w:rPr>
  </w:style>
  <w:style w:type="character" w:customStyle="1" w:styleId="10">
    <w:name w:val="כותרת 1 תו"/>
    <w:basedOn w:val="a0"/>
    <w:link w:val="1"/>
    <w:rsid w:val="00264084"/>
    <w:rPr>
      <w:rFonts w:cs="David"/>
      <w:b/>
      <w:bCs/>
      <w:sz w:val="22"/>
      <w:szCs w:val="28"/>
      <w:lang w:eastAsia="he-IL"/>
    </w:rPr>
  </w:style>
  <w:style w:type="character" w:customStyle="1" w:styleId="a7">
    <w:name w:val="כותרת עליונה תו"/>
    <w:basedOn w:val="a0"/>
    <w:link w:val="a6"/>
    <w:rsid w:val="00264084"/>
    <w:rPr>
      <w:rFonts w:cs="Narkisim"/>
      <w:sz w:val="22"/>
      <w:szCs w:val="22"/>
      <w:lang w:eastAsia="he-IL"/>
    </w:rPr>
  </w:style>
  <w:style w:type="character" w:customStyle="1" w:styleId="a9">
    <w:name w:val="כותרת תחתונה תו"/>
    <w:basedOn w:val="a0"/>
    <w:link w:val="a8"/>
    <w:rsid w:val="00264084"/>
    <w:rPr>
      <w:rFonts w:cs="Narkisim"/>
      <w:sz w:val="22"/>
      <w:szCs w:val="22"/>
      <w:lang w:eastAsia="he-IL"/>
    </w:rPr>
  </w:style>
  <w:style w:type="paragraph" w:styleId="NormalWeb">
    <w:name w:val="Normal (Web)"/>
    <w:basedOn w:val="a"/>
    <w:uiPriority w:val="99"/>
    <w:unhideWhenUsed/>
    <w:rsid w:val="00400E7C"/>
    <w:pPr>
      <w:bidi w:val="0"/>
      <w:spacing w:before="100" w:beforeAutospacing="1" w:after="100" w:afterAutospacing="1"/>
    </w:pPr>
    <w:rPr>
      <w:rFonts w:cs="Times New Roman"/>
      <w:sz w:val="24"/>
      <w:szCs w:val="24"/>
      <w:lang w:eastAsia="en-US"/>
    </w:rPr>
  </w:style>
  <w:style w:type="character" w:styleId="FollowedHyperlink">
    <w:name w:val="FollowedHyperlink"/>
    <w:rsid w:val="00395D5A"/>
    <w:rPr>
      <w:color w:val="800080"/>
      <w:u w:val="single"/>
    </w:rPr>
  </w:style>
  <w:style w:type="character" w:customStyle="1" w:styleId="af0">
    <w:name w:val="טקסט בלונים תו"/>
    <w:basedOn w:val="a0"/>
    <w:link w:val="af"/>
    <w:uiPriority w:val="99"/>
    <w:semiHidden/>
    <w:rsid w:val="00264084"/>
    <w:rPr>
      <w:rFonts w:ascii="Tahoma" w:hAnsi="Tahoma" w:cs="Tahoma"/>
      <w:sz w:val="16"/>
      <w:szCs w:val="16"/>
      <w:lang w:eastAsia="he-IL"/>
    </w:rPr>
  </w:style>
  <w:style w:type="paragraph" w:customStyle="1" w:styleId="af2">
    <w:name w:val="פסוק"/>
    <w:basedOn w:val="ac"/>
    <w:qFormat/>
    <w:rsid w:val="00264084"/>
    <w:pPr>
      <w:spacing w:before="120"/>
    </w:pPr>
    <w:rPr>
      <w:b/>
      <w:bCs/>
    </w:rPr>
  </w:style>
  <w:style w:type="character" w:styleId="af3">
    <w:name w:val="Unresolved Mention"/>
    <w:basedOn w:val="a0"/>
    <w:uiPriority w:val="99"/>
    <w:semiHidden/>
    <w:unhideWhenUsed/>
    <w:rsid w:val="00230D70"/>
    <w:rPr>
      <w:color w:val="605E5C"/>
      <w:shd w:val="clear" w:color="auto" w:fill="E1DFDD"/>
    </w:rPr>
  </w:style>
  <w:style w:type="character" w:styleId="af4">
    <w:name w:val="annotation reference"/>
    <w:basedOn w:val="a0"/>
    <w:rsid w:val="00CD39D9"/>
    <w:rPr>
      <w:sz w:val="16"/>
      <w:szCs w:val="16"/>
    </w:rPr>
  </w:style>
  <w:style w:type="paragraph" w:styleId="af5">
    <w:name w:val="annotation text"/>
    <w:basedOn w:val="a"/>
    <w:link w:val="af6"/>
    <w:rsid w:val="00CD39D9"/>
    <w:rPr>
      <w:sz w:val="20"/>
      <w:szCs w:val="20"/>
    </w:rPr>
  </w:style>
  <w:style w:type="character" w:customStyle="1" w:styleId="af6">
    <w:name w:val="טקסט הערה תו"/>
    <w:basedOn w:val="a0"/>
    <w:link w:val="af5"/>
    <w:rsid w:val="00CD39D9"/>
    <w:rPr>
      <w:rFonts w:cs="Narkisim"/>
      <w:lang w:eastAsia="he-IL"/>
    </w:rPr>
  </w:style>
  <w:style w:type="paragraph" w:styleId="af7">
    <w:name w:val="annotation subject"/>
    <w:basedOn w:val="af5"/>
    <w:next w:val="af5"/>
    <w:link w:val="af8"/>
    <w:rsid w:val="00CD39D9"/>
    <w:rPr>
      <w:b/>
      <w:bCs/>
    </w:rPr>
  </w:style>
  <w:style w:type="character" w:customStyle="1" w:styleId="af8">
    <w:name w:val="נושא הערה תו"/>
    <w:basedOn w:val="af6"/>
    <w:link w:val="af7"/>
    <w:rsid w:val="00CD39D9"/>
    <w:rPr>
      <w:rFonts w:cs="Narkisim"/>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29106">
      <w:bodyDiv w:val="1"/>
      <w:marLeft w:val="0"/>
      <w:marRight w:val="0"/>
      <w:marTop w:val="0"/>
      <w:marBottom w:val="0"/>
      <w:divBdr>
        <w:top w:val="none" w:sz="0" w:space="0" w:color="auto"/>
        <w:left w:val="none" w:sz="0" w:space="0" w:color="auto"/>
        <w:bottom w:val="none" w:sz="0" w:space="0" w:color="auto"/>
        <w:right w:val="none" w:sz="0" w:space="0" w:color="auto"/>
      </w:divBdr>
      <w:divsChild>
        <w:div w:id="2063282764">
          <w:marLeft w:val="0"/>
          <w:marRight w:val="0"/>
          <w:marTop w:val="0"/>
          <w:marBottom w:val="0"/>
          <w:divBdr>
            <w:top w:val="none" w:sz="0" w:space="0" w:color="auto"/>
            <w:left w:val="none" w:sz="0" w:space="0" w:color="auto"/>
            <w:bottom w:val="none" w:sz="0" w:space="0" w:color="auto"/>
            <w:right w:val="none" w:sz="0" w:space="0" w:color="auto"/>
          </w:divBdr>
          <w:divsChild>
            <w:div w:id="1924027077">
              <w:marLeft w:val="0"/>
              <w:marRight w:val="0"/>
              <w:marTop w:val="0"/>
              <w:marBottom w:val="0"/>
              <w:divBdr>
                <w:top w:val="none" w:sz="0" w:space="0" w:color="auto"/>
                <w:left w:val="none" w:sz="0" w:space="0" w:color="auto"/>
                <w:bottom w:val="none" w:sz="0" w:space="0" w:color="auto"/>
                <w:right w:val="none" w:sz="0" w:space="0" w:color="auto"/>
              </w:divBdr>
              <w:divsChild>
                <w:div w:id="1913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he.wikipedia.org/wiki/%D7%97%D7%9C%D7%95%D7%A7%D7%AA_%D7%94%D7%A4%D7%A8%D7%A7%D7%99%D7%9D_%D7%91%D7%AA%D7%A0%22%D7%9A" TargetMode="External"/><Relationship Id="rId1" Type="http://schemas.openxmlformats.org/officeDocument/2006/relationships/hyperlink" Target="http://thetorah.com/pe-before-ayin-in-biblical-pre-exilic-acro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75E5C-9F78-4D1E-9A73-C5C7363D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2</Pages>
  <Words>611</Words>
  <Characters>2656</Characters>
  <Application>Microsoft Office Word</Application>
  <DocSecurity>0</DocSecurity>
  <Lines>44</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הקדימו פיהם לעיניהם</vt:lpstr>
      <vt:lpstr>חורבן ביתר</vt:lpstr>
    </vt:vector>
  </TitlesOfParts>
  <Company> </Company>
  <LinksUpToDate>false</LinksUpToDate>
  <CharactersWithSpaces>3257</CharactersWithSpaces>
  <SharedDoc>false</SharedDoc>
  <HLinks>
    <vt:vector size="48" baseType="variant">
      <vt:variant>
        <vt:i4>6029327</vt:i4>
      </vt:variant>
      <vt:variant>
        <vt:i4>21</vt:i4>
      </vt:variant>
      <vt:variant>
        <vt:i4>0</vt:i4>
      </vt:variant>
      <vt:variant>
        <vt:i4>5</vt:i4>
      </vt:variant>
      <vt:variant>
        <vt:lpwstr>https://www.academia.edu/33804832/Rabban_Shimon_ben_Gamaliel_in_Beitter_Tarbiz_74_2005_pp._547-564</vt:lpwstr>
      </vt:variant>
      <vt:variant>
        <vt:lpwstr/>
      </vt:variant>
      <vt:variant>
        <vt:i4>2687086</vt:i4>
      </vt:variant>
      <vt:variant>
        <vt:i4>18</vt:i4>
      </vt:variant>
      <vt:variant>
        <vt:i4>0</vt:i4>
      </vt:variant>
      <vt:variant>
        <vt:i4>5</vt:i4>
      </vt:variant>
      <vt:variant>
        <vt:lpwstr>http://www.mayim.org.il/?parasha=%D7%91%D7%A8%D7%9B%D7%AA-%D7%94%D7%98%D7%95%D7%91-%D7%95%D7%94%D7%9E%D7%98%D7%99%D7%91</vt:lpwstr>
      </vt:variant>
      <vt:variant>
        <vt:lpwstr/>
      </vt:variant>
      <vt:variant>
        <vt:i4>5505037</vt:i4>
      </vt:variant>
      <vt:variant>
        <vt:i4>15</vt:i4>
      </vt:variant>
      <vt:variant>
        <vt:i4>0</vt:i4>
      </vt:variant>
      <vt:variant>
        <vt:i4>5</vt:i4>
      </vt:variant>
      <vt:variant>
        <vt:lpwstr>http://www.mayim.org.il/?parasha=%d7%91%d7%a8%d7%9b%d7%aa-%d7%94%d7%9e%d7%96%d7%95%d7%9f1</vt:lpwstr>
      </vt:variant>
      <vt:variant>
        <vt:lpwstr/>
      </vt:variant>
      <vt:variant>
        <vt:i4>8061047</vt:i4>
      </vt:variant>
      <vt:variant>
        <vt:i4>12</vt:i4>
      </vt:variant>
      <vt:variant>
        <vt:i4>0</vt:i4>
      </vt:variant>
      <vt:variant>
        <vt:i4>5</vt:i4>
      </vt:variant>
      <vt:variant>
        <vt:lpwstr>https://he.wikipedia.org/wiki/%D7%9E%D7%A8%D7%93_%D7%91%D7%A8_%D7%9B%D7%95%D7%9B%D7%91%D7%90</vt:lpwstr>
      </vt:variant>
      <vt:variant>
        <vt:lpwstr/>
      </vt:variant>
      <vt:variant>
        <vt:i4>8061047</vt:i4>
      </vt:variant>
      <vt:variant>
        <vt:i4>9</vt:i4>
      </vt:variant>
      <vt:variant>
        <vt:i4>0</vt:i4>
      </vt:variant>
      <vt:variant>
        <vt:i4>5</vt:i4>
      </vt:variant>
      <vt:variant>
        <vt:lpwstr>https://he.wikipedia.org/wiki/%D7%9E%D7%A8%D7%93_%D7%91%D7%A8_%D7%9B%D7%95%D7%9B%D7%91%D7%90</vt:lpwstr>
      </vt:variant>
      <vt:variant>
        <vt:lpwstr/>
      </vt:variant>
      <vt:variant>
        <vt:i4>4587602</vt:i4>
      </vt:variant>
      <vt:variant>
        <vt:i4>6</vt:i4>
      </vt:variant>
      <vt:variant>
        <vt:i4>0</vt:i4>
      </vt:variant>
      <vt:variant>
        <vt:i4>5</vt:i4>
      </vt:variant>
      <vt:variant>
        <vt:lpwstr>https://www.mayim.org.il/?meyuhadim=%D7%90%D7%92%D7%93%D7%94-%D7%A1%D7%95%D7%AA%D7%A8%D7%AA-%D7%94%D7%9C%D7%9B%D7%94</vt:lpwstr>
      </vt:variant>
      <vt:variant>
        <vt:lpwstr/>
      </vt:variant>
      <vt:variant>
        <vt:i4>5111915</vt:i4>
      </vt:variant>
      <vt:variant>
        <vt:i4>3</vt:i4>
      </vt:variant>
      <vt:variant>
        <vt:i4>0</vt:i4>
      </vt:variant>
      <vt:variant>
        <vt:i4>5</vt:i4>
      </vt:variant>
      <vt:variant>
        <vt:lpwstr>http://he.wikipedia.org/wiki/%D7%90%D7%99%D7%9C%D7%99%D7%94_%D7%A7%D7%A4%D7%99%D7%98%D7%95%D7%9C%D7%99%D7%A0%D7%94</vt:lpwstr>
      </vt:variant>
      <vt:variant>
        <vt:lpwstr/>
      </vt:variant>
      <vt:variant>
        <vt:i4>7929900</vt:i4>
      </vt:variant>
      <vt:variant>
        <vt:i4>0</vt:i4>
      </vt:variant>
      <vt:variant>
        <vt:i4>0</vt:i4>
      </vt:variant>
      <vt:variant>
        <vt:i4>5</vt:i4>
      </vt:variant>
      <vt:variant>
        <vt:lpwstr>http://www.mayim.org.il/?parasha=%D7%97%D7%95%D7%93%D7%A9-%D7%90%D7%91-%D7%94%D7%97%D7%95%D7%93%D7%A9-%D7%94%D7%97%D7%9E%D7%99%D7%A9%D7%99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הקדימו פיהם לעיניהם</dc:title>
  <dc:subject>תשעה באב</dc:subject>
  <dc:creator>Asher Yuval</dc:creator>
  <cp:keywords/>
  <dc:description/>
  <cp:lastModifiedBy>Shimon Afek</cp:lastModifiedBy>
  <cp:revision>2</cp:revision>
  <cp:lastPrinted>2009-07-24T04:39:00Z</cp:lastPrinted>
  <dcterms:created xsi:type="dcterms:W3CDTF">2025-11-24T16:06:00Z</dcterms:created>
  <dcterms:modified xsi:type="dcterms:W3CDTF">2025-11-24T16:06:00Z</dcterms:modified>
</cp:coreProperties>
</file>