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EA247" w14:textId="0689817C" w:rsidR="00206DD1" w:rsidRDefault="00AA2941">
      <w:pPr>
        <w:pStyle w:val="aa"/>
        <w:spacing w:line="360" w:lineRule="auto"/>
        <w:rPr>
          <w:rtl/>
        </w:rPr>
      </w:pPr>
      <w:r>
        <w:rPr>
          <w:rFonts w:hint="cs"/>
          <w:rtl/>
        </w:rPr>
        <w:t>מפני מה נקבעה הלכה כבית הלל</w:t>
      </w:r>
    </w:p>
    <w:p w14:paraId="4BE0FB0E" w14:textId="0DEB5BB7" w:rsidR="00E6568B" w:rsidRPr="00E6568B" w:rsidRDefault="00E6568B" w:rsidP="00E6568B">
      <w:pPr>
        <w:pStyle w:val="ac"/>
        <w:rPr>
          <w:rFonts w:ascii="Narkisim" w:hAnsi="Narkisim" w:cs="Narkisim"/>
          <w:szCs w:val="22"/>
          <w:rtl/>
        </w:rPr>
      </w:pPr>
      <w:r w:rsidRPr="00E6568B">
        <w:rPr>
          <w:rFonts w:ascii="Narkisim" w:hAnsi="Narkisim" w:cs="Narkisim"/>
          <w:szCs w:val="22"/>
          <w:rtl/>
        </w:rPr>
        <w:t>מים ראשונים: כבר נזקקנו למחלוקת בית שמאי ובית הלל במספר ד</w:t>
      </w:r>
      <w:r>
        <w:rPr>
          <w:rFonts w:ascii="Narkisim" w:hAnsi="Narkisim" w:cs="Narkisim" w:hint="cs"/>
          <w:szCs w:val="22"/>
          <w:rtl/>
        </w:rPr>
        <w:t>פ</w:t>
      </w:r>
      <w:r w:rsidRPr="00E6568B">
        <w:rPr>
          <w:rFonts w:ascii="Narkisim" w:hAnsi="Narkisim" w:cs="Narkisim"/>
          <w:szCs w:val="22"/>
          <w:rtl/>
        </w:rPr>
        <w:t xml:space="preserve">ים ובהם </w:t>
      </w:r>
      <w:hyperlink r:id="rId8" w:anchor="gsc.tab=0" w:history="1">
        <w:r w:rsidRPr="00E6568B">
          <w:rPr>
            <w:rStyle w:val="Hyperlink"/>
            <w:rFonts w:ascii="Narkisim" w:hAnsi="Narkisim" w:cs="Narkisim" w:hint="cs"/>
            <w:szCs w:val="22"/>
            <w:rtl/>
          </w:rPr>
          <w:t xml:space="preserve">שמאי והלל </w:t>
        </w:r>
        <w:r w:rsidRPr="00E6568B">
          <w:rPr>
            <w:rStyle w:val="Hyperlink"/>
            <w:rFonts w:ascii="Narkisim" w:hAnsi="Narkisim" w:cs="Narkisim"/>
            <w:szCs w:val="22"/>
            <w:rtl/>
          </w:rPr>
          <w:t>–</w:t>
        </w:r>
        <w:r w:rsidRPr="00E6568B">
          <w:rPr>
            <w:rStyle w:val="Hyperlink"/>
            <w:rFonts w:ascii="Narkisim" w:hAnsi="Narkisim" w:cs="Narkisim" w:hint="cs"/>
            <w:szCs w:val="22"/>
            <w:rtl/>
          </w:rPr>
          <w:t xml:space="preserve"> שמים וארץ</w:t>
        </w:r>
      </w:hyperlink>
      <w:r>
        <w:rPr>
          <w:rFonts w:ascii="Narkisim" w:hAnsi="Narkisim" w:cs="Narkisim" w:hint="cs"/>
          <w:szCs w:val="22"/>
          <w:rtl/>
        </w:rPr>
        <w:t xml:space="preserve"> בפרשת בראשית</w:t>
      </w:r>
      <w:r w:rsidRPr="00E6568B">
        <w:rPr>
          <w:rFonts w:ascii="Narkisim" w:hAnsi="Narkisim" w:cs="Narkisim"/>
          <w:szCs w:val="22"/>
          <w:rtl/>
        </w:rPr>
        <w:t xml:space="preserve">, </w:t>
      </w:r>
      <w:hyperlink r:id="rId9" w:anchor="gsc.tab=0" w:history="1">
        <w:r w:rsidRPr="00174048">
          <w:rPr>
            <w:rStyle w:val="Hyperlink"/>
            <w:rFonts w:ascii="Narkisim" w:hAnsi="Narkisim" w:cs="Narkisim" w:hint="cs"/>
            <w:szCs w:val="22"/>
            <w:rtl/>
          </w:rPr>
          <w:t>חילוקי מחלוקות בישראל</w:t>
        </w:r>
      </w:hyperlink>
      <w:r w:rsidR="00174048">
        <w:rPr>
          <w:rFonts w:ascii="Narkisim" w:hAnsi="Narkisim" w:cs="Narkisim" w:hint="cs"/>
          <w:szCs w:val="22"/>
          <w:rtl/>
        </w:rPr>
        <w:t xml:space="preserve"> בפרשת קרח</w:t>
      </w:r>
      <w:r w:rsidRPr="00E6568B">
        <w:rPr>
          <w:rFonts w:ascii="Narkisim" w:hAnsi="Narkisim" w:cs="Narkisim"/>
          <w:szCs w:val="22"/>
          <w:rtl/>
        </w:rPr>
        <w:t>,</w:t>
      </w:r>
      <w:r w:rsidR="00174048">
        <w:rPr>
          <w:rFonts w:ascii="Narkisim" w:hAnsi="Narkisim" w:cs="Narkisim" w:hint="cs"/>
          <w:szCs w:val="22"/>
          <w:rtl/>
        </w:rPr>
        <w:t xml:space="preserve"> </w:t>
      </w:r>
      <w:hyperlink r:id="rId10" w:anchor="gsc.tab=0" w:history="1">
        <w:r w:rsidRPr="00174048">
          <w:rPr>
            <w:rStyle w:val="Hyperlink"/>
            <w:rFonts w:ascii="Narkisim" w:hAnsi="Narkisim" w:cs="Narkisim" w:hint="cs"/>
            <w:szCs w:val="22"/>
            <w:rtl/>
          </w:rPr>
          <w:t xml:space="preserve">ר' אליעזר בן </w:t>
        </w:r>
        <w:proofErr w:type="spellStart"/>
        <w:r w:rsidRPr="00174048">
          <w:rPr>
            <w:rStyle w:val="Hyperlink"/>
            <w:rFonts w:ascii="Narkisim" w:hAnsi="Narkisim" w:cs="Narkisim" w:hint="cs"/>
            <w:szCs w:val="22"/>
            <w:rtl/>
          </w:rPr>
          <w:t>הורקנוס</w:t>
        </w:r>
        <w:proofErr w:type="spellEnd"/>
        <w:r w:rsidRPr="00174048">
          <w:rPr>
            <w:rStyle w:val="Hyperlink"/>
            <w:rFonts w:ascii="Narkisim" w:hAnsi="Narkisim" w:cs="Narkisim" w:hint="cs"/>
            <w:szCs w:val="22"/>
            <w:rtl/>
          </w:rPr>
          <w:t xml:space="preserve"> </w:t>
        </w:r>
        <w:r w:rsidR="00174048" w:rsidRPr="00174048">
          <w:rPr>
            <w:rStyle w:val="Hyperlink"/>
            <w:rFonts w:ascii="Narkisim" w:hAnsi="Narkisim" w:cs="Narkisim" w:hint="cs"/>
            <w:szCs w:val="22"/>
            <w:rtl/>
          </w:rPr>
          <w:t>–</w:t>
        </w:r>
        <w:r w:rsidRPr="00174048">
          <w:rPr>
            <w:rStyle w:val="Hyperlink"/>
            <w:rFonts w:ascii="Narkisim" w:hAnsi="Narkisim" w:cs="Narkisim" w:hint="cs"/>
            <w:szCs w:val="22"/>
            <w:rtl/>
          </w:rPr>
          <w:t xml:space="preserve"> </w:t>
        </w:r>
        <w:r w:rsidR="00174048" w:rsidRPr="00174048">
          <w:rPr>
            <w:rStyle w:val="Hyperlink"/>
            <w:rFonts w:ascii="Narkisim" w:hAnsi="Narkisim" w:cs="Narkisim" w:hint="cs"/>
            <w:szCs w:val="22"/>
            <w:rtl/>
          </w:rPr>
          <w:t>חמישה פרקים ואפילוג</w:t>
        </w:r>
      </w:hyperlink>
      <w:r w:rsidR="00174048">
        <w:rPr>
          <w:rFonts w:ascii="Narkisim" w:hAnsi="Narkisim" w:cs="Narkisim" w:hint="cs"/>
          <w:szCs w:val="22"/>
          <w:rtl/>
        </w:rPr>
        <w:t xml:space="preserve"> בדפים המיוחדים, </w:t>
      </w:r>
      <w:hyperlink r:id="rId11" w:anchor="gsc.tab=0" w:history="1">
        <w:r w:rsidR="00174048" w:rsidRPr="00174048">
          <w:rPr>
            <w:rStyle w:val="Hyperlink"/>
            <w:rFonts w:ascii="Narkisim" w:hAnsi="Narkisim" w:cs="Narkisim" w:hint="cs"/>
            <w:szCs w:val="22"/>
            <w:rtl/>
          </w:rPr>
          <w:t xml:space="preserve">וככל אשר </w:t>
        </w:r>
        <w:proofErr w:type="spellStart"/>
        <w:r w:rsidR="00174048" w:rsidRPr="00174048">
          <w:rPr>
            <w:rStyle w:val="Hyperlink"/>
            <w:rFonts w:ascii="Narkisim" w:hAnsi="Narkisim" w:cs="Narkisim" w:hint="cs"/>
            <w:szCs w:val="22"/>
            <w:rtl/>
          </w:rPr>
          <w:t>יורוך</w:t>
        </w:r>
        <w:proofErr w:type="spellEnd"/>
      </w:hyperlink>
      <w:r w:rsidR="00174048">
        <w:rPr>
          <w:rFonts w:ascii="Narkisim" w:hAnsi="Narkisim" w:cs="Narkisim" w:hint="cs"/>
          <w:szCs w:val="22"/>
          <w:rtl/>
        </w:rPr>
        <w:t xml:space="preserve"> בפרשת שופטים. והפעם נוסיף מרגלית קטנה בנושא נכבד זה.</w:t>
      </w:r>
    </w:p>
    <w:p w14:paraId="361A07A9" w14:textId="3A403293" w:rsidR="00AA2941" w:rsidRDefault="00AA2941" w:rsidP="00AA2941">
      <w:pPr>
        <w:pStyle w:val="ab"/>
        <w:rPr>
          <w:rtl/>
        </w:rPr>
      </w:pPr>
      <w:r>
        <w:rPr>
          <w:rFonts w:hint="cs"/>
          <w:rtl/>
        </w:rPr>
        <w:t xml:space="preserve">מסכת עירובין דף </w:t>
      </w:r>
      <w:proofErr w:type="spellStart"/>
      <w:r>
        <w:rPr>
          <w:rFonts w:hint="cs"/>
          <w:rtl/>
        </w:rPr>
        <w:t>יג</w:t>
      </w:r>
      <w:proofErr w:type="spellEnd"/>
      <w:r>
        <w:rPr>
          <w:rFonts w:hint="cs"/>
          <w:rtl/>
        </w:rPr>
        <w:t xml:space="preserve"> עמוד ב </w:t>
      </w:r>
      <w:r>
        <w:rPr>
          <w:rtl/>
        </w:rPr>
        <w:t>–</w:t>
      </w:r>
      <w:r>
        <w:rPr>
          <w:rFonts w:hint="cs"/>
          <w:rtl/>
        </w:rPr>
        <w:t xml:space="preserve"> </w:t>
      </w:r>
      <w:r w:rsidR="005B4AF9">
        <w:rPr>
          <w:rFonts w:hint="cs"/>
          <w:rtl/>
        </w:rPr>
        <w:t xml:space="preserve">אלו ואלו דברי </w:t>
      </w:r>
      <w:proofErr w:type="spellStart"/>
      <w:r w:rsidR="005B4AF9">
        <w:rPr>
          <w:rFonts w:hint="cs"/>
          <w:rtl/>
        </w:rPr>
        <w:t>אלהים</w:t>
      </w:r>
      <w:proofErr w:type="spellEnd"/>
      <w:r w:rsidR="005B4AF9">
        <w:rPr>
          <w:rFonts w:hint="cs"/>
          <w:rtl/>
        </w:rPr>
        <w:t xml:space="preserve"> חיים</w:t>
      </w:r>
    </w:p>
    <w:p w14:paraId="1FA4B59D" w14:textId="6BDD188B" w:rsidR="00AA2941" w:rsidRDefault="00AA2941" w:rsidP="00AA2941">
      <w:pPr>
        <w:pStyle w:val="ac"/>
        <w:rPr>
          <w:rtl/>
        </w:rPr>
      </w:pPr>
      <w:r>
        <w:rPr>
          <w:rFonts w:hint="cs"/>
          <w:rtl/>
        </w:rPr>
        <w:t xml:space="preserve">אמר רבי אבא אמר שמואל: שלש שנים נחלקו בית שמאי ובית הלל, הללו אומרים הלכה כמותנו והללו אומרים הלכה כמותנו. יצאה בת קול ואמרה: אלו ואלו דברי </w:t>
      </w:r>
      <w:proofErr w:type="spellStart"/>
      <w:r>
        <w:rPr>
          <w:rFonts w:hint="cs"/>
          <w:rtl/>
        </w:rPr>
        <w:t>אלהים</w:t>
      </w:r>
      <w:proofErr w:type="spellEnd"/>
      <w:r>
        <w:rPr>
          <w:rFonts w:hint="cs"/>
          <w:rtl/>
        </w:rPr>
        <w:t xml:space="preserve"> חיים הן, והלכה כבית הלל.</w:t>
      </w:r>
      <w:r>
        <w:rPr>
          <w:rStyle w:val="a5"/>
          <w:rtl/>
        </w:rPr>
        <w:footnoteReference w:id="1"/>
      </w:r>
      <w:r>
        <w:rPr>
          <w:rFonts w:hint="cs"/>
          <w:rtl/>
        </w:rPr>
        <w:t xml:space="preserve"> וכי מאחר שאלו ואלו דברי </w:t>
      </w:r>
      <w:proofErr w:type="spellStart"/>
      <w:r>
        <w:rPr>
          <w:rFonts w:hint="cs"/>
          <w:rtl/>
        </w:rPr>
        <w:t>אלהים</w:t>
      </w:r>
      <w:proofErr w:type="spellEnd"/>
      <w:r>
        <w:rPr>
          <w:rFonts w:hint="cs"/>
          <w:rtl/>
        </w:rPr>
        <w:t xml:space="preserve"> חיים</w:t>
      </w:r>
      <w:r w:rsidR="00AE26F2">
        <w:rPr>
          <w:rFonts w:hint="cs"/>
          <w:rtl/>
        </w:rPr>
        <w:t>,</w:t>
      </w:r>
      <w:r>
        <w:rPr>
          <w:rFonts w:hint="cs"/>
          <w:rtl/>
        </w:rPr>
        <w:t xml:space="preserve"> מפני מה זכו בית הלל לקבוע הלכה כמותן</w:t>
      </w:r>
      <w:r w:rsidR="007A7591">
        <w:rPr>
          <w:rStyle w:val="a5"/>
          <w:rtl/>
        </w:rPr>
        <w:footnoteReference w:id="2"/>
      </w:r>
      <w:r>
        <w:rPr>
          <w:rFonts w:hint="cs"/>
          <w:rtl/>
        </w:rPr>
        <w:t xml:space="preserve"> - מפני </w:t>
      </w:r>
      <w:proofErr w:type="spellStart"/>
      <w:r>
        <w:rPr>
          <w:rFonts w:hint="cs"/>
          <w:rtl/>
        </w:rPr>
        <w:t>שנוחין</w:t>
      </w:r>
      <w:proofErr w:type="spellEnd"/>
      <w:r>
        <w:rPr>
          <w:rFonts w:hint="cs"/>
          <w:rtl/>
        </w:rPr>
        <w:t xml:space="preserve"> </w:t>
      </w:r>
      <w:proofErr w:type="spellStart"/>
      <w:r>
        <w:rPr>
          <w:rFonts w:hint="cs"/>
          <w:rtl/>
        </w:rPr>
        <w:t>ועלובין</w:t>
      </w:r>
      <w:proofErr w:type="spellEnd"/>
      <w:r>
        <w:rPr>
          <w:rFonts w:hint="cs"/>
          <w:rtl/>
        </w:rPr>
        <w:t xml:space="preserve"> היו </w:t>
      </w:r>
      <w:proofErr w:type="spellStart"/>
      <w:r>
        <w:rPr>
          <w:rFonts w:hint="cs"/>
          <w:rtl/>
        </w:rPr>
        <w:t>ושונין</w:t>
      </w:r>
      <w:proofErr w:type="spellEnd"/>
      <w:r>
        <w:rPr>
          <w:rFonts w:hint="cs"/>
          <w:rtl/>
        </w:rPr>
        <w:t xml:space="preserve"> דבריהן ודברי בית שמאי. ולא עוד</w:t>
      </w:r>
      <w:r w:rsidR="00A170C0">
        <w:rPr>
          <w:rFonts w:hint="cs"/>
          <w:rtl/>
        </w:rPr>
        <w:t>,</w:t>
      </w:r>
      <w:r>
        <w:rPr>
          <w:rFonts w:hint="cs"/>
          <w:rtl/>
        </w:rPr>
        <w:t xml:space="preserve"> אלא </w:t>
      </w:r>
      <w:proofErr w:type="spellStart"/>
      <w:r>
        <w:rPr>
          <w:rFonts w:hint="cs"/>
          <w:rtl/>
        </w:rPr>
        <w:t>שמקדימין</w:t>
      </w:r>
      <w:proofErr w:type="spellEnd"/>
      <w:r>
        <w:rPr>
          <w:rFonts w:hint="cs"/>
          <w:rtl/>
        </w:rPr>
        <w:t xml:space="preserve"> דברי בית שמאי לדבריהן.</w:t>
      </w:r>
      <w:r>
        <w:rPr>
          <w:rStyle w:val="a5"/>
          <w:rtl/>
        </w:rPr>
        <w:footnoteReference w:id="3"/>
      </w:r>
    </w:p>
    <w:p w14:paraId="38482B8A" w14:textId="19C0BD11" w:rsidR="00AA2941" w:rsidRDefault="00AA2941" w:rsidP="009931BF">
      <w:pPr>
        <w:pStyle w:val="ab"/>
        <w:rPr>
          <w:rtl/>
        </w:rPr>
      </w:pPr>
      <w:r>
        <w:rPr>
          <w:rtl/>
        </w:rPr>
        <w:t xml:space="preserve">מסכת עדויות פרק א משנה </w:t>
      </w:r>
      <w:proofErr w:type="spellStart"/>
      <w:r>
        <w:rPr>
          <w:rtl/>
        </w:rPr>
        <w:t>יב</w:t>
      </w:r>
      <w:proofErr w:type="spellEnd"/>
      <w:r w:rsidR="009931BF">
        <w:rPr>
          <w:rFonts w:hint="cs"/>
          <w:rtl/>
        </w:rPr>
        <w:t xml:space="preserve"> </w:t>
      </w:r>
      <w:r w:rsidR="009931BF">
        <w:rPr>
          <w:rFonts w:cs="David"/>
          <w:rtl/>
        </w:rPr>
        <w:t>–</w:t>
      </w:r>
      <w:r w:rsidR="009931BF">
        <w:rPr>
          <w:rFonts w:hint="cs"/>
          <w:rtl/>
        </w:rPr>
        <w:t xml:space="preserve"> בית הלל חוזרים בהם ומקבלים את דעת בית שמאי</w:t>
      </w:r>
    </w:p>
    <w:p w14:paraId="534EE029" w14:textId="5D67FF85" w:rsidR="007A7591" w:rsidRDefault="00AA2941" w:rsidP="00AA2941">
      <w:pPr>
        <w:pStyle w:val="ac"/>
        <w:rPr>
          <w:rtl/>
        </w:rPr>
      </w:pPr>
      <w:r>
        <w:rPr>
          <w:rtl/>
        </w:rPr>
        <w:t>אלו דברים שחזרו בית הלל להורות כדברי בית שמאי</w:t>
      </w:r>
      <w:r w:rsidR="007A7591">
        <w:rPr>
          <w:rFonts w:hint="cs"/>
          <w:rtl/>
        </w:rPr>
        <w:t>:</w:t>
      </w:r>
      <w:r>
        <w:rPr>
          <w:rtl/>
        </w:rPr>
        <w:t xml:space="preserve"> </w:t>
      </w:r>
      <w:proofErr w:type="spellStart"/>
      <w:r>
        <w:rPr>
          <w:rtl/>
        </w:rPr>
        <w:t>האשה</w:t>
      </w:r>
      <w:proofErr w:type="spellEnd"/>
      <w:r>
        <w:rPr>
          <w:rtl/>
        </w:rPr>
        <w:t xml:space="preserve"> שבאה ממדינת הים ואמרה מת בעלי </w:t>
      </w:r>
      <w:r w:rsidR="009931BF">
        <w:rPr>
          <w:rtl/>
        </w:rPr>
        <w:t>–</w:t>
      </w:r>
      <w:r w:rsidR="009931BF">
        <w:rPr>
          <w:rFonts w:hint="cs"/>
          <w:rtl/>
        </w:rPr>
        <w:t xml:space="preserve"> </w:t>
      </w:r>
      <w:r>
        <w:rPr>
          <w:rtl/>
        </w:rPr>
        <w:t>תינשא</w:t>
      </w:r>
      <w:r w:rsidR="009931BF">
        <w:rPr>
          <w:rFonts w:hint="cs"/>
          <w:rtl/>
        </w:rPr>
        <w:t>,</w:t>
      </w:r>
      <w:r>
        <w:rPr>
          <w:rtl/>
        </w:rPr>
        <w:t xml:space="preserve"> מת בעלי </w:t>
      </w:r>
      <w:r w:rsidR="009931BF">
        <w:rPr>
          <w:rtl/>
        </w:rPr>
        <w:t>–</w:t>
      </w:r>
      <w:r w:rsidR="009931BF">
        <w:rPr>
          <w:rFonts w:hint="cs"/>
          <w:rtl/>
        </w:rPr>
        <w:t xml:space="preserve"> </w:t>
      </w:r>
      <w:proofErr w:type="spellStart"/>
      <w:r>
        <w:rPr>
          <w:rtl/>
        </w:rPr>
        <w:t>תתיבם</w:t>
      </w:r>
      <w:proofErr w:type="spellEnd"/>
      <w:r w:rsidR="009931BF">
        <w:rPr>
          <w:rFonts w:hint="cs"/>
          <w:rtl/>
        </w:rPr>
        <w:t>.</w:t>
      </w:r>
      <w:r>
        <w:rPr>
          <w:rtl/>
        </w:rPr>
        <w:t xml:space="preserve"> ובית הלל אומרים</w:t>
      </w:r>
      <w:r w:rsidR="009931BF">
        <w:rPr>
          <w:rFonts w:hint="cs"/>
          <w:rtl/>
        </w:rPr>
        <w:t>:</w:t>
      </w:r>
      <w:r>
        <w:rPr>
          <w:rtl/>
        </w:rPr>
        <w:t xml:space="preserve"> לא שמענו אלא בבאה מן הקציר בלבד</w:t>
      </w:r>
      <w:r w:rsidR="007A7591">
        <w:rPr>
          <w:rFonts w:hint="cs"/>
          <w:rtl/>
        </w:rPr>
        <w:t>.</w:t>
      </w:r>
      <w:r>
        <w:rPr>
          <w:rtl/>
        </w:rPr>
        <w:t xml:space="preserve"> אמרו להם בית שמאי</w:t>
      </w:r>
      <w:r w:rsidR="007A7591">
        <w:rPr>
          <w:rFonts w:hint="cs"/>
          <w:rtl/>
        </w:rPr>
        <w:t>:</w:t>
      </w:r>
      <w:r>
        <w:rPr>
          <w:rtl/>
        </w:rPr>
        <w:t xml:space="preserve"> אחת הבאה מן הקציר ואחת הבאה מן הזיתים ואחת הבאה ממדינת הים</w:t>
      </w:r>
      <w:r w:rsidR="007A7591">
        <w:rPr>
          <w:rFonts w:hint="cs"/>
          <w:rtl/>
        </w:rPr>
        <w:t>.</w:t>
      </w:r>
      <w:r>
        <w:rPr>
          <w:rtl/>
        </w:rPr>
        <w:t xml:space="preserve"> לא דברו בקציר אלא בהווה</w:t>
      </w:r>
      <w:r w:rsidR="007A7591">
        <w:rPr>
          <w:rFonts w:hint="cs"/>
          <w:rtl/>
        </w:rPr>
        <w:t>.</w:t>
      </w:r>
      <w:r w:rsidR="0053543A">
        <w:rPr>
          <w:rStyle w:val="a5"/>
          <w:rtl/>
        </w:rPr>
        <w:footnoteReference w:id="4"/>
      </w:r>
      <w:r>
        <w:rPr>
          <w:rtl/>
        </w:rPr>
        <w:t xml:space="preserve"> חזרו בית הלל להורות כבית שמאי</w:t>
      </w:r>
      <w:r w:rsidR="005B4AF9">
        <w:rPr>
          <w:rFonts w:hint="cs"/>
          <w:rtl/>
        </w:rPr>
        <w:t>.</w:t>
      </w:r>
      <w:r w:rsidR="009931BF">
        <w:rPr>
          <w:rStyle w:val="a5"/>
          <w:rtl/>
        </w:rPr>
        <w:footnoteReference w:id="5"/>
      </w:r>
      <w:r>
        <w:rPr>
          <w:rtl/>
        </w:rPr>
        <w:t xml:space="preserve"> </w:t>
      </w:r>
    </w:p>
    <w:p w14:paraId="3896FA0E" w14:textId="7A64FD49" w:rsidR="00AA2941" w:rsidRDefault="00AA2941" w:rsidP="00AA2941">
      <w:pPr>
        <w:pStyle w:val="ac"/>
        <w:rPr>
          <w:rtl/>
        </w:rPr>
      </w:pPr>
      <w:r>
        <w:rPr>
          <w:rtl/>
        </w:rPr>
        <w:t>בית שמאי אומרים</w:t>
      </w:r>
      <w:r w:rsidR="007A7591">
        <w:rPr>
          <w:rFonts w:hint="cs"/>
          <w:rtl/>
        </w:rPr>
        <w:t>:</w:t>
      </w:r>
      <w:r>
        <w:rPr>
          <w:rtl/>
        </w:rPr>
        <w:t xml:space="preserve"> תינשא </w:t>
      </w:r>
      <w:proofErr w:type="spellStart"/>
      <w:r>
        <w:rPr>
          <w:rtl/>
        </w:rPr>
        <w:t>ותטול</w:t>
      </w:r>
      <w:proofErr w:type="spellEnd"/>
      <w:r>
        <w:rPr>
          <w:rtl/>
        </w:rPr>
        <w:t xml:space="preserve"> כתובתה ובית הלל אומרים תינשא ולא </w:t>
      </w:r>
      <w:proofErr w:type="spellStart"/>
      <w:r>
        <w:rPr>
          <w:rtl/>
        </w:rPr>
        <w:t>תטול</w:t>
      </w:r>
      <w:proofErr w:type="spellEnd"/>
      <w:r>
        <w:rPr>
          <w:rtl/>
        </w:rPr>
        <w:t xml:space="preserve"> כתובתה</w:t>
      </w:r>
      <w:r w:rsidR="007A7591">
        <w:rPr>
          <w:rFonts w:hint="cs"/>
          <w:rtl/>
        </w:rPr>
        <w:t>.</w:t>
      </w:r>
      <w:r w:rsidR="00DB42FE">
        <w:rPr>
          <w:rStyle w:val="a5"/>
          <w:rtl/>
        </w:rPr>
        <w:footnoteReference w:id="6"/>
      </w:r>
      <w:r>
        <w:rPr>
          <w:rtl/>
        </w:rPr>
        <w:t xml:space="preserve"> אמרו להם בית שמאי</w:t>
      </w:r>
      <w:r w:rsidR="007A7591">
        <w:rPr>
          <w:rFonts w:hint="cs"/>
          <w:rtl/>
        </w:rPr>
        <w:t>:</w:t>
      </w:r>
      <w:r>
        <w:rPr>
          <w:rtl/>
        </w:rPr>
        <w:t xml:space="preserve"> התרתם את הערוה החמורה</w:t>
      </w:r>
      <w:r w:rsidR="007A7591">
        <w:rPr>
          <w:rFonts w:hint="cs"/>
          <w:rtl/>
        </w:rPr>
        <w:t>,</w:t>
      </w:r>
      <w:r w:rsidR="009638A8">
        <w:rPr>
          <w:rStyle w:val="a5"/>
          <w:rtl/>
        </w:rPr>
        <w:footnoteReference w:id="7"/>
      </w:r>
      <w:r>
        <w:rPr>
          <w:rtl/>
        </w:rPr>
        <w:t xml:space="preserve"> לא תתירו את הממון הקל</w:t>
      </w:r>
      <w:r w:rsidR="007A7591">
        <w:rPr>
          <w:rFonts w:hint="cs"/>
          <w:rtl/>
        </w:rPr>
        <w:t>?</w:t>
      </w:r>
      <w:r w:rsidR="009638A8">
        <w:rPr>
          <w:rStyle w:val="a5"/>
          <w:rtl/>
        </w:rPr>
        <w:footnoteReference w:id="8"/>
      </w:r>
      <w:r>
        <w:rPr>
          <w:rtl/>
        </w:rPr>
        <w:t xml:space="preserve"> אמרו להם בית הלל</w:t>
      </w:r>
      <w:r w:rsidR="007A7591">
        <w:rPr>
          <w:rFonts w:hint="cs"/>
          <w:rtl/>
        </w:rPr>
        <w:t>:</w:t>
      </w:r>
      <w:r>
        <w:rPr>
          <w:rtl/>
        </w:rPr>
        <w:t xml:space="preserve"> מצינו שאין האחים </w:t>
      </w:r>
      <w:proofErr w:type="spellStart"/>
      <w:r>
        <w:rPr>
          <w:rtl/>
        </w:rPr>
        <w:t>נכנסין</w:t>
      </w:r>
      <w:proofErr w:type="spellEnd"/>
      <w:r>
        <w:rPr>
          <w:rtl/>
        </w:rPr>
        <w:t xml:space="preserve"> לנחלה על פיה</w:t>
      </w:r>
      <w:r w:rsidR="007A7591">
        <w:rPr>
          <w:rFonts w:hint="cs"/>
          <w:rtl/>
        </w:rPr>
        <w:t>.</w:t>
      </w:r>
      <w:r w:rsidR="00A170C0">
        <w:rPr>
          <w:rStyle w:val="a5"/>
          <w:rtl/>
        </w:rPr>
        <w:footnoteReference w:id="9"/>
      </w:r>
      <w:r>
        <w:rPr>
          <w:rtl/>
        </w:rPr>
        <w:t xml:space="preserve"> אמרו להם בית שמאי</w:t>
      </w:r>
      <w:r w:rsidR="00A170C0">
        <w:rPr>
          <w:rFonts w:hint="cs"/>
          <w:rtl/>
        </w:rPr>
        <w:t>:</w:t>
      </w:r>
      <w:r>
        <w:rPr>
          <w:rtl/>
        </w:rPr>
        <w:t xml:space="preserve"> והלא מספר כתובתה </w:t>
      </w:r>
      <w:proofErr w:type="spellStart"/>
      <w:r>
        <w:rPr>
          <w:rtl/>
        </w:rPr>
        <w:t>נלמוד</w:t>
      </w:r>
      <w:proofErr w:type="spellEnd"/>
      <w:r w:rsidR="007A7591">
        <w:rPr>
          <w:rFonts w:hint="cs"/>
          <w:rtl/>
        </w:rPr>
        <w:t>,</w:t>
      </w:r>
      <w:r>
        <w:rPr>
          <w:rtl/>
        </w:rPr>
        <w:t xml:space="preserve"> שהוא כותב לה שאם תינשאי לאחר </w:t>
      </w:r>
      <w:proofErr w:type="spellStart"/>
      <w:r>
        <w:rPr>
          <w:rtl/>
        </w:rPr>
        <w:t>תטלי</w:t>
      </w:r>
      <w:proofErr w:type="spellEnd"/>
      <w:r>
        <w:rPr>
          <w:rtl/>
        </w:rPr>
        <w:t xml:space="preserve"> מה שכתוב </w:t>
      </w:r>
      <w:proofErr w:type="spellStart"/>
      <w:r>
        <w:rPr>
          <w:rtl/>
        </w:rPr>
        <w:t>ליך</w:t>
      </w:r>
      <w:proofErr w:type="spellEnd"/>
      <w:r w:rsidR="007A7591">
        <w:rPr>
          <w:rFonts w:hint="cs"/>
          <w:rtl/>
        </w:rPr>
        <w:t>.</w:t>
      </w:r>
      <w:r>
        <w:rPr>
          <w:rtl/>
        </w:rPr>
        <w:t xml:space="preserve"> חזרו בית הלל להורות כדברי בית שמאי</w:t>
      </w:r>
      <w:r w:rsidR="00310209">
        <w:rPr>
          <w:rFonts w:hint="cs"/>
          <w:rtl/>
        </w:rPr>
        <w:t>.</w:t>
      </w:r>
      <w:r w:rsidR="00310209">
        <w:rPr>
          <w:rStyle w:val="a5"/>
          <w:rtl/>
        </w:rPr>
        <w:footnoteReference w:id="10"/>
      </w:r>
    </w:p>
    <w:p w14:paraId="45790799" w14:textId="0C81B937" w:rsidR="00EB7522" w:rsidRDefault="00EB7522" w:rsidP="00FE1BDE">
      <w:pPr>
        <w:pStyle w:val="a3"/>
        <w:rPr>
          <w:rtl/>
        </w:rPr>
      </w:pPr>
    </w:p>
    <w:p w14:paraId="1A581B3A" w14:textId="77777777" w:rsidR="00376929" w:rsidRDefault="00376929" w:rsidP="00A96158">
      <w:pPr>
        <w:pStyle w:val="ac"/>
        <w:rPr>
          <w:rtl/>
        </w:rPr>
      </w:pPr>
    </w:p>
    <w:p w14:paraId="1CB777D6" w14:textId="7E4C61BA" w:rsidR="00376929" w:rsidRDefault="00376929" w:rsidP="005A7788">
      <w:pPr>
        <w:pStyle w:val="ab"/>
        <w:rPr>
          <w:rtl/>
        </w:rPr>
      </w:pPr>
      <w:r>
        <w:rPr>
          <w:rtl/>
        </w:rPr>
        <w:t>ירושלמי סוכה פרק ב הלכה ח</w:t>
      </w:r>
      <w:r w:rsidR="00604A97">
        <w:rPr>
          <w:rFonts w:hint="cs"/>
          <w:rtl/>
        </w:rPr>
        <w:t xml:space="preserve"> </w:t>
      </w:r>
      <w:r w:rsidR="00604A97">
        <w:rPr>
          <w:rFonts w:cs="David"/>
          <w:rtl/>
        </w:rPr>
        <w:t>–</w:t>
      </w:r>
      <w:r w:rsidR="00604A97">
        <w:rPr>
          <w:rFonts w:hint="cs"/>
          <w:rtl/>
        </w:rPr>
        <w:t xml:space="preserve"> פעם אחת בית שמאי מודים</w:t>
      </w:r>
      <w:r w:rsidR="00A170C0">
        <w:rPr>
          <w:rFonts w:hint="cs"/>
          <w:rtl/>
        </w:rPr>
        <w:t xml:space="preserve"> לבית הלל</w:t>
      </w:r>
    </w:p>
    <w:p w14:paraId="6149A199" w14:textId="2128234A" w:rsidR="005B4AF9" w:rsidRDefault="00604A97" w:rsidP="00376929">
      <w:pPr>
        <w:pStyle w:val="ac"/>
        <w:rPr>
          <w:rtl/>
        </w:rPr>
      </w:pPr>
      <w:r>
        <w:rPr>
          <w:rFonts w:hint="cs"/>
          <w:b/>
          <w:bCs/>
          <w:rtl/>
        </w:rPr>
        <w:t>משנה:</w:t>
      </w:r>
      <w:r w:rsidR="00376929" w:rsidRPr="005B4AF9">
        <w:rPr>
          <w:b/>
          <w:bCs/>
          <w:rtl/>
        </w:rPr>
        <w:t xml:space="preserve"> </w:t>
      </w:r>
      <w:r w:rsidR="00376929">
        <w:rPr>
          <w:rtl/>
        </w:rPr>
        <w:t xml:space="preserve">מי שהיה ראשו ורובו בסוכה ושולחנו בתוך הבית בית שמאי </w:t>
      </w:r>
      <w:proofErr w:type="spellStart"/>
      <w:r w:rsidR="00376929">
        <w:rPr>
          <w:rtl/>
        </w:rPr>
        <w:t>פוסלין</w:t>
      </w:r>
      <w:proofErr w:type="spellEnd"/>
      <w:r w:rsidR="00376929">
        <w:rPr>
          <w:rtl/>
        </w:rPr>
        <w:t xml:space="preserve"> ובית הלל מכשירין</w:t>
      </w:r>
      <w:r>
        <w:rPr>
          <w:rFonts w:hint="cs"/>
          <w:rtl/>
        </w:rPr>
        <w:t>.</w:t>
      </w:r>
      <w:r w:rsidR="00376929">
        <w:rPr>
          <w:rtl/>
        </w:rPr>
        <w:t xml:space="preserve"> אמרו בית הלל לבית שמאי</w:t>
      </w:r>
      <w:r>
        <w:rPr>
          <w:rFonts w:hint="cs"/>
          <w:rtl/>
        </w:rPr>
        <w:t>:</w:t>
      </w:r>
      <w:r w:rsidR="00376929">
        <w:rPr>
          <w:rtl/>
        </w:rPr>
        <w:t xml:space="preserve"> מעשה שהלכו זקני בית שמאי וזקני ב</w:t>
      </w:r>
      <w:r>
        <w:rPr>
          <w:rFonts w:hint="cs"/>
          <w:rtl/>
        </w:rPr>
        <w:t xml:space="preserve">ית הלל </w:t>
      </w:r>
      <w:r w:rsidR="00376929">
        <w:rPr>
          <w:rtl/>
        </w:rPr>
        <w:t xml:space="preserve">לבקר את יוחנן בן </w:t>
      </w:r>
      <w:proofErr w:type="spellStart"/>
      <w:r w:rsidR="00376929">
        <w:rPr>
          <w:rtl/>
        </w:rPr>
        <w:t>החורוני</w:t>
      </w:r>
      <w:proofErr w:type="spellEnd"/>
      <w:r w:rsidR="00376929">
        <w:rPr>
          <w:rtl/>
        </w:rPr>
        <w:t xml:space="preserve"> ומצאוהו ראשו ורובו בסוכה ושולחנו בתוך הבית</w:t>
      </w:r>
      <w:r>
        <w:rPr>
          <w:rFonts w:hint="cs"/>
          <w:rtl/>
        </w:rPr>
        <w:t>.</w:t>
      </w:r>
      <w:r w:rsidR="00376929">
        <w:rPr>
          <w:rtl/>
        </w:rPr>
        <w:t xml:space="preserve"> אמרו להן בית שמאי</w:t>
      </w:r>
      <w:r>
        <w:rPr>
          <w:rFonts w:hint="cs"/>
          <w:rtl/>
        </w:rPr>
        <w:t>:</w:t>
      </w:r>
      <w:r w:rsidR="00376929">
        <w:rPr>
          <w:rtl/>
        </w:rPr>
        <w:t xml:space="preserve"> משם ראייה</w:t>
      </w:r>
      <w:r>
        <w:rPr>
          <w:rFonts w:hint="cs"/>
          <w:rtl/>
        </w:rPr>
        <w:t>?</w:t>
      </w:r>
      <w:r w:rsidR="00376929">
        <w:rPr>
          <w:rtl/>
        </w:rPr>
        <w:t xml:space="preserve"> אף הן אמרו לו</w:t>
      </w:r>
      <w:r>
        <w:rPr>
          <w:rFonts w:hint="cs"/>
          <w:rtl/>
        </w:rPr>
        <w:t>:</w:t>
      </w:r>
      <w:r w:rsidR="00376929">
        <w:rPr>
          <w:rtl/>
        </w:rPr>
        <w:t xml:space="preserve"> אם כך היית נוהג</w:t>
      </w:r>
      <w:r>
        <w:rPr>
          <w:rFonts w:hint="cs"/>
          <w:rtl/>
        </w:rPr>
        <w:t>,</w:t>
      </w:r>
      <w:r w:rsidR="00376929">
        <w:rPr>
          <w:rtl/>
        </w:rPr>
        <w:t xml:space="preserve"> לא קיימ</w:t>
      </w:r>
      <w:r w:rsidR="005B4AF9">
        <w:rPr>
          <w:rFonts w:hint="cs"/>
          <w:rtl/>
        </w:rPr>
        <w:t>ת</w:t>
      </w:r>
      <w:r w:rsidR="00376929">
        <w:rPr>
          <w:rtl/>
        </w:rPr>
        <w:t xml:space="preserve"> מצו' סוכה מימיך:</w:t>
      </w:r>
      <w:r w:rsidR="00FE7A57">
        <w:rPr>
          <w:rStyle w:val="a5"/>
          <w:rtl/>
        </w:rPr>
        <w:footnoteReference w:id="11"/>
      </w:r>
      <w:r w:rsidR="00376929">
        <w:rPr>
          <w:rtl/>
        </w:rPr>
        <w:t xml:space="preserve"> </w:t>
      </w:r>
    </w:p>
    <w:p w14:paraId="01D7F122" w14:textId="4B2B0772" w:rsidR="00376929" w:rsidRDefault="00604A97" w:rsidP="00376929">
      <w:pPr>
        <w:pStyle w:val="ac"/>
        <w:rPr>
          <w:rtl/>
        </w:rPr>
      </w:pPr>
      <w:r>
        <w:rPr>
          <w:rFonts w:hint="cs"/>
          <w:b/>
          <w:bCs/>
          <w:rtl/>
        </w:rPr>
        <w:t>גמרא:</w:t>
      </w:r>
      <w:r w:rsidR="00376929" w:rsidRPr="005B4AF9">
        <w:rPr>
          <w:b/>
          <w:bCs/>
          <w:rtl/>
        </w:rPr>
        <w:t xml:space="preserve"> </w:t>
      </w:r>
      <w:r w:rsidR="00376929">
        <w:rPr>
          <w:rtl/>
        </w:rPr>
        <w:t>לא סוף דבר שולחנו אלא אפילו כדי שולחנו. כמה הוא כדי שולחנו</w:t>
      </w:r>
      <w:r w:rsidR="0053543A">
        <w:rPr>
          <w:rFonts w:hint="cs"/>
          <w:rtl/>
        </w:rPr>
        <w:t>?</w:t>
      </w:r>
      <w:r w:rsidR="00376929">
        <w:rPr>
          <w:rtl/>
        </w:rPr>
        <w:t xml:space="preserve"> טפח. רבי יודה בר פזי ורבי </w:t>
      </w:r>
      <w:proofErr w:type="spellStart"/>
      <w:r w:rsidR="00376929">
        <w:rPr>
          <w:rtl/>
        </w:rPr>
        <w:t>אייבו</w:t>
      </w:r>
      <w:proofErr w:type="spellEnd"/>
      <w:r w:rsidR="00376929">
        <w:rPr>
          <w:rtl/>
        </w:rPr>
        <w:t xml:space="preserve"> בר נגרי הוון </w:t>
      </w:r>
      <w:proofErr w:type="spellStart"/>
      <w:r w:rsidR="00376929">
        <w:rPr>
          <w:rtl/>
        </w:rPr>
        <w:t>יתיבין</w:t>
      </w:r>
      <w:proofErr w:type="spellEnd"/>
      <w:r w:rsidR="00376929">
        <w:rPr>
          <w:rtl/>
        </w:rPr>
        <w:t xml:space="preserve"> אמרין</w:t>
      </w:r>
      <w:r w:rsidR="0053543A">
        <w:rPr>
          <w:rFonts w:hint="cs"/>
          <w:rtl/>
        </w:rPr>
        <w:t>:</w:t>
      </w:r>
      <w:r w:rsidR="00376929">
        <w:rPr>
          <w:rtl/>
        </w:rPr>
        <w:t xml:space="preserve"> תנינן אחר שהודו. מי הודה למי</w:t>
      </w:r>
      <w:r w:rsidR="0053543A">
        <w:rPr>
          <w:rFonts w:hint="cs"/>
          <w:rtl/>
        </w:rPr>
        <w:t xml:space="preserve">, </w:t>
      </w:r>
      <w:r w:rsidR="00376929">
        <w:rPr>
          <w:rtl/>
        </w:rPr>
        <w:t>בית שמאי לבית הלל או בית הלל לבית שמאי</w:t>
      </w:r>
      <w:r w:rsidR="0053543A">
        <w:rPr>
          <w:rFonts w:hint="cs"/>
          <w:rtl/>
        </w:rPr>
        <w:t>?</w:t>
      </w:r>
      <w:r w:rsidR="00376929">
        <w:rPr>
          <w:rtl/>
        </w:rPr>
        <w:t xml:space="preserve"> אמרי</w:t>
      </w:r>
      <w:r w:rsidR="0053543A">
        <w:rPr>
          <w:rFonts w:hint="cs"/>
          <w:rtl/>
        </w:rPr>
        <w:t xml:space="preserve">ן: </w:t>
      </w:r>
      <w:r w:rsidR="00376929">
        <w:rPr>
          <w:rtl/>
        </w:rPr>
        <w:t xml:space="preserve"> נצא לחוץ </w:t>
      </w:r>
      <w:proofErr w:type="spellStart"/>
      <w:r w:rsidR="00376929">
        <w:rPr>
          <w:rtl/>
        </w:rPr>
        <w:t>ונלמוד</w:t>
      </w:r>
      <w:proofErr w:type="spellEnd"/>
      <w:r w:rsidR="0053543A">
        <w:rPr>
          <w:rFonts w:hint="cs"/>
          <w:rtl/>
        </w:rPr>
        <w:t>.</w:t>
      </w:r>
      <w:r w:rsidR="00376929">
        <w:rPr>
          <w:rtl/>
        </w:rPr>
        <w:t xml:space="preserve"> ונפקון ושמעון</w:t>
      </w:r>
      <w:r w:rsidR="0053543A">
        <w:rPr>
          <w:rFonts w:hint="cs"/>
          <w:rtl/>
        </w:rPr>
        <w:t>:</w:t>
      </w:r>
      <w:r w:rsidR="00376929">
        <w:rPr>
          <w:rtl/>
        </w:rPr>
        <w:t xml:space="preserve"> רבי חזקיה רבי אחא בשם רבי יודה בן לוי</w:t>
      </w:r>
      <w:r w:rsidR="0053543A">
        <w:rPr>
          <w:rFonts w:hint="cs"/>
          <w:rtl/>
        </w:rPr>
        <w:t>:</w:t>
      </w:r>
      <w:r w:rsidR="00376929">
        <w:rPr>
          <w:rtl/>
        </w:rPr>
        <w:t xml:space="preserve"> לא מצאנו שהודו בית שמאי לבית הלל אלא בדבר זה בלבד.</w:t>
      </w:r>
      <w:r w:rsidR="00E6568B">
        <w:rPr>
          <w:rStyle w:val="a5"/>
          <w:rtl/>
        </w:rPr>
        <w:footnoteReference w:id="12"/>
      </w:r>
    </w:p>
    <w:p w14:paraId="3DC8FE15" w14:textId="36BE5F42" w:rsidR="00EF3A47" w:rsidRDefault="00EF3A47" w:rsidP="00604A97">
      <w:pPr>
        <w:pStyle w:val="ab"/>
        <w:rPr>
          <w:rtl/>
        </w:rPr>
      </w:pPr>
      <w:r>
        <w:rPr>
          <w:rtl/>
        </w:rPr>
        <w:t>הקדמת הרמב"ם למשנה</w:t>
      </w:r>
      <w:r w:rsidR="00604A97">
        <w:rPr>
          <w:rFonts w:hint="cs"/>
          <w:rtl/>
        </w:rPr>
        <w:t xml:space="preserve"> </w:t>
      </w:r>
      <w:r w:rsidR="00604A97">
        <w:rPr>
          <w:rFonts w:cs="David"/>
          <w:rtl/>
        </w:rPr>
        <w:t>–</w:t>
      </w:r>
      <w:r w:rsidR="00604A97">
        <w:rPr>
          <w:rFonts w:hint="cs"/>
          <w:rtl/>
        </w:rPr>
        <w:t xml:space="preserve"> חזור בך וחדל להתווכח</w:t>
      </w:r>
    </w:p>
    <w:p w14:paraId="402F50A5" w14:textId="3556C8F4" w:rsidR="00EF3A47" w:rsidRDefault="00EF3A47" w:rsidP="00EF3A47">
      <w:pPr>
        <w:pStyle w:val="ac"/>
        <w:rPr>
          <w:rtl/>
        </w:rPr>
      </w:pPr>
      <w:r>
        <w:rPr>
          <w:rtl/>
        </w:rPr>
        <w:t xml:space="preserve">אבל קביעתו סברת אדם </w:t>
      </w:r>
      <w:proofErr w:type="spellStart"/>
      <w:r>
        <w:rPr>
          <w:rtl/>
        </w:rPr>
        <w:t>מסויים</w:t>
      </w:r>
      <w:proofErr w:type="spellEnd"/>
      <w:r w:rsidR="0053543A">
        <w:rPr>
          <w:rFonts w:hint="cs"/>
          <w:rtl/>
        </w:rPr>
        <w:t>,</w:t>
      </w:r>
      <w:r>
        <w:rPr>
          <w:rtl/>
        </w:rPr>
        <w:t xml:space="preserve"> וחזרתו מאותה </w:t>
      </w:r>
      <w:proofErr w:type="spellStart"/>
      <w:r>
        <w:rPr>
          <w:rtl/>
        </w:rPr>
        <w:t>הסברא</w:t>
      </w:r>
      <w:proofErr w:type="spellEnd"/>
      <w:r w:rsidR="0053543A">
        <w:rPr>
          <w:rFonts w:hint="cs"/>
          <w:rtl/>
        </w:rPr>
        <w:t>,</w:t>
      </w:r>
      <w:r>
        <w:rPr>
          <w:rtl/>
        </w:rPr>
        <w:t xml:space="preserve"> כגון אמרו</w:t>
      </w:r>
      <w:r w:rsidR="0053543A">
        <w:rPr>
          <w:rFonts w:hint="cs"/>
          <w:rtl/>
        </w:rPr>
        <w:t>:</w:t>
      </w:r>
      <w:r>
        <w:rPr>
          <w:rtl/>
        </w:rPr>
        <w:t xml:space="preserve"> בית שמאי אומרים כך ובית הלל אומרים כך וחזרו בית הלל להורות כדברי בית שמאי, כדי ללמדך אהבת האמת ורדיפת הצדק</w:t>
      </w:r>
      <w:r w:rsidR="0053543A">
        <w:rPr>
          <w:rFonts w:hint="cs"/>
          <w:rtl/>
        </w:rPr>
        <w:t>.</w:t>
      </w:r>
      <w:r>
        <w:rPr>
          <w:rtl/>
        </w:rPr>
        <w:t xml:space="preserve"> לפי שאלו האישים הגדולים החסידים המשכילים, המופלגים בחכמה של</w:t>
      </w:r>
      <w:r w:rsidR="0053543A">
        <w:rPr>
          <w:rFonts w:hint="cs"/>
          <w:rtl/>
        </w:rPr>
        <w:t>ו</w:t>
      </w:r>
      <w:r>
        <w:rPr>
          <w:rtl/>
        </w:rPr>
        <w:t>מי הדעת, כאשר ראו דברי החולק עליהם נכונים יותר מדבריהם והגיוניים יותר</w:t>
      </w:r>
      <w:r w:rsidR="0053543A">
        <w:rPr>
          <w:rFonts w:hint="cs"/>
          <w:rtl/>
        </w:rPr>
        <w:t>,</w:t>
      </w:r>
      <w:r>
        <w:rPr>
          <w:rtl/>
        </w:rPr>
        <w:t xml:space="preserve"> נכנעו וחזרו לדעתו</w:t>
      </w:r>
      <w:r w:rsidR="0053543A">
        <w:rPr>
          <w:rFonts w:hint="cs"/>
          <w:rtl/>
        </w:rPr>
        <w:t>. כל שכן וקל וחומר</w:t>
      </w:r>
      <w:r>
        <w:rPr>
          <w:rtl/>
        </w:rPr>
        <w:t>, שאר בני אדם</w:t>
      </w:r>
      <w:r w:rsidR="0053543A">
        <w:rPr>
          <w:rFonts w:hint="cs"/>
          <w:rtl/>
        </w:rPr>
        <w:t>,</w:t>
      </w:r>
      <w:r>
        <w:rPr>
          <w:rtl/>
        </w:rPr>
        <w:t xml:space="preserve"> כשיראה שיריבו צודק ש</w:t>
      </w:r>
      <w:r w:rsidR="0053543A">
        <w:rPr>
          <w:rFonts w:hint="cs"/>
          <w:rtl/>
        </w:rPr>
        <w:t>י</w:t>
      </w:r>
      <w:r>
        <w:rPr>
          <w:rtl/>
        </w:rPr>
        <w:t>יכנע ואל יתעקש</w:t>
      </w:r>
      <w:r w:rsidR="0053543A">
        <w:rPr>
          <w:rFonts w:hint="cs"/>
          <w:rtl/>
        </w:rPr>
        <w:t>.</w:t>
      </w:r>
      <w:r>
        <w:rPr>
          <w:rtl/>
        </w:rPr>
        <w:t xml:space="preserve"> וזהו דבר ה'</w:t>
      </w:r>
      <w:r w:rsidR="0053543A">
        <w:rPr>
          <w:rFonts w:hint="cs"/>
          <w:rtl/>
        </w:rPr>
        <w:t>:</w:t>
      </w:r>
      <w:r>
        <w:rPr>
          <w:rtl/>
        </w:rPr>
        <w:t xml:space="preserve"> צדק </w:t>
      </w:r>
      <w:proofErr w:type="spellStart"/>
      <w:r>
        <w:rPr>
          <w:rtl/>
        </w:rPr>
        <w:t>צדק</w:t>
      </w:r>
      <w:proofErr w:type="spellEnd"/>
      <w:r>
        <w:rPr>
          <w:rtl/>
        </w:rPr>
        <w:t xml:space="preserve"> תרדוף</w:t>
      </w:r>
      <w:r w:rsidR="0053543A">
        <w:rPr>
          <w:rFonts w:hint="cs"/>
          <w:rtl/>
        </w:rPr>
        <w:t>.</w:t>
      </w:r>
      <w:r>
        <w:rPr>
          <w:rtl/>
        </w:rPr>
        <w:t xml:space="preserve"> ועל זה אמרו חכמים</w:t>
      </w:r>
      <w:r w:rsidR="0053543A">
        <w:rPr>
          <w:rFonts w:hint="cs"/>
          <w:rtl/>
        </w:rPr>
        <w:t>:</w:t>
      </w:r>
      <w:r>
        <w:rPr>
          <w:rtl/>
        </w:rPr>
        <w:t xml:space="preserve"> הוי מודה על האמת</w:t>
      </w:r>
      <w:r w:rsidR="0053543A">
        <w:rPr>
          <w:rFonts w:hint="cs"/>
          <w:rtl/>
        </w:rPr>
        <w:t xml:space="preserve">. רוצה לומר, </w:t>
      </w:r>
      <w:r>
        <w:rPr>
          <w:rtl/>
        </w:rPr>
        <w:t xml:space="preserve">אף על פי שאתה יכול לחלץ את עצמך בטענות </w:t>
      </w:r>
      <w:proofErr w:type="spellStart"/>
      <w:r w:rsidR="0053543A">
        <w:rPr>
          <w:rFonts w:hint="cs"/>
          <w:rtl/>
        </w:rPr>
        <w:t>ו</w:t>
      </w:r>
      <w:r>
        <w:rPr>
          <w:rtl/>
        </w:rPr>
        <w:t>וכוחיות</w:t>
      </w:r>
      <w:proofErr w:type="spellEnd"/>
      <w:r>
        <w:rPr>
          <w:rtl/>
        </w:rPr>
        <w:t xml:space="preserve">, אם תדע שדבר יריבך הוא האמת, אלא שטענתך נראית יותר מחמת חולשתו או בגלל </w:t>
      </w:r>
      <w:proofErr w:type="spellStart"/>
      <w:r>
        <w:rPr>
          <w:rtl/>
        </w:rPr>
        <w:t>יכלתך</w:t>
      </w:r>
      <w:proofErr w:type="spellEnd"/>
      <w:r>
        <w:rPr>
          <w:rtl/>
        </w:rPr>
        <w:t xml:space="preserve"> להטעות, חזור לדבריו וחדל להת</w:t>
      </w:r>
      <w:r w:rsidR="0053543A">
        <w:rPr>
          <w:rFonts w:hint="cs"/>
          <w:rtl/>
        </w:rPr>
        <w:t>ו</w:t>
      </w:r>
      <w:r>
        <w:rPr>
          <w:rtl/>
        </w:rPr>
        <w:t>וכח.</w:t>
      </w:r>
    </w:p>
    <w:p w14:paraId="7ABB7512" w14:textId="5D273E68" w:rsidR="00206DD1" w:rsidRDefault="00206DD1" w:rsidP="00581634">
      <w:pPr>
        <w:pStyle w:val="ad"/>
        <w:spacing w:before="120" w:line="300" w:lineRule="atLeast"/>
        <w:jc w:val="left"/>
        <w:rPr>
          <w:rtl/>
        </w:rPr>
      </w:pPr>
      <w:r w:rsidRPr="003A76F0">
        <w:rPr>
          <w:rtl/>
        </w:rPr>
        <w:t>מחלקי המים</w:t>
      </w:r>
    </w:p>
    <w:sectPr w:rsidR="00206DD1" w:rsidSect="001E34B7">
      <w:headerReference w:type="default" r:id="rId12"/>
      <w:footerReference w:type="default" r:id="rId13"/>
      <w:headerReference w:type="first" r:id="rId14"/>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4A41D" w14:textId="77777777" w:rsidR="002D1CA1" w:rsidRDefault="002D1CA1">
      <w:r>
        <w:separator/>
      </w:r>
    </w:p>
  </w:endnote>
  <w:endnote w:type="continuationSeparator" w:id="0">
    <w:p w14:paraId="529C3E6D" w14:textId="77777777" w:rsidR="002D1CA1" w:rsidRDefault="002D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D0EA7" w14:textId="77777777" w:rsidR="008A5AE4" w:rsidRPr="00F8747C" w:rsidRDefault="008A5AE4" w:rsidP="00811856">
    <w:pPr>
      <w:pStyle w:val="a8"/>
      <w:jc w:val="right"/>
    </w:pPr>
    <w:r w:rsidRPr="00F8747C">
      <w:rPr>
        <w:rStyle w:val="af0"/>
        <w:rFonts w:hint="cs"/>
        <w:rtl/>
      </w:rPr>
      <w:t xml:space="preserve">עמ' </w:t>
    </w:r>
    <w:r w:rsidRPr="00F8747C">
      <w:rPr>
        <w:rStyle w:val="af0"/>
      </w:rPr>
      <w:fldChar w:fldCharType="begin"/>
    </w:r>
    <w:r w:rsidRPr="00F8747C">
      <w:rPr>
        <w:rStyle w:val="af0"/>
      </w:rPr>
      <w:instrText xml:space="preserve"> PAGE </w:instrText>
    </w:r>
    <w:r w:rsidRPr="00F8747C">
      <w:rPr>
        <w:rStyle w:val="af0"/>
      </w:rPr>
      <w:fldChar w:fldCharType="separate"/>
    </w:r>
    <w:r w:rsidR="00F2026B">
      <w:rPr>
        <w:rStyle w:val="af0"/>
        <w:noProof/>
        <w:rtl/>
      </w:rPr>
      <w:t>4</w:t>
    </w:r>
    <w:r w:rsidRPr="00F8747C">
      <w:rPr>
        <w:rStyle w:val="af0"/>
      </w:rPr>
      <w:fldChar w:fldCharType="end"/>
    </w:r>
    <w:r w:rsidRPr="00F8747C">
      <w:rPr>
        <w:rStyle w:val="af0"/>
        <w:rFonts w:hint="cs"/>
        <w:rtl/>
      </w:rPr>
      <w:t xml:space="preserve"> מתוך </w:t>
    </w:r>
    <w:r w:rsidRPr="00F8747C">
      <w:rPr>
        <w:rStyle w:val="af0"/>
      </w:rPr>
      <w:fldChar w:fldCharType="begin"/>
    </w:r>
    <w:r w:rsidRPr="00F8747C">
      <w:rPr>
        <w:rStyle w:val="af0"/>
      </w:rPr>
      <w:instrText xml:space="preserve"> NUMPAGES </w:instrText>
    </w:r>
    <w:r w:rsidRPr="00F8747C">
      <w:rPr>
        <w:rStyle w:val="af0"/>
      </w:rPr>
      <w:fldChar w:fldCharType="separate"/>
    </w:r>
    <w:r w:rsidR="00F2026B">
      <w:rPr>
        <w:rStyle w:val="af0"/>
        <w:noProof/>
        <w:rtl/>
      </w:rPr>
      <w:t>4</w:t>
    </w:r>
    <w:r w:rsidRPr="00F8747C">
      <w:rPr>
        <w:rStyle w:val="af0"/>
      </w:rPr>
      <w:fldChar w:fldCharType="end"/>
    </w:r>
  </w:p>
  <w:p w14:paraId="34A7CAE6" w14:textId="77777777" w:rsidR="008A5AE4" w:rsidRDefault="008A5A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81635" w14:textId="77777777" w:rsidR="002D1CA1" w:rsidRDefault="002D1CA1">
      <w:r>
        <w:separator/>
      </w:r>
    </w:p>
  </w:footnote>
  <w:footnote w:type="continuationSeparator" w:id="0">
    <w:p w14:paraId="11E30595" w14:textId="77777777" w:rsidR="002D1CA1" w:rsidRDefault="002D1CA1">
      <w:r>
        <w:continuationSeparator/>
      </w:r>
    </w:p>
  </w:footnote>
  <w:footnote w:id="1">
    <w:p w14:paraId="0CD80C00" w14:textId="77777777" w:rsidR="00AA2941" w:rsidRDefault="00AA2941" w:rsidP="00AA2941">
      <w:pPr>
        <w:pStyle w:val="a3"/>
        <w:rPr>
          <w:rtl/>
        </w:rPr>
      </w:pPr>
      <w:r>
        <w:rPr>
          <w:rStyle w:val="a5"/>
        </w:rPr>
        <w:footnoteRef/>
      </w:r>
      <w:r>
        <w:rPr>
          <w:rtl/>
        </w:rPr>
        <w:t xml:space="preserve"> </w:t>
      </w:r>
      <w:r>
        <w:rPr>
          <w:rFonts w:hint="cs"/>
          <w:rtl/>
        </w:rPr>
        <w:t xml:space="preserve">על בת הקול שהכריעה שהלכה כבית הלל נשפכו דיותות ונשברו </w:t>
      </w:r>
      <w:proofErr w:type="spellStart"/>
      <w:r>
        <w:rPr>
          <w:rFonts w:hint="cs"/>
          <w:rtl/>
        </w:rPr>
        <w:t>קולמוסין</w:t>
      </w:r>
      <w:proofErr w:type="spellEnd"/>
      <w:r>
        <w:rPr>
          <w:rFonts w:hint="cs"/>
          <w:rtl/>
        </w:rPr>
        <w:t xml:space="preserve">, שהרי </w:t>
      </w:r>
      <w:hyperlink r:id="rId1" w:history="1">
        <w:r w:rsidRPr="00E65FB1">
          <w:rPr>
            <w:rStyle w:val="Hyperlink"/>
            <w:rFonts w:hint="cs"/>
            <w:rtl/>
          </w:rPr>
          <w:t>בתנורו של עכנאי</w:t>
        </w:r>
      </w:hyperlink>
      <w:r>
        <w:rPr>
          <w:rFonts w:hint="cs"/>
          <w:rtl/>
        </w:rPr>
        <w:t xml:space="preserve"> עמד רבי יהושע על רגליו ואמר: "אין </w:t>
      </w:r>
      <w:proofErr w:type="spellStart"/>
      <w:r>
        <w:rPr>
          <w:rFonts w:hint="cs"/>
          <w:rtl/>
        </w:rPr>
        <w:t>משגיחין</w:t>
      </w:r>
      <w:proofErr w:type="spellEnd"/>
      <w:r>
        <w:rPr>
          <w:rFonts w:hint="cs"/>
          <w:rtl/>
        </w:rPr>
        <w:t xml:space="preserve"> בבת קול". וכבר הרחבנו בנושא זה בדברינו </w:t>
      </w:r>
      <w:hyperlink r:id="rId2" w:history="1">
        <w:r w:rsidRPr="00AE6091">
          <w:rPr>
            <w:rStyle w:val="Hyperlink"/>
            <w:rFonts w:hint="cs"/>
            <w:rtl/>
          </w:rPr>
          <w:t>בת קול בסיני ובבית המדרש</w:t>
        </w:r>
      </w:hyperlink>
      <w:r>
        <w:rPr>
          <w:rFonts w:hint="cs"/>
          <w:rtl/>
        </w:rPr>
        <w:t xml:space="preserve"> בחג השבועות.</w:t>
      </w:r>
    </w:p>
  </w:footnote>
  <w:footnote w:id="2">
    <w:p w14:paraId="002B66AE" w14:textId="2041CCDF" w:rsidR="007A7591" w:rsidRDefault="007A7591">
      <w:pPr>
        <w:pStyle w:val="a3"/>
      </w:pPr>
      <w:r>
        <w:rPr>
          <w:rStyle w:val="a5"/>
        </w:rPr>
        <w:footnoteRef/>
      </w:r>
      <w:r>
        <w:rPr>
          <w:rtl/>
        </w:rPr>
        <w:t xml:space="preserve"> </w:t>
      </w:r>
      <w:r>
        <w:rPr>
          <w:rFonts w:hint="cs"/>
          <w:rtl/>
        </w:rPr>
        <w:t xml:space="preserve">מה פשר שאלה חוזרת זו לאחר שכבר הכריעה בת הקול? תאמר שהיא הנותנת </w:t>
      </w:r>
      <w:r>
        <w:rPr>
          <w:rtl/>
        </w:rPr>
        <w:t>–</w:t>
      </w:r>
      <w:r>
        <w:rPr>
          <w:rFonts w:hint="cs"/>
          <w:rtl/>
        </w:rPr>
        <w:t xml:space="preserve"> "אין </w:t>
      </w:r>
      <w:proofErr w:type="spellStart"/>
      <w:r>
        <w:rPr>
          <w:rFonts w:hint="cs"/>
          <w:rtl/>
        </w:rPr>
        <w:t>משגיחין</w:t>
      </w:r>
      <w:proofErr w:type="spellEnd"/>
      <w:r>
        <w:rPr>
          <w:rFonts w:hint="cs"/>
          <w:rtl/>
        </w:rPr>
        <w:t xml:space="preserve"> בבת קול"</w:t>
      </w:r>
      <w:r w:rsidR="00AE26F2">
        <w:rPr>
          <w:rFonts w:hint="cs"/>
          <w:rtl/>
        </w:rPr>
        <w:t xml:space="preserve"> ואין היא סיבה מספקת לקביעת ההלכה כבית הלל.</w:t>
      </w:r>
      <w:r>
        <w:rPr>
          <w:rFonts w:hint="cs"/>
          <w:rtl/>
        </w:rPr>
        <w:t xml:space="preserve"> או תאמר, בדגש על המילה "זכו" שהגמרא מבקשת רק להבין במה זכו בית הלל שתיקבע הלכה כמותם. בין כך ובין כך, הביסוס לקביעה שהלכה כבית הלל, </w:t>
      </w:r>
      <w:r w:rsidR="00AE26F2">
        <w:rPr>
          <w:rFonts w:hint="cs"/>
          <w:rtl/>
        </w:rPr>
        <w:t>היא 'ארצית' ו</w:t>
      </w:r>
      <w:r>
        <w:rPr>
          <w:rFonts w:hint="cs"/>
          <w:rtl/>
        </w:rPr>
        <w:t>באה מבית המדרש ולא "מגבוה".</w:t>
      </w:r>
    </w:p>
  </w:footnote>
  <w:footnote w:id="3">
    <w:p w14:paraId="575105CF" w14:textId="5560B4D4" w:rsidR="00AA2941" w:rsidRDefault="00AA2941" w:rsidP="00AA2941">
      <w:pPr>
        <w:pStyle w:val="a3"/>
        <w:rPr>
          <w:rtl/>
        </w:rPr>
      </w:pPr>
      <w:r>
        <w:rPr>
          <w:rStyle w:val="a5"/>
        </w:rPr>
        <w:footnoteRef/>
      </w:r>
      <w:r>
        <w:t xml:space="preserve"> </w:t>
      </w:r>
      <w:r>
        <w:rPr>
          <w:rFonts w:hint="cs"/>
          <w:rtl/>
        </w:rPr>
        <w:t>ו</w:t>
      </w:r>
      <w:r w:rsidR="00D354B6">
        <w:rPr>
          <w:rFonts w:hint="cs"/>
          <w:rtl/>
        </w:rPr>
        <w:t xml:space="preserve">אמנם, במרבית המשניות שבדקנו (לא בדקנו את כולם) מופיעים דברי בית שמאי לפני דברי בית הלל: החל מדיני ברכות (ברכות פרק ח), מצוות התלויות בארץ (פאה ו, כלאיים ד, מעשר שני ב ועוד), שבת (פרק א) </w:t>
      </w:r>
      <w:r w:rsidR="00572B26">
        <w:rPr>
          <w:rFonts w:hint="cs"/>
          <w:rtl/>
        </w:rPr>
        <w:t xml:space="preserve">עירובין ח ועוד </w:t>
      </w:r>
      <w:proofErr w:type="spellStart"/>
      <w:r w:rsidR="00572B26">
        <w:rPr>
          <w:rFonts w:hint="cs"/>
          <w:rtl/>
        </w:rPr>
        <w:t>ועוד</w:t>
      </w:r>
      <w:proofErr w:type="spellEnd"/>
      <w:r w:rsidR="00572B26">
        <w:rPr>
          <w:rFonts w:hint="cs"/>
          <w:rtl/>
        </w:rPr>
        <w:t>. ואף בדברי אגדה</w:t>
      </w:r>
      <w:r>
        <w:rPr>
          <w:rFonts w:hint="cs"/>
          <w:rtl/>
        </w:rPr>
        <w:t>: "בית שמאי אומרים: שמים נבראו תחילה ... ובית הלל אומרים: ארץ נבראת תחילה"</w:t>
      </w:r>
      <w:r w:rsidR="00572B26">
        <w:rPr>
          <w:rFonts w:hint="cs"/>
          <w:rtl/>
        </w:rPr>
        <w:t xml:space="preserve"> (בראשית רבה  א טו). אך </w:t>
      </w:r>
      <w:r>
        <w:rPr>
          <w:rFonts w:hint="cs"/>
          <w:rtl/>
        </w:rPr>
        <w:t xml:space="preserve">האם זו סיבה לקבוע הלכה כמישהו בגלל שהוא עלוב ונוח? </w:t>
      </w:r>
      <w:r w:rsidR="00572B26">
        <w:rPr>
          <w:rFonts w:hint="cs"/>
          <w:rtl/>
        </w:rPr>
        <w:t xml:space="preserve">האם זה "פרס" על התנהגות נאה בבית המדרש? </w:t>
      </w:r>
      <w:r w:rsidR="009638A8">
        <w:rPr>
          <w:rFonts w:hint="cs"/>
          <w:rtl/>
        </w:rPr>
        <w:t xml:space="preserve">התשובה היא פשוטה: בית שמאי היו אומרים את דבריהם ראשונים ובאופן נחרץ שאינו משאיר מקום </w:t>
      </w:r>
      <w:proofErr w:type="spellStart"/>
      <w:r w:rsidR="009638A8">
        <w:rPr>
          <w:rFonts w:hint="cs"/>
          <w:rtl/>
        </w:rPr>
        <w:t>לשקלא</w:t>
      </w:r>
      <w:proofErr w:type="spellEnd"/>
      <w:r w:rsidR="009638A8">
        <w:rPr>
          <w:rFonts w:hint="cs"/>
          <w:rtl/>
        </w:rPr>
        <w:t xml:space="preserve"> וטריא</w:t>
      </w:r>
      <w:r w:rsidR="00AE26F2">
        <w:rPr>
          <w:rFonts w:hint="cs"/>
          <w:rtl/>
        </w:rPr>
        <w:t xml:space="preserve"> ולבירור ענייני</w:t>
      </w:r>
      <w:r w:rsidR="009638A8">
        <w:rPr>
          <w:rFonts w:hint="cs"/>
          <w:rtl/>
        </w:rPr>
        <w:t>. בית הלל לעומתם, הקשיבו לדברי בית שמאי, למדו את שיטתם ורק אחרי כן אמרו מה שאמרו. אי לכך, האם יש מקום לצפות שבמספר מקרים שינו בית הלל את דעתם</w:t>
      </w:r>
      <w:r w:rsidR="00AE26F2">
        <w:rPr>
          <w:rFonts w:hint="cs"/>
          <w:rtl/>
        </w:rPr>
        <w:t>, ו</w:t>
      </w:r>
      <w:r w:rsidR="009638A8">
        <w:rPr>
          <w:rFonts w:hint="cs"/>
          <w:rtl/>
        </w:rPr>
        <w:t>השתכנעו שאמנם בית שמאי במקרה מסוים צודקים?</w:t>
      </w:r>
      <w:r>
        <w:rPr>
          <w:rFonts w:hint="cs"/>
          <w:rtl/>
        </w:rPr>
        <w:t xml:space="preserve"> </w:t>
      </w:r>
    </w:p>
  </w:footnote>
  <w:footnote w:id="4">
    <w:p w14:paraId="79C28B12" w14:textId="47E6A17A" w:rsidR="0053543A" w:rsidRDefault="0053543A">
      <w:pPr>
        <w:pStyle w:val="a3"/>
        <w:rPr>
          <w:rtl/>
        </w:rPr>
      </w:pPr>
      <w:r>
        <w:rPr>
          <w:rStyle w:val="a5"/>
        </w:rPr>
        <w:footnoteRef/>
      </w:r>
      <w:r>
        <w:rPr>
          <w:rtl/>
        </w:rPr>
        <w:t xml:space="preserve"> </w:t>
      </w:r>
      <w:r>
        <w:rPr>
          <w:rFonts w:hint="cs"/>
          <w:rtl/>
        </w:rPr>
        <w:t xml:space="preserve">ראו </w:t>
      </w:r>
      <w:r w:rsidR="00D5122B">
        <w:rPr>
          <w:rFonts w:hint="cs"/>
          <w:rtl/>
        </w:rPr>
        <w:t>גם הב</w:t>
      </w:r>
      <w:r>
        <w:rPr>
          <w:rFonts w:hint="cs"/>
          <w:rtl/>
        </w:rPr>
        <w:t>יטוי דבר</w:t>
      </w:r>
      <w:r w:rsidR="00D5122B">
        <w:rPr>
          <w:rFonts w:hint="cs"/>
          <w:rtl/>
        </w:rPr>
        <w:t xml:space="preserve">ו חכמים </w:t>
      </w:r>
      <w:r>
        <w:rPr>
          <w:rFonts w:hint="cs"/>
          <w:rtl/>
        </w:rPr>
        <w:t>בהווה</w:t>
      </w:r>
      <w:r w:rsidR="00D5122B">
        <w:rPr>
          <w:rFonts w:hint="cs"/>
          <w:rtl/>
        </w:rPr>
        <w:t>, היינו שאמנם מדובר במקרה מסוים (מעשה שהיה), אבל אין הוא אלא דוגמא למקרים דומים אחרים.</w:t>
      </w:r>
    </w:p>
  </w:footnote>
  <w:footnote w:id="5">
    <w:p w14:paraId="444D0D9A" w14:textId="4C067FC3" w:rsidR="009931BF" w:rsidRDefault="009931BF" w:rsidP="009638A8">
      <w:pPr>
        <w:pStyle w:val="a3"/>
        <w:rPr>
          <w:rtl/>
        </w:rPr>
      </w:pPr>
      <w:r>
        <w:rPr>
          <w:rStyle w:val="a5"/>
        </w:rPr>
        <w:footnoteRef/>
      </w:r>
      <w:r>
        <w:rPr>
          <w:rtl/>
        </w:rPr>
        <w:t xml:space="preserve"> </w:t>
      </w:r>
      <w:r>
        <w:rPr>
          <w:rFonts w:hint="cs"/>
          <w:rtl/>
        </w:rPr>
        <w:t xml:space="preserve">כך גם במשנה יבמות </w:t>
      </w:r>
      <w:r>
        <w:rPr>
          <w:rtl/>
        </w:rPr>
        <w:t>פרק טו משנה ב</w:t>
      </w:r>
      <w:r>
        <w:rPr>
          <w:rFonts w:hint="cs"/>
          <w:rtl/>
        </w:rPr>
        <w:t>: "</w:t>
      </w:r>
      <w:r>
        <w:rPr>
          <w:rtl/>
        </w:rPr>
        <w:t>בית הלל אומרים לא שמענו אלא בבאה מן הקציר ובאותה מדינה וכמעשה שהיה</w:t>
      </w:r>
      <w:r>
        <w:rPr>
          <w:rFonts w:hint="cs"/>
          <w:rtl/>
        </w:rPr>
        <w:t>.</w:t>
      </w:r>
      <w:r>
        <w:rPr>
          <w:rtl/>
        </w:rPr>
        <w:t xml:space="preserve"> אמרו להן בית שמאי</w:t>
      </w:r>
      <w:r>
        <w:rPr>
          <w:rFonts w:hint="cs"/>
          <w:rtl/>
        </w:rPr>
        <w:t>:</w:t>
      </w:r>
      <w:r>
        <w:rPr>
          <w:rtl/>
        </w:rPr>
        <w:t xml:space="preserve"> אחת הבאה מן הקציר ואחת הבאה מן הזיתים ואחת הבאה מן </w:t>
      </w:r>
      <w:proofErr w:type="spellStart"/>
      <w:r>
        <w:rPr>
          <w:rtl/>
        </w:rPr>
        <w:t>הבציר</w:t>
      </w:r>
      <w:proofErr w:type="spellEnd"/>
      <w:r>
        <w:rPr>
          <w:rtl/>
        </w:rPr>
        <w:t xml:space="preserve"> ואחת הבאה ממדינה למדינה</w:t>
      </w:r>
      <w:r>
        <w:rPr>
          <w:rFonts w:hint="cs"/>
          <w:rtl/>
        </w:rPr>
        <w:t>.</w:t>
      </w:r>
      <w:r>
        <w:rPr>
          <w:rtl/>
        </w:rPr>
        <w:t xml:space="preserve"> לא דברו חכמים בקציר אלא בהוה חזרו בית הלל להורות כבית שמאי</w:t>
      </w:r>
      <w:r>
        <w:rPr>
          <w:rFonts w:hint="cs"/>
          <w:rtl/>
        </w:rPr>
        <w:t xml:space="preserve">". מדובר בבעל ואשתו שהלכו לשדות מרוחקים לתקופת הקציר </w:t>
      </w:r>
      <w:proofErr w:type="spellStart"/>
      <w:r>
        <w:rPr>
          <w:rFonts w:hint="cs"/>
          <w:rtl/>
        </w:rPr>
        <w:t>והבציר</w:t>
      </w:r>
      <w:proofErr w:type="spellEnd"/>
      <w:r>
        <w:rPr>
          <w:rFonts w:hint="cs"/>
          <w:rtl/>
        </w:rPr>
        <w:t xml:space="preserve"> </w:t>
      </w:r>
      <w:proofErr w:type="spellStart"/>
      <w:r>
        <w:rPr>
          <w:rFonts w:hint="cs"/>
          <w:rtl/>
        </w:rPr>
        <w:t>ואסיפת</w:t>
      </w:r>
      <w:proofErr w:type="spellEnd"/>
      <w:r>
        <w:rPr>
          <w:rFonts w:hint="cs"/>
          <w:rtl/>
        </w:rPr>
        <w:t xml:space="preserve"> הפירות, או הפליגו בספינה מעבר לים </w:t>
      </w:r>
      <w:proofErr w:type="spellStart"/>
      <w:r>
        <w:rPr>
          <w:rFonts w:hint="cs"/>
          <w:rtl/>
        </w:rPr>
        <w:t>וכו</w:t>
      </w:r>
      <w:proofErr w:type="spellEnd"/>
      <w:r>
        <w:rPr>
          <w:rFonts w:hint="cs"/>
          <w:rtl/>
        </w:rPr>
        <w:t xml:space="preserve">'. רק </w:t>
      </w:r>
      <w:proofErr w:type="spellStart"/>
      <w:r>
        <w:rPr>
          <w:rFonts w:hint="cs"/>
          <w:rtl/>
        </w:rPr>
        <w:t>האשה</w:t>
      </w:r>
      <w:proofErr w:type="spellEnd"/>
      <w:r>
        <w:rPr>
          <w:rFonts w:hint="cs"/>
          <w:rtl/>
        </w:rPr>
        <w:t xml:space="preserve"> חוזרת ומעידה שבעלה מת</w:t>
      </w:r>
      <w:r w:rsidR="0069474A">
        <w:rPr>
          <w:rFonts w:hint="cs"/>
          <w:rtl/>
        </w:rPr>
        <w:t>. האם מאמינים לה ותוכל להינשא לאדם אחר?</w:t>
      </w:r>
      <w:r w:rsidR="00647996">
        <w:rPr>
          <w:rFonts w:hint="cs"/>
          <w:rtl/>
        </w:rPr>
        <w:t xml:space="preserve"> בית שמאי אומרים שכן </w:t>
      </w:r>
      <w:r w:rsidR="00647996">
        <w:rPr>
          <w:rtl/>
        </w:rPr>
        <w:t>–</w:t>
      </w:r>
      <w:r w:rsidR="00647996">
        <w:rPr>
          <w:rFonts w:hint="cs"/>
          <w:rtl/>
        </w:rPr>
        <w:t xml:space="preserve"> </w:t>
      </w:r>
      <w:r w:rsidR="00560089">
        <w:rPr>
          <w:rFonts w:hint="cs"/>
          <w:rtl/>
        </w:rPr>
        <w:t xml:space="preserve">הם </w:t>
      </w:r>
      <w:r w:rsidR="00647996">
        <w:rPr>
          <w:rFonts w:hint="cs"/>
          <w:rtl/>
        </w:rPr>
        <w:t>מאמינים לעדותה הגם שהיא</w:t>
      </w:r>
      <w:r w:rsidR="00560089">
        <w:rPr>
          <w:rFonts w:hint="cs"/>
          <w:rtl/>
        </w:rPr>
        <w:t xml:space="preserve"> עדה יחידה ולא אובייקטיבית. </w:t>
      </w:r>
      <w:r w:rsidR="00647996">
        <w:rPr>
          <w:rFonts w:hint="cs"/>
          <w:rtl/>
        </w:rPr>
        <w:t>ובית הלל: לא.</w:t>
      </w:r>
      <w:r w:rsidR="00560089">
        <w:rPr>
          <w:rFonts w:hint="cs"/>
          <w:rtl/>
        </w:rPr>
        <w:t xml:space="preserve"> ולא ברור מה שכנע את בית הלל להסכים עם בית שמאי. המקרה שאירע? ההתחשבות באשה?</w:t>
      </w:r>
    </w:p>
  </w:footnote>
  <w:footnote w:id="6">
    <w:p w14:paraId="74F2EE54" w14:textId="4170702C" w:rsidR="00DB42FE" w:rsidRDefault="00DB42FE">
      <w:pPr>
        <w:pStyle w:val="a3"/>
        <w:rPr>
          <w:rtl/>
        </w:rPr>
      </w:pPr>
      <w:r>
        <w:rPr>
          <w:rStyle w:val="a5"/>
        </w:rPr>
        <w:footnoteRef/>
      </w:r>
      <w:r>
        <w:rPr>
          <w:rtl/>
        </w:rPr>
        <w:t xml:space="preserve"> </w:t>
      </w:r>
      <w:r>
        <w:rPr>
          <w:rFonts w:hint="cs"/>
          <w:rtl/>
        </w:rPr>
        <w:t>כאן מתחיל לכאורה דיון שני שהוא בצד הממוני</w:t>
      </w:r>
      <w:r w:rsidR="004412A0">
        <w:rPr>
          <w:rFonts w:hint="cs"/>
          <w:rtl/>
        </w:rPr>
        <w:t>.</w:t>
      </w:r>
    </w:p>
  </w:footnote>
  <w:footnote w:id="7">
    <w:p w14:paraId="0F00D0D1" w14:textId="5507A83E" w:rsidR="009638A8" w:rsidRDefault="009638A8">
      <w:pPr>
        <w:pStyle w:val="a3"/>
        <w:rPr>
          <w:rtl/>
        </w:rPr>
      </w:pPr>
      <w:r>
        <w:rPr>
          <w:rStyle w:val="a5"/>
        </w:rPr>
        <w:footnoteRef/>
      </w:r>
      <w:r>
        <w:rPr>
          <w:rtl/>
        </w:rPr>
        <w:t xml:space="preserve"> </w:t>
      </w:r>
      <w:r>
        <w:rPr>
          <w:rFonts w:hint="cs"/>
          <w:rtl/>
        </w:rPr>
        <w:t>חשש לאיסור אשת איש.</w:t>
      </w:r>
      <w:r w:rsidR="004412A0">
        <w:rPr>
          <w:rFonts w:hint="cs"/>
          <w:rtl/>
        </w:rPr>
        <w:t xml:space="preserve"> לזה כבר הסכמתם, בית הלל</w:t>
      </w:r>
      <w:r w:rsidR="00560089">
        <w:rPr>
          <w:rFonts w:hint="cs"/>
          <w:rtl/>
        </w:rPr>
        <w:t>!</w:t>
      </w:r>
    </w:p>
  </w:footnote>
  <w:footnote w:id="8">
    <w:p w14:paraId="52B01FBA" w14:textId="52088CFE" w:rsidR="009638A8" w:rsidRDefault="009638A8">
      <w:pPr>
        <w:pStyle w:val="a3"/>
      </w:pPr>
      <w:r>
        <w:rPr>
          <w:rStyle w:val="a5"/>
        </w:rPr>
        <w:footnoteRef/>
      </w:r>
      <w:r>
        <w:rPr>
          <w:rtl/>
        </w:rPr>
        <w:t xml:space="preserve"> </w:t>
      </w:r>
      <w:r>
        <w:rPr>
          <w:rFonts w:hint="cs"/>
          <w:rtl/>
        </w:rPr>
        <w:t>את הכתובה?</w:t>
      </w:r>
    </w:p>
  </w:footnote>
  <w:footnote w:id="9">
    <w:p w14:paraId="38A9110E" w14:textId="7E43F68D" w:rsidR="00A170C0" w:rsidRDefault="00A170C0">
      <w:pPr>
        <w:pStyle w:val="a3"/>
      </w:pPr>
      <w:r>
        <w:rPr>
          <w:rStyle w:val="a5"/>
        </w:rPr>
        <w:footnoteRef/>
      </w:r>
      <w:r>
        <w:rPr>
          <w:rtl/>
        </w:rPr>
        <w:t xml:space="preserve"> </w:t>
      </w:r>
      <w:r>
        <w:rPr>
          <w:rFonts w:hint="cs"/>
          <w:rtl/>
        </w:rPr>
        <w:t xml:space="preserve">לעניין דיני נחלות (אחים שיורשים את האח הנעדר) אין מקבלים את עדות </w:t>
      </w:r>
      <w:proofErr w:type="spellStart"/>
      <w:r>
        <w:rPr>
          <w:rFonts w:hint="cs"/>
          <w:rtl/>
        </w:rPr>
        <w:t>האשה</w:t>
      </w:r>
      <w:proofErr w:type="spellEnd"/>
      <w:r>
        <w:rPr>
          <w:rFonts w:hint="cs"/>
          <w:rtl/>
        </w:rPr>
        <w:t>.</w:t>
      </w:r>
    </w:p>
  </w:footnote>
  <w:footnote w:id="10">
    <w:p w14:paraId="0F55E0D8" w14:textId="10F8FD1E" w:rsidR="00310209" w:rsidRDefault="00310209" w:rsidP="00310209">
      <w:pPr>
        <w:pStyle w:val="a3"/>
      </w:pPr>
      <w:r>
        <w:rPr>
          <w:rStyle w:val="a5"/>
        </w:rPr>
        <w:footnoteRef/>
      </w:r>
      <w:r>
        <w:rPr>
          <w:rtl/>
        </w:rPr>
        <w:t xml:space="preserve"> </w:t>
      </w:r>
      <w:r>
        <w:rPr>
          <w:rFonts w:hint="cs"/>
          <w:rtl/>
        </w:rPr>
        <w:t>ראו בדומה ב</w:t>
      </w:r>
      <w:r>
        <w:rPr>
          <w:rtl/>
        </w:rPr>
        <w:t xml:space="preserve">מסכת עדויות פרק א משנה </w:t>
      </w:r>
      <w:proofErr w:type="spellStart"/>
      <w:r>
        <w:rPr>
          <w:rtl/>
        </w:rPr>
        <w:t>יג</w:t>
      </w:r>
      <w:proofErr w:type="spellEnd"/>
      <w:r>
        <w:rPr>
          <w:rFonts w:hint="cs"/>
          <w:rtl/>
        </w:rPr>
        <w:t xml:space="preserve"> בדין "</w:t>
      </w:r>
      <w:r>
        <w:rPr>
          <w:rtl/>
        </w:rPr>
        <w:t>מי שחציו עבד וחציו בן חורין עובד את רבו יום אחד ואת עצמו יום אחד דברי בית הלל</w:t>
      </w:r>
      <w:r>
        <w:rPr>
          <w:rFonts w:hint="cs"/>
          <w:rtl/>
        </w:rPr>
        <w:t>.</w:t>
      </w:r>
      <w:r>
        <w:rPr>
          <w:rtl/>
        </w:rPr>
        <w:t xml:space="preserve"> אמרו להם בית שמאי</w:t>
      </w:r>
      <w:r>
        <w:rPr>
          <w:rFonts w:hint="cs"/>
          <w:rtl/>
        </w:rPr>
        <w:t>:</w:t>
      </w:r>
      <w:r>
        <w:rPr>
          <w:rtl/>
        </w:rPr>
        <w:t xml:space="preserve"> תקנתם את רבו ואת עצמו לא תקנתם</w:t>
      </w:r>
      <w:r>
        <w:rPr>
          <w:rFonts w:hint="cs"/>
          <w:rtl/>
        </w:rPr>
        <w:t>.</w:t>
      </w:r>
      <w:r>
        <w:rPr>
          <w:rtl/>
        </w:rPr>
        <w:t xml:space="preserve"> </w:t>
      </w:r>
      <w:proofErr w:type="spellStart"/>
      <w:r>
        <w:rPr>
          <w:rtl/>
        </w:rPr>
        <w:t>לישא</w:t>
      </w:r>
      <w:proofErr w:type="spellEnd"/>
      <w:r>
        <w:rPr>
          <w:rtl/>
        </w:rPr>
        <w:t xml:space="preserve"> שפחה אינו יכול</w:t>
      </w:r>
      <w:r>
        <w:rPr>
          <w:rFonts w:hint="cs"/>
          <w:rtl/>
        </w:rPr>
        <w:t>,</w:t>
      </w:r>
      <w:r>
        <w:rPr>
          <w:rtl/>
        </w:rPr>
        <w:t xml:space="preserve"> בת חורין אינו יכול</w:t>
      </w:r>
      <w:r>
        <w:rPr>
          <w:rFonts w:hint="cs"/>
          <w:rtl/>
        </w:rPr>
        <w:t xml:space="preserve">, </w:t>
      </w:r>
      <w:proofErr w:type="spellStart"/>
      <w:r>
        <w:rPr>
          <w:rtl/>
        </w:rPr>
        <w:t>ליבטל</w:t>
      </w:r>
      <w:proofErr w:type="spellEnd"/>
      <w:r>
        <w:rPr>
          <w:rFonts w:hint="cs"/>
          <w:rtl/>
        </w:rPr>
        <w:t>?</w:t>
      </w:r>
      <w:r>
        <w:rPr>
          <w:rtl/>
        </w:rPr>
        <w:t xml:space="preserve"> והלא לא נברא העולם אלא לפריה ורביה </w:t>
      </w:r>
      <w:r>
        <w:rPr>
          <w:rFonts w:hint="cs"/>
          <w:rtl/>
        </w:rPr>
        <w:t xml:space="preserve">... </w:t>
      </w:r>
      <w:r>
        <w:rPr>
          <w:rtl/>
        </w:rPr>
        <w:t xml:space="preserve">אלא מפני </w:t>
      </w:r>
      <w:proofErr w:type="spellStart"/>
      <w:r>
        <w:rPr>
          <w:rtl/>
        </w:rPr>
        <w:t>ת</w:t>
      </w:r>
      <w:r>
        <w:rPr>
          <w:rFonts w:hint="cs"/>
          <w:rtl/>
        </w:rPr>
        <w:t>ג</w:t>
      </w:r>
      <w:r>
        <w:rPr>
          <w:rtl/>
        </w:rPr>
        <w:t>קון</w:t>
      </w:r>
      <w:proofErr w:type="spellEnd"/>
      <w:r>
        <w:rPr>
          <w:rtl/>
        </w:rPr>
        <w:t xml:space="preserve"> העולם </w:t>
      </w:r>
      <w:proofErr w:type="spellStart"/>
      <w:r>
        <w:rPr>
          <w:rtl/>
        </w:rPr>
        <w:t>כופין</w:t>
      </w:r>
      <w:proofErr w:type="spellEnd"/>
      <w:r>
        <w:rPr>
          <w:rtl/>
        </w:rPr>
        <w:t xml:space="preserve"> את רבו ועושה אותו בן חורין וכותב שטר על חצי דמיו</w:t>
      </w:r>
      <w:r>
        <w:rPr>
          <w:rFonts w:hint="cs"/>
          <w:rtl/>
        </w:rPr>
        <w:t>.</w:t>
      </w:r>
      <w:r>
        <w:rPr>
          <w:rtl/>
        </w:rPr>
        <w:t xml:space="preserve"> חזרו בית הלל להורות כבית שמאי</w:t>
      </w:r>
      <w:r>
        <w:rPr>
          <w:rFonts w:hint="cs"/>
          <w:rtl/>
        </w:rPr>
        <w:t>". כך גם ב</w:t>
      </w:r>
      <w:r>
        <w:rPr>
          <w:rtl/>
        </w:rPr>
        <w:t>מסכת גיטין פרק ד משנה ה</w:t>
      </w:r>
      <w:r>
        <w:rPr>
          <w:rFonts w:hint="cs"/>
          <w:rtl/>
        </w:rPr>
        <w:t xml:space="preserve">. עוד במשנה </w:t>
      </w:r>
      <w:r>
        <w:rPr>
          <w:rtl/>
        </w:rPr>
        <w:t>עדויות פרק א משנה יד</w:t>
      </w:r>
      <w:r>
        <w:rPr>
          <w:rFonts w:hint="cs"/>
          <w:rtl/>
        </w:rPr>
        <w:t>: "</w:t>
      </w:r>
      <w:r>
        <w:rPr>
          <w:rtl/>
        </w:rPr>
        <w:t xml:space="preserve">כלי חרס מציל על </w:t>
      </w:r>
      <w:proofErr w:type="spellStart"/>
      <w:r>
        <w:rPr>
          <w:rtl/>
        </w:rPr>
        <w:t>הכל</w:t>
      </w:r>
      <w:proofErr w:type="spellEnd"/>
      <w:r>
        <w:rPr>
          <w:rtl/>
        </w:rPr>
        <w:t xml:space="preserve"> כדברי בית הלל ובית שמאי אומרים אינו מציל אלא על </w:t>
      </w:r>
      <w:proofErr w:type="spellStart"/>
      <w:r>
        <w:rPr>
          <w:rtl/>
        </w:rPr>
        <w:t>האוכלין</w:t>
      </w:r>
      <w:proofErr w:type="spellEnd"/>
      <w:r>
        <w:rPr>
          <w:rtl/>
        </w:rPr>
        <w:t xml:space="preserve"> ועל </w:t>
      </w:r>
      <w:proofErr w:type="spellStart"/>
      <w:r>
        <w:rPr>
          <w:rtl/>
        </w:rPr>
        <w:t>המשקין</w:t>
      </w:r>
      <w:proofErr w:type="spellEnd"/>
      <w:r>
        <w:rPr>
          <w:rtl/>
        </w:rPr>
        <w:t xml:space="preserve"> ועל כלי חרס</w:t>
      </w:r>
      <w:r>
        <w:rPr>
          <w:rFonts w:hint="cs"/>
          <w:rtl/>
        </w:rPr>
        <w:t xml:space="preserve"> ... </w:t>
      </w:r>
      <w:r>
        <w:rPr>
          <w:rtl/>
        </w:rPr>
        <w:t xml:space="preserve"> </w:t>
      </w:r>
      <w:r>
        <w:rPr>
          <w:rFonts w:hint="cs"/>
          <w:rtl/>
        </w:rPr>
        <w:t>ו</w:t>
      </w:r>
      <w:r>
        <w:rPr>
          <w:rtl/>
        </w:rPr>
        <w:t>חזרו בית הלל להורות כדברי בית שמאי</w:t>
      </w:r>
      <w:r>
        <w:rPr>
          <w:rFonts w:hint="cs"/>
          <w:rtl/>
        </w:rPr>
        <w:t>". עוד ב</w:t>
      </w:r>
      <w:r>
        <w:rPr>
          <w:rtl/>
        </w:rPr>
        <w:t>מסכת כלים פרק ט משנה ב</w:t>
      </w:r>
      <w:r>
        <w:rPr>
          <w:rFonts w:hint="cs"/>
          <w:rtl/>
        </w:rPr>
        <w:t>: "</w:t>
      </w:r>
      <w:r>
        <w:rPr>
          <w:rtl/>
        </w:rPr>
        <w:t xml:space="preserve">חבית שהיא מלאה משקין </w:t>
      </w:r>
      <w:proofErr w:type="spellStart"/>
      <w:r>
        <w:rPr>
          <w:rtl/>
        </w:rPr>
        <w:t>טהורין</w:t>
      </w:r>
      <w:proofErr w:type="spellEnd"/>
      <w:r>
        <w:rPr>
          <w:rtl/>
        </w:rPr>
        <w:t xml:space="preserve"> </w:t>
      </w:r>
      <w:proofErr w:type="spellStart"/>
      <w:r>
        <w:rPr>
          <w:rtl/>
        </w:rPr>
        <w:t>ומניקת</w:t>
      </w:r>
      <w:proofErr w:type="spellEnd"/>
      <w:r>
        <w:rPr>
          <w:rtl/>
        </w:rPr>
        <w:t xml:space="preserve"> בתוכה מוקפת צמיד פתיל ונתונה באהל המת</w:t>
      </w:r>
      <w:r>
        <w:rPr>
          <w:rFonts w:hint="cs"/>
          <w:rtl/>
        </w:rPr>
        <w:t>,</w:t>
      </w:r>
      <w:r>
        <w:rPr>
          <w:rtl/>
        </w:rPr>
        <w:t xml:space="preserve"> בית שמאי אומרים</w:t>
      </w:r>
      <w:r>
        <w:rPr>
          <w:rFonts w:hint="cs"/>
          <w:rtl/>
        </w:rPr>
        <w:t>:</w:t>
      </w:r>
      <w:r>
        <w:rPr>
          <w:rtl/>
        </w:rPr>
        <w:t xml:space="preserve"> החבית </w:t>
      </w:r>
      <w:proofErr w:type="spellStart"/>
      <w:r>
        <w:rPr>
          <w:rtl/>
        </w:rPr>
        <w:t>והמשקין</w:t>
      </w:r>
      <w:proofErr w:type="spellEnd"/>
      <w:r>
        <w:rPr>
          <w:rtl/>
        </w:rPr>
        <w:t xml:space="preserve"> </w:t>
      </w:r>
      <w:proofErr w:type="spellStart"/>
      <w:r>
        <w:rPr>
          <w:rtl/>
        </w:rPr>
        <w:t>טהורין</w:t>
      </w:r>
      <w:proofErr w:type="spellEnd"/>
      <w:r>
        <w:rPr>
          <w:rtl/>
        </w:rPr>
        <w:t xml:space="preserve"> </w:t>
      </w:r>
      <w:proofErr w:type="spellStart"/>
      <w:r>
        <w:rPr>
          <w:rtl/>
        </w:rPr>
        <w:t>ומניקת</w:t>
      </w:r>
      <w:proofErr w:type="spellEnd"/>
      <w:r>
        <w:rPr>
          <w:rtl/>
        </w:rPr>
        <w:t xml:space="preserve"> טמאה ובית הלל אומרים אף </w:t>
      </w:r>
      <w:proofErr w:type="spellStart"/>
      <w:r>
        <w:rPr>
          <w:rtl/>
        </w:rPr>
        <w:t>מניקת</w:t>
      </w:r>
      <w:proofErr w:type="spellEnd"/>
      <w:r>
        <w:rPr>
          <w:rtl/>
        </w:rPr>
        <w:t xml:space="preserve"> טהורה</w:t>
      </w:r>
      <w:r>
        <w:rPr>
          <w:rFonts w:hint="cs"/>
          <w:rtl/>
        </w:rPr>
        <w:t>.</w:t>
      </w:r>
      <w:r>
        <w:rPr>
          <w:rtl/>
        </w:rPr>
        <w:t xml:space="preserve"> חזרו בית הלל להורות כדברי בית שמא</w:t>
      </w:r>
      <w:r>
        <w:rPr>
          <w:rFonts w:hint="cs"/>
          <w:rtl/>
        </w:rPr>
        <w:t xml:space="preserve">". סוף דבר, ספרנו חמשה אזכורים שבית הלל השתכנעו מנימוקי בית שמאי וחזרו בהם והורו להלכה כשיטת בית שמאי. ראו </w:t>
      </w:r>
      <w:r>
        <w:rPr>
          <w:rtl/>
        </w:rPr>
        <w:t>סדר רב עמרם גאון (</w:t>
      </w:r>
      <w:proofErr w:type="spellStart"/>
      <w:r>
        <w:rPr>
          <w:rtl/>
        </w:rPr>
        <w:t>הרפנס</w:t>
      </w:r>
      <w:proofErr w:type="spellEnd"/>
      <w:r>
        <w:rPr>
          <w:rtl/>
        </w:rPr>
        <w:t>) קריאת שמע וברכותיה</w:t>
      </w:r>
      <w:r>
        <w:rPr>
          <w:rFonts w:hint="cs"/>
          <w:rtl/>
        </w:rPr>
        <w:t xml:space="preserve"> שמונה "ארבעה </w:t>
      </w:r>
      <w:r>
        <w:rPr>
          <w:rtl/>
        </w:rPr>
        <w:t>חזרו בית הלל להורות כדברי בית שמאי</w:t>
      </w:r>
      <w:r>
        <w:rPr>
          <w:rFonts w:hint="cs"/>
          <w:rtl/>
        </w:rPr>
        <w:t>" במסכת עדויות גופה, ומדגיש: "א</w:t>
      </w:r>
      <w:r>
        <w:rPr>
          <w:rtl/>
        </w:rPr>
        <w:t xml:space="preserve">בל </w:t>
      </w:r>
      <w:proofErr w:type="spellStart"/>
      <w:r>
        <w:rPr>
          <w:rtl/>
        </w:rPr>
        <w:t>בכוליה</w:t>
      </w:r>
      <w:proofErr w:type="spellEnd"/>
      <w:r>
        <w:rPr>
          <w:rtl/>
        </w:rPr>
        <w:t xml:space="preserve"> תנאי הלכה כבית הלל</w:t>
      </w:r>
      <w:r>
        <w:rPr>
          <w:rFonts w:hint="cs"/>
          <w:rtl/>
        </w:rPr>
        <w:t>"</w:t>
      </w:r>
      <w:r>
        <w:rPr>
          <w:rtl/>
        </w:rPr>
        <w:t>.</w:t>
      </w:r>
    </w:p>
  </w:footnote>
  <w:footnote w:id="11">
    <w:p w14:paraId="1BDE8BDA" w14:textId="26ADADFB" w:rsidR="00FE7A57" w:rsidRDefault="00FE7A57">
      <w:pPr>
        <w:pStyle w:val="a3"/>
        <w:rPr>
          <w:rtl/>
        </w:rPr>
      </w:pPr>
      <w:r>
        <w:rPr>
          <w:rStyle w:val="a5"/>
        </w:rPr>
        <w:footnoteRef/>
      </w:r>
      <w:r>
        <w:rPr>
          <w:rtl/>
        </w:rPr>
        <w:t xml:space="preserve"> </w:t>
      </w:r>
      <w:r>
        <w:rPr>
          <w:rFonts w:hint="cs"/>
          <w:rtl/>
        </w:rPr>
        <w:t xml:space="preserve">זקני בית שמאי הולכים ביחד לקבל פני ר' יוחנן </w:t>
      </w:r>
      <w:proofErr w:type="spellStart"/>
      <w:r>
        <w:rPr>
          <w:rFonts w:hint="cs"/>
          <w:rtl/>
        </w:rPr>
        <w:t>החורני</w:t>
      </w:r>
      <w:proofErr w:type="spellEnd"/>
      <w:r>
        <w:rPr>
          <w:rFonts w:hint="cs"/>
          <w:rtl/>
        </w:rPr>
        <w:t xml:space="preserve"> ("חייב אדם להקביל פני רבו ברגל", ראש השנה </w:t>
      </w:r>
      <w:proofErr w:type="spellStart"/>
      <w:r>
        <w:rPr>
          <w:rFonts w:hint="cs"/>
          <w:rtl/>
        </w:rPr>
        <w:t>טז</w:t>
      </w:r>
      <w:proofErr w:type="spellEnd"/>
      <w:r>
        <w:rPr>
          <w:rFonts w:hint="cs"/>
          <w:rtl/>
        </w:rPr>
        <w:t xml:space="preserve"> ב) וזקני בית שמאי מבשרים לו שסוכתו אינה כשרה!!</w:t>
      </w:r>
      <w:r w:rsidR="00D5641F">
        <w:rPr>
          <w:rFonts w:hint="cs"/>
          <w:rtl/>
        </w:rPr>
        <w:t xml:space="preserve"> </w:t>
      </w:r>
      <w:hyperlink r:id="rId3" w:history="1">
        <w:r w:rsidR="00D5641F" w:rsidRPr="00D5641F">
          <w:rPr>
            <w:rStyle w:val="Hyperlink"/>
            <w:rFonts w:hint="cs"/>
            <w:rtl/>
          </w:rPr>
          <w:t xml:space="preserve">רבי יוחנן </w:t>
        </w:r>
        <w:proofErr w:type="spellStart"/>
        <w:r w:rsidR="00D5641F" w:rsidRPr="00D5641F">
          <w:rPr>
            <w:rStyle w:val="Hyperlink"/>
            <w:rFonts w:hint="cs"/>
            <w:rtl/>
          </w:rPr>
          <w:t>החורני</w:t>
        </w:r>
        <w:proofErr w:type="spellEnd"/>
      </w:hyperlink>
      <w:r w:rsidR="00D5641F">
        <w:rPr>
          <w:rFonts w:hint="cs"/>
          <w:rtl/>
        </w:rPr>
        <w:t xml:space="preserve"> היה אגב מראשוני בית שמאי, אך נהג למעשה כבית הלל.</w:t>
      </w:r>
    </w:p>
  </w:footnote>
  <w:footnote w:id="12">
    <w:p w14:paraId="4CC984D1" w14:textId="5E3A9375" w:rsidR="00E6568B" w:rsidRDefault="00E6568B">
      <w:pPr>
        <w:pStyle w:val="a3"/>
      </w:pPr>
      <w:r>
        <w:rPr>
          <w:rStyle w:val="a5"/>
        </w:rPr>
        <w:footnoteRef/>
      </w:r>
      <w:r>
        <w:rPr>
          <w:rtl/>
        </w:rPr>
        <w:t xml:space="preserve"> </w:t>
      </w:r>
      <w:r>
        <w:rPr>
          <w:rFonts w:hint="cs"/>
          <w:rtl/>
        </w:rPr>
        <w:t>וזו הדוגמא לכיוון השני, שבית שמאי מודים שהלכה כבית הלל. נראה שיש עוד מקום בו בית שמאי מודים לבית הלל, ראו מסכת תרומות פרק ה משנה ד בדין "</w:t>
      </w:r>
      <w:r>
        <w:rPr>
          <w:rtl/>
        </w:rPr>
        <w:t>סאה תרומה טמאה שנפלה למאה סאה תרומה טהורה</w:t>
      </w:r>
      <w:r>
        <w:rPr>
          <w:rFonts w:hint="cs"/>
          <w:rtl/>
        </w:rPr>
        <w:t xml:space="preserve">, בית שמאי </w:t>
      </w:r>
      <w:r>
        <w:rPr>
          <w:rtl/>
        </w:rPr>
        <w:t>אוסרים ובית הלל מתירי</w:t>
      </w:r>
      <w:r>
        <w:rPr>
          <w:rFonts w:hint="cs"/>
          <w:rtl/>
        </w:rPr>
        <w:t xml:space="preserve">ם". ראו שם בפרט הביטוי "לאחר שהודו", ופירוש רמב"ם </w:t>
      </w:r>
      <w:proofErr w:type="spellStart"/>
      <w:r>
        <w:rPr>
          <w:rFonts w:hint="cs"/>
          <w:rtl/>
        </w:rPr>
        <w:t>וברטנורא</w:t>
      </w:r>
      <w:proofErr w:type="spellEnd"/>
      <w:r>
        <w:rPr>
          <w:rFonts w:hint="cs"/>
          <w:rtl/>
        </w:rPr>
        <w:t xml:space="preserve"> על ביטוי זה בפרט. אך הירושלמי לעיל קובע בפשטות: "</w:t>
      </w:r>
      <w:r>
        <w:rPr>
          <w:rtl/>
        </w:rPr>
        <w:t>לא מצאנו שהודו בית שמאי לבית הלל אלא בדבר זה בלבד</w:t>
      </w:r>
      <w:r>
        <w:rPr>
          <w:rFonts w:hint="cs"/>
          <w:rtl/>
        </w:rPr>
        <w:t>". והרי לנו חמישה בהם בית הלל מודים לבית שמאי כנגד אחד (או שניים) מנגד. יתרה מזאת, בהשוואה ללשון הקלה יחסית "הודו בית שמאי לבית הלל", כאשר בית הלל מודים לדרי בית שמאי, הלשון היא חדה וברורה: "</w:t>
      </w:r>
      <w:r>
        <w:rPr>
          <w:rtl/>
        </w:rPr>
        <w:t>חזרו בית הלל להורות כדברי בית שמאי</w:t>
      </w:r>
      <w:r>
        <w:rPr>
          <w:rFonts w:hint="cs"/>
          <w:rtl/>
        </w:rPr>
        <w:t xml:space="preserve">" </w:t>
      </w:r>
      <w:r>
        <w:rPr>
          <w:rtl/>
        </w:rPr>
        <w:t>–</w:t>
      </w:r>
      <w:r>
        <w:rPr>
          <w:rFonts w:hint="cs"/>
          <w:rtl/>
        </w:rPr>
        <w:t xml:space="preserve"> הלכה למעשה. והרי לנו חיזוק לגמרא בעירובין. בית הלל אינם רק "נוחים ועירובין ושונים דברי בית שמאי</w:t>
      </w:r>
      <w:r w:rsidRPr="00E6568B">
        <w:rPr>
          <w:rFonts w:hint="cs"/>
          <w:rtl/>
        </w:rPr>
        <w:t xml:space="preserve"> </w:t>
      </w:r>
      <w:r>
        <w:rPr>
          <w:rFonts w:hint="cs"/>
          <w:rtl/>
        </w:rPr>
        <w:t xml:space="preserve">... ואף </w:t>
      </w:r>
      <w:proofErr w:type="spellStart"/>
      <w:r>
        <w:rPr>
          <w:rFonts w:hint="cs"/>
          <w:rtl/>
        </w:rPr>
        <w:t>מקדימין</w:t>
      </w:r>
      <w:proofErr w:type="spellEnd"/>
      <w:r>
        <w:rPr>
          <w:rFonts w:hint="cs"/>
          <w:rtl/>
        </w:rPr>
        <w:t xml:space="preserve"> דברי בית שמאי לדבריהן, אלא שאם השתכנעו שבית שמאי צודקים, חוזרים בהם ונוהגים הלכה למעשה כבת שמאי!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1D6D7" w14:textId="23EE19D3" w:rsidR="008A5AE4" w:rsidRDefault="00E6568B" w:rsidP="00F2026B">
    <w:pPr>
      <w:pStyle w:val="1"/>
      <w:tabs>
        <w:tab w:val="right" w:pos="9299"/>
      </w:tabs>
      <w:rPr>
        <w:rtl/>
      </w:rPr>
    </w:pPr>
    <w:r>
      <w:rPr>
        <w:rFonts w:hint="cs"/>
        <w:rtl/>
      </w:rPr>
      <w:t>דפים מיוחדים</w:t>
    </w:r>
    <w:r w:rsidR="008A5AE4">
      <w:rPr>
        <w:rtl/>
      </w:rPr>
      <w:tab/>
    </w:r>
    <w:r w:rsidR="00E53A7A">
      <w:rPr>
        <w:rFonts w:hint="cs"/>
        <w:rtl/>
      </w:rPr>
      <w:t>תשפ"</w:t>
    </w:r>
    <w:r w:rsidR="00AA2941">
      <w:rPr>
        <w:rFonts w:hint="cs"/>
        <w:rtl/>
      </w:rPr>
      <w:t>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5693" w14:textId="5D68D3DC" w:rsidR="008A5AE4" w:rsidRDefault="008A5AE4">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D91025">
      <w:rPr>
        <w:szCs w:val="24"/>
        <w:rtl/>
      </w:rPr>
      <w:t>דפים מיוחדים</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D91025">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4750166">
    <w:abstractNumId w:val="8"/>
  </w:num>
  <w:num w:numId="2" w16cid:durableId="1423994006">
    <w:abstractNumId w:val="3"/>
  </w:num>
  <w:num w:numId="3" w16cid:durableId="235290869">
    <w:abstractNumId w:val="2"/>
  </w:num>
  <w:num w:numId="4" w16cid:durableId="962537930">
    <w:abstractNumId w:val="1"/>
  </w:num>
  <w:num w:numId="5" w16cid:durableId="1666857395">
    <w:abstractNumId w:val="0"/>
  </w:num>
  <w:num w:numId="6" w16cid:durableId="1011448679">
    <w:abstractNumId w:val="9"/>
  </w:num>
  <w:num w:numId="7" w16cid:durableId="1786535011">
    <w:abstractNumId w:val="7"/>
  </w:num>
  <w:num w:numId="8" w16cid:durableId="2072730741">
    <w:abstractNumId w:val="6"/>
  </w:num>
  <w:num w:numId="9" w16cid:durableId="775173682">
    <w:abstractNumId w:val="5"/>
  </w:num>
  <w:num w:numId="10" w16cid:durableId="1262493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0MrA0NLQwsrQ0NDdQ0lEKTi0uzszPAykwNKkFAPPc6nQtAAAA"/>
  </w:docVars>
  <w:rsids>
    <w:rsidRoot w:val="000176C2"/>
    <w:rsid w:val="00005118"/>
    <w:rsid w:val="000176C2"/>
    <w:rsid w:val="000477A4"/>
    <w:rsid w:val="00053AE2"/>
    <w:rsid w:val="00056F55"/>
    <w:rsid w:val="00060DA1"/>
    <w:rsid w:val="000710F2"/>
    <w:rsid w:val="000823D2"/>
    <w:rsid w:val="00086CC4"/>
    <w:rsid w:val="00090320"/>
    <w:rsid w:val="000A75F5"/>
    <w:rsid w:val="000C2E29"/>
    <w:rsid w:val="000E150A"/>
    <w:rsid w:val="000F78C6"/>
    <w:rsid w:val="00102701"/>
    <w:rsid w:val="00105ACC"/>
    <w:rsid w:val="00116DB1"/>
    <w:rsid w:val="0012206B"/>
    <w:rsid w:val="00124511"/>
    <w:rsid w:val="0014659C"/>
    <w:rsid w:val="001601F1"/>
    <w:rsid w:val="001656B8"/>
    <w:rsid w:val="001722A7"/>
    <w:rsid w:val="00174048"/>
    <w:rsid w:val="00186C4D"/>
    <w:rsid w:val="00192C4A"/>
    <w:rsid w:val="001A1321"/>
    <w:rsid w:val="001A1369"/>
    <w:rsid w:val="001B5520"/>
    <w:rsid w:val="001C1286"/>
    <w:rsid w:val="001C220D"/>
    <w:rsid w:val="001D57CD"/>
    <w:rsid w:val="001E2861"/>
    <w:rsid w:val="001E34B7"/>
    <w:rsid w:val="001E4A67"/>
    <w:rsid w:val="00201A94"/>
    <w:rsid w:val="00205E5C"/>
    <w:rsid w:val="00206DD1"/>
    <w:rsid w:val="00222F70"/>
    <w:rsid w:val="00234D08"/>
    <w:rsid w:val="002453C7"/>
    <w:rsid w:val="0025344D"/>
    <w:rsid w:val="00255BA4"/>
    <w:rsid w:val="0025695B"/>
    <w:rsid w:val="0027184E"/>
    <w:rsid w:val="00273372"/>
    <w:rsid w:val="002734DF"/>
    <w:rsid w:val="00277E0F"/>
    <w:rsid w:val="0028387D"/>
    <w:rsid w:val="00296C21"/>
    <w:rsid w:val="002A08BF"/>
    <w:rsid w:val="002A2C22"/>
    <w:rsid w:val="002B33FD"/>
    <w:rsid w:val="002C321E"/>
    <w:rsid w:val="002D1CA1"/>
    <w:rsid w:val="002D4EFB"/>
    <w:rsid w:val="002E1B3B"/>
    <w:rsid w:val="00310209"/>
    <w:rsid w:val="00311859"/>
    <w:rsid w:val="003148ED"/>
    <w:rsid w:val="00315805"/>
    <w:rsid w:val="00334713"/>
    <w:rsid w:val="003357A6"/>
    <w:rsid w:val="00353C48"/>
    <w:rsid w:val="00356171"/>
    <w:rsid w:val="0036088D"/>
    <w:rsid w:val="00364129"/>
    <w:rsid w:val="00366518"/>
    <w:rsid w:val="00376929"/>
    <w:rsid w:val="0039063F"/>
    <w:rsid w:val="003A658D"/>
    <w:rsid w:val="003A76F0"/>
    <w:rsid w:val="003B58A4"/>
    <w:rsid w:val="003B651C"/>
    <w:rsid w:val="003C135D"/>
    <w:rsid w:val="003D04FA"/>
    <w:rsid w:val="003D1A09"/>
    <w:rsid w:val="003E57A9"/>
    <w:rsid w:val="003E72D6"/>
    <w:rsid w:val="00401491"/>
    <w:rsid w:val="00402567"/>
    <w:rsid w:val="00417006"/>
    <w:rsid w:val="004412A0"/>
    <w:rsid w:val="0044221C"/>
    <w:rsid w:val="00446553"/>
    <w:rsid w:val="00454702"/>
    <w:rsid w:val="00461161"/>
    <w:rsid w:val="004673C6"/>
    <w:rsid w:val="00471621"/>
    <w:rsid w:val="00472941"/>
    <w:rsid w:val="004748E9"/>
    <w:rsid w:val="004824C5"/>
    <w:rsid w:val="00496A64"/>
    <w:rsid w:val="004A0A9B"/>
    <w:rsid w:val="004A36EA"/>
    <w:rsid w:val="004B3B55"/>
    <w:rsid w:val="004B4742"/>
    <w:rsid w:val="004B770E"/>
    <w:rsid w:val="004C1089"/>
    <w:rsid w:val="004D18BD"/>
    <w:rsid w:val="004D39DF"/>
    <w:rsid w:val="004D4B45"/>
    <w:rsid w:val="004E595C"/>
    <w:rsid w:val="004F37F9"/>
    <w:rsid w:val="004F7B38"/>
    <w:rsid w:val="00506015"/>
    <w:rsid w:val="00517C85"/>
    <w:rsid w:val="0053543A"/>
    <w:rsid w:val="00535A50"/>
    <w:rsid w:val="0054112B"/>
    <w:rsid w:val="00560089"/>
    <w:rsid w:val="00562AF1"/>
    <w:rsid w:val="005635BE"/>
    <w:rsid w:val="0057174A"/>
    <w:rsid w:val="00572B26"/>
    <w:rsid w:val="005742C0"/>
    <w:rsid w:val="00574B4E"/>
    <w:rsid w:val="00581634"/>
    <w:rsid w:val="00583DAF"/>
    <w:rsid w:val="0058479D"/>
    <w:rsid w:val="00587E82"/>
    <w:rsid w:val="005923F0"/>
    <w:rsid w:val="00596D73"/>
    <w:rsid w:val="005A7788"/>
    <w:rsid w:val="005B1438"/>
    <w:rsid w:val="005B4AF9"/>
    <w:rsid w:val="005D0DBE"/>
    <w:rsid w:val="005E5080"/>
    <w:rsid w:val="005E6A0A"/>
    <w:rsid w:val="005E76C0"/>
    <w:rsid w:val="00604A97"/>
    <w:rsid w:val="0061471C"/>
    <w:rsid w:val="0063233E"/>
    <w:rsid w:val="00634D34"/>
    <w:rsid w:val="006449CB"/>
    <w:rsid w:val="006469BE"/>
    <w:rsid w:val="00647996"/>
    <w:rsid w:val="006600C9"/>
    <w:rsid w:val="00663A1C"/>
    <w:rsid w:val="006834F2"/>
    <w:rsid w:val="006920F6"/>
    <w:rsid w:val="0069474A"/>
    <w:rsid w:val="006A25B4"/>
    <w:rsid w:val="006B53DF"/>
    <w:rsid w:val="006D1AEE"/>
    <w:rsid w:val="0070653A"/>
    <w:rsid w:val="00713BFE"/>
    <w:rsid w:val="00742E19"/>
    <w:rsid w:val="007447A9"/>
    <w:rsid w:val="00745031"/>
    <w:rsid w:val="007460E0"/>
    <w:rsid w:val="00763385"/>
    <w:rsid w:val="007636B1"/>
    <w:rsid w:val="0076502B"/>
    <w:rsid w:val="0077792F"/>
    <w:rsid w:val="00785307"/>
    <w:rsid w:val="0078586D"/>
    <w:rsid w:val="007975B5"/>
    <w:rsid w:val="007A4F67"/>
    <w:rsid w:val="007A7591"/>
    <w:rsid w:val="007A7A69"/>
    <w:rsid w:val="007A7C9F"/>
    <w:rsid w:val="007C1596"/>
    <w:rsid w:val="007C23D2"/>
    <w:rsid w:val="007C7B36"/>
    <w:rsid w:val="007D1B52"/>
    <w:rsid w:val="007D5FB0"/>
    <w:rsid w:val="007D70E0"/>
    <w:rsid w:val="007D796A"/>
    <w:rsid w:val="007E0C5C"/>
    <w:rsid w:val="007E6554"/>
    <w:rsid w:val="008056CA"/>
    <w:rsid w:val="008058A0"/>
    <w:rsid w:val="00811856"/>
    <w:rsid w:val="00812F55"/>
    <w:rsid w:val="008151EC"/>
    <w:rsid w:val="008241ED"/>
    <w:rsid w:val="008337AD"/>
    <w:rsid w:val="008408A2"/>
    <w:rsid w:val="0085665F"/>
    <w:rsid w:val="00863046"/>
    <w:rsid w:val="00863295"/>
    <w:rsid w:val="008649BA"/>
    <w:rsid w:val="00895F99"/>
    <w:rsid w:val="00897A10"/>
    <w:rsid w:val="008A457D"/>
    <w:rsid w:val="008A5AE4"/>
    <w:rsid w:val="008D7A8D"/>
    <w:rsid w:val="009043A4"/>
    <w:rsid w:val="00906D60"/>
    <w:rsid w:val="009370DF"/>
    <w:rsid w:val="00937D33"/>
    <w:rsid w:val="00945DCA"/>
    <w:rsid w:val="00946063"/>
    <w:rsid w:val="00947047"/>
    <w:rsid w:val="00951E81"/>
    <w:rsid w:val="00954F4D"/>
    <w:rsid w:val="009638A8"/>
    <w:rsid w:val="0096645F"/>
    <w:rsid w:val="009670BF"/>
    <w:rsid w:val="00967967"/>
    <w:rsid w:val="00974A91"/>
    <w:rsid w:val="00983431"/>
    <w:rsid w:val="009857A7"/>
    <w:rsid w:val="009931BF"/>
    <w:rsid w:val="00993E46"/>
    <w:rsid w:val="009A1411"/>
    <w:rsid w:val="009A3EA9"/>
    <w:rsid w:val="009C5036"/>
    <w:rsid w:val="009C5445"/>
    <w:rsid w:val="009D11A4"/>
    <w:rsid w:val="009D17B0"/>
    <w:rsid w:val="009F3E76"/>
    <w:rsid w:val="009F4990"/>
    <w:rsid w:val="00A00E20"/>
    <w:rsid w:val="00A0294C"/>
    <w:rsid w:val="00A135F3"/>
    <w:rsid w:val="00A170C0"/>
    <w:rsid w:val="00A27EFF"/>
    <w:rsid w:val="00A40A40"/>
    <w:rsid w:val="00A46982"/>
    <w:rsid w:val="00A55300"/>
    <w:rsid w:val="00A60CBD"/>
    <w:rsid w:val="00A612FF"/>
    <w:rsid w:val="00A84FA2"/>
    <w:rsid w:val="00A864A8"/>
    <w:rsid w:val="00A924B6"/>
    <w:rsid w:val="00A938F3"/>
    <w:rsid w:val="00A96158"/>
    <w:rsid w:val="00AA2941"/>
    <w:rsid w:val="00AA52C2"/>
    <w:rsid w:val="00AB020B"/>
    <w:rsid w:val="00AC1967"/>
    <w:rsid w:val="00AC2DFF"/>
    <w:rsid w:val="00AD42C9"/>
    <w:rsid w:val="00AE06F8"/>
    <w:rsid w:val="00AE26F2"/>
    <w:rsid w:val="00AE6485"/>
    <w:rsid w:val="00AF2E12"/>
    <w:rsid w:val="00B01117"/>
    <w:rsid w:val="00B060EC"/>
    <w:rsid w:val="00B11552"/>
    <w:rsid w:val="00B12C97"/>
    <w:rsid w:val="00B23AA4"/>
    <w:rsid w:val="00B25B34"/>
    <w:rsid w:val="00B25E70"/>
    <w:rsid w:val="00B31311"/>
    <w:rsid w:val="00B3363B"/>
    <w:rsid w:val="00B33C74"/>
    <w:rsid w:val="00B3614A"/>
    <w:rsid w:val="00B44A37"/>
    <w:rsid w:val="00B47289"/>
    <w:rsid w:val="00B5367C"/>
    <w:rsid w:val="00B56BF4"/>
    <w:rsid w:val="00B64428"/>
    <w:rsid w:val="00B65374"/>
    <w:rsid w:val="00B7774F"/>
    <w:rsid w:val="00B93638"/>
    <w:rsid w:val="00BA350B"/>
    <w:rsid w:val="00BA3B74"/>
    <w:rsid w:val="00BB4D85"/>
    <w:rsid w:val="00BC024E"/>
    <w:rsid w:val="00BE349E"/>
    <w:rsid w:val="00C03B2E"/>
    <w:rsid w:val="00C0590E"/>
    <w:rsid w:val="00C112F9"/>
    <w:rsid w:val="00C23EF1"/>
    <w:rsid w:val="00C27093"/>
    <w:rsid w:val="00C534EA"/>
    <w:rsid w:val="00C61CCB"/>
    <w:rsid w:val="00C809CA"/>
    <w:rsid w:val="00C911A3"/>
    <w:rsid w:val="00C922C7"/>
    <w:rsid w:val="00CA14DA"/>
    <w:rsid w:val="00CA73F7"/>
    <w:rsid w:val="00CC44DA"/>
    <w:rsid w:val="00CF2521"/>
    <w:rsid w:val="00D00368"/>
    <w:rsid w:val="00D03399"/>
    <w:rsid w:val="00D13C97"/>
    <w:rsid w:val="00D354B6"/>
    <w:rsid w:val="00D3627C"/>
    <w:rsid w:val="00D363F0"/>
    <w:rsid w:val="00D504BA"/>
    <w:rsid w:val="00D5122B"/>
    <w:rsid w:val="00D53B16"/>
    <w:rsid w:val="00D56187"/>
    <w:rsid w:val="00D5641F"/>
    <w:rsid w:val="00D73EF9"/>
    <w:rsid w:val="00D77A2C"/>
    <w:rsid w:val="00D90E2A"/>
    <w:rsid w:val="00D91025"/>
    <w:rsid w:val="00D917C7"/>
    <w:rsid w:val="00D94ED9"/>
    <w:rsid w:val="00DB270C"/>
    <w:rsid w:val="00DB34BB"/>
    <w:rsid w:val="00DB42FE"/>
    <w:rsid w:val="00DC72AC"/>
    <w:rsid w:val="00DD3619"/>
    <w:rsid w:val="00DE5208"/>
    <w:rsid w:val="00DF4A8A"/>
    <w:rsid w:val="00E06D78"/>
    <w:rsid w:val="00E1263E"/>
    <w:rsid w:val="00E20ADC"/>
    <w:rsid w:val="00E24AAD"/>
    <w:rsid w:val="00E30432"/>
    <w:rsid w:val="00E31155"/>
    <w:rsid w:val="00E42D98"/>
    <w:rsid w:val="00E52B0F"/>
    <w:rsid w:val="00E53A7A"/>
    <w:rsid w:val="00E641FE"/>
    <w:rsid w:val="00E648A7"/>
    <w:rsid w:val="00E6568B"/>
    <w:rsid w:val="00E84D35"/>
    <w:rsid w:val="00E876DD"/>
    <w:rsid w:val="00EA73C0"/>
    <w:rsid w:val="00EA7713"/>
    <w:rsid w:val="00EB7522"/>
    <w:rsid w:val="00EC1341"/>
    <w:rsid w:val="00ED76F1"/>
    <w:rsid w:val="00EE648C"/>
    <w:rsid w:val="00EF3A47"/>
    <w:rsid w:val="00EF3B82"/>
    <w:rsid w:val="00EF6C77"/>
    <w:rsid w:val="00F07211"/>
    <w:rsid w:val="00F2026B"/>
    <w:rsid w:val="00F21976"/>
    <w:rsid w:val="00F25E32"/>
    <w:rsid w:val="00F41BA4"/>
    <w:rsid w:val="00F46863"/>
    <w:rsid w:val="00F468E8"/>
    <w:rsid w:val="00F76313"/>
    <w:rsid w:val="00F81299"/>
    <w:rsid w:val="00F83E24"/>
    <w:rsid w:val="00F85033"/>
    <w:rsid w:val="00F85E7A"/>
    <w:rsid w:val="00F97835"/>
    <w:rsid w:val="00FA35ED"/>
    <w:rsid w:val="00FB2690"/>
    <w:rsid w:val="00FB3A95"/>
    <w:rsid w:val="00FD3F54"/>
    <w:rsid w:val="00FE05A0"/>
    <w:rsid w:val="00FE1BDE"/>
    <w:rsid w:val="00FE4612"/>
    <w:rsid w:val="00FE7A57"/>
    <w:rsid w:val="00FF1B56"/>
    <w:rsid w:val="00FF79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0F16B"/>
  <w15:chartTrackingRefBased/>
  <w15:docId w15:val="{9AFEFE21-2ECC-4E1C-850A-6BB50702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3046"/>
    <w:pPr>
      <w:bidi/>
    </w:pPr>
    <w:rPr>
      <w:rFonts w:cs="Narkisim"/>
      <w:sz w:val="22"/>
      <w:szCs w:val="22"/>
      <w:lang w:eastAsia="he-IL"/>
    </w:rPr>
  </w:style>
  <w:style w:type="paragraph" w:styleId="1">
    <w:name w:val="heading 1"/>
    <w:basedOn w:val="a"/>
    <w:next w:val="a"/>
    <w:link w:val="10"/>
    <w:qFormat/>
    <w:rsid w:val="00863046"/>
    <w:pPr>
      <w:keepNext/>
      <w:tabs>
        <w:tab w:val="right" w:pos="9469"/>
      </w:tabs>
      <w:jc w:val="both"/>
      <w:outlineLvl w:val="0"/>
    </w:pPr>
    <w:rPr>
      <w:rFonts w:cs="David"/>
      <w:b/>
      <w:bCs/>
      <w:szCs w:val="28"/>
    </w:rPr>
  </w:style>
  <w:style w:type="character" w:default="1" w:styleId="a0">
    <w:name w:val="Default Paragraph Font"/>
    <w:uiPriority w:val="1"/>
    <w:semiHidden/>
    <w:unhideWhenUsed/>
    <w:rsid w:val="0086304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63046"/>
  </w:style>
  <w:style w:type="paragraph" w:styleId="a3">
    <w:name w:val="footnote text"/>
    <w:basedOn w:val="a"/>
    <w:link w:val="a4"/>
    <w:rsid w:val="00863046"/>
    <w:pPr>
      <w:ind w:left="170" w:hanging="170"/>
      <w:jc w:val="both"/>
    </w:pPr>
    <w:rPr>
      <w:sz w:val="20"/>
      <w:szCs w:val="20"/>
    </w:rPr>
  </w:style>
  <w:style w:type="character" w:styleId="a5">
    <w:name w:val="footnote reference"/>
    <w:basedOn w:val="a0"/>
    <w:semiHidden/>
    <w:rsid w:val="00863046"/>
    <w:rPr>
      <w:vertAlign w:val="superscript"/>
    </w:rPr>
  </w:style>
  <w:style w:type="paragraph" w:styleId="a6">
    <w:name w:val="header"/>
    <w:basedOn w:val="a"/>
    <w:link w:val="a7"/>
    <w:rsid w:val="00863046"/>
    <w:pPr>
      <w:tabs>
        <w:tab w:val="center" w:pos="4153"/>
        <w:tab w:val="right" w:pos="8306"/>
      </w:tabs>
    </w:pPr>
  </w:style>
  <w:style w:type="paragraph" w:styleId="a8">
    <w:name w:val="footer"/>
    <w:basedOn w:val="a"/>
    <w:link w:val="a9"/>
    <w:rsid w:val="00863046"/>
    <w:pPr>
      <w:tabs>
        <w:tab w:val="center" w:pos="4153"/>
        <w:tab w:val="right" w:pos="8306"/>
      </w:tabs>
    </w:pPr>
  </w:style>
  <w:style w:type="paragraph" w:customStyle="1" w:styleId="aa">
    <w:name w:val="כותרת"/>
    <w:basedOn w:val="a"/>
    <w:rsid w:val="00863046"/>
    <w:pPr>
      <w:spacing w:before="240" w:line="320" w:lineRule="atLeast"/>
      <w:jc w:val="center"/>
    </w:pPr>
    <w:rPr>
      <w:rFonts w:cs="David"/>
      <w:b/>
      <w:bCs/>
      <w:spacing w:val="20"/>
      <w:szCs w:val="32"/>
    </w:rPr>
  </w:style>
  <w:style w:type="paragraph" w:customStyle="1" w:styleId="ab">
    <w:name w:val="כותרת קטע"/>
    <w:basedOn w:val="a"/>
    <w:rsid w:val="00863046"/>
    <w:pPr>
      <w:spacing w:before="240" w:line="300" w:lineRule="atLeast"/>
    </w:pPr>
    <w:rPr>
      <w:rFonts w:cs="Arial"/>
      <w:b/>
      <w:bCs/>
      <w:szCs w:val="24"/>
    </w:rPr>
  </w:style>
  <w:style w:type="paragraph" w:customStyle="1" w:styleId="ac">
    <w:name w:val="מקור"/>
    <w:basedOn w:val="a"/>
    <w:rsid w:val="00863046"/>
    <w:pPr>
      <w:spacing w:line="320" w:lineRule="atLeast"/>
      <w:jc w:val="both"/>
    </w:pPr>
    <w:rPr>
      <w:rFonts w:cs="David"/>
      <w:szCs w:val="24"/>
    </w:rPr>
  </w:style>
  <w:style w:type="paragraph" w:customStyle="1" w:styleId="ad">
    <w:name w:val="מחלקי המים"/>
    <w:basedOn w:val="a"/>
    <w:rsid w:val="00863046"/>
    <w:pPr>
      <w:spacing w:line="320" w:lineRule="atLeast"/>
      <w:jc w:val="both"/>
    </w:pPr>
    <w:rPr>
      <w:b/>
      <w:bCs/>
      <w:szCs w:val="24"/>
    </w:rPr>
  </w:style>
  <w:style w:type="paragraph" w:styleId="ae">
    <w:name w:val="Balloon Text"/>
    <w:basedOn w:val="a"/>
    <w:link w:val="af"/>
    <w:uiPriority w:val="99"/>
    <w:semiHidden/>
    <w:unhideWhenUsed/>
    <w:rsid w:val="00863046"/>
    <w:rPr>
      <w:rFonts w:ascii="Tahoma" w:hAnsi="Tahoma" w:cs="Tahoma"/>
      <w:sz w:val="16"/>
      <w:szCs w:val="16"/>
    </w:rPr>
  </w:style>
  <w:style w:type="character" w:styleId="af0">
    <w:name w:val="page number"/>
    <w:basedOn w:val="a0"/>
    <w:rsid w:val="00811856"/>
  </w:style>
  <w:style w:type="character" w:styleId="Hyperlink">
    <w:name w:val="Hyperlink"/>
    <w:basedOn w:val="a0"/>
    <w:rsid w:val="00863046"/>
    <w:rPr>
      <w:color w:val="0563C1" w:themeColor="hyperlink"/>
      <w:u w:val="single"/>
    </w:rPr>
  </w:style>
  <w:style w:type="character" w:styleId="FollowedHyperlink">
    <w:name w:val="FollowedHyperlink"/>
    <w:rsid w:val="006600C9"/>
    <w:rPr>
      <w:color w:val="800080"/>
      <w:u w:val="single"/>
    </w:rPr>
  </w:style>
  <w:style w:type="character" w:customStyle="1" w:styleId="a4">
    <w:name w:val="טקסט הערת שוליים תו"/>
    <w:basedOn w:val="a0"/>
    <w:link w:val="a3"/>
    <w:rsid w:val="00863046"/>
    <w:rPr>
      <w:rFonts w:cs="Narkisim"/>
      <w:lang w:eastAsia="he-IL"/>
    </w:rPr>
  </w:style>
  <w:style w:type="character" w:customStyle="1" w:styleId="10">
    <w:name w:val="כותרת 1 תו"/>
    <w:basedOn w:val="a0"/>
    <w:link w:val="1"/>
    <w:rsid w:val="00863046"/>
    <w:rPr>
      <w:rFonts w:cs="David"/>
      <w:b/>
      <w:bCs/>
      <w:sz w:val="22"/>
      <w:szCs w:val="28"/>
      <w:lang w:eastAsia="he-IL"/>
    </w:rPr>
  </w:style>
  <w:style w:type="character" w:customStyle="1" w:styleId="a7">
    <w:name w:val="כותרת עליונה תו"/>
    <w:basedOn w:val="a0"/>
    <w:link w:val="a6"/>
    <w:rsid w:val="00863046"/>
    <w:rPr>
      <w:rFonts w:cs="Narkisim"/>
      <w:sz w:val="22"/>
      <w:szCs w:val="22"/>
      <w:lang w:eastAsia="he-IL"/>
    </w:rPr>
  </w:style>
  <w:style w:type="character" w:customStyle="1" w:styleId="a9">
    <w:name w:val="כותרת תחתונה תו"/>
    <w:basedOn w:val="a0"/>
    <w:link w:val="a8"/>
    <w:rsid w:val="00863046"/>
    <w:rPr>
      <w:rFonts w:cs="Narkisim"/>
      <w:sz w:val="22"/>
      <w:szCs w:val="22"/>
      <w:lang w:eastAsia="he-IL"/>
    </w:rPr>
  </w:style>
  <w:style w:type="character" w:customStyle="1" w:styleId="af">
    <w:name w:val="טקסט בלונים תו"/>
    <w:basedOn w:val="a0"/>
    <w:link w:val="ae"/>
    <w:uiPriority w:val="99"/>
    <w:semiHidden/>
    <w:rsid w:val="00863046"/>
    <w:rPr>
      <w:rFonts w:ascii="Tahoma" w:hAnsi="Tahoma" w:cs="Tahoma"/>
      <w:sz w:val="16"/>
      <w:szCs w:val="16"/>
      <w:lang w:eastAsia="he-IL"/>
    </w:rPr>
  </w:style>
  <w:style w:type="paragraph" w:customStyle="1" w:styleId="af1">
    <w:name w:val="פסוק"/>
    <w:basedOn w:val="ac"/>
    <w:qFormat/>
    <w:rsid w:val="00863046"/>
    <w:pPr>
      <w:spacing w:before="120"/>
    </w:pPr>
    <w:rPr>
      <w:b/>
      <w:bCs/>
    </w:rPr>
  </w:style>
  <w:style w:type="character" w:styleId="af2">
    <w:name w:val="Unresolved Mention"/>
    <w:uiPriority w:val="99"/>
    <w:semiHidden/>
    <w:unhideWhenUsed/>
    <w:rsid w:val="00461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701112">
      <w:bodyDiv w:val="1"/>
      <w:marLeft w:val="0"/>
      <w:marRight w:val="0"/>
      <w:marTop w:val="0"/>
      <w:marBottom w:val="0"/>
      <w:divBdr>
        <w:top w:val="none" w:sz="0" w:space="0" w:color="auto"/>
        <w:left w:val="none" w:sz="0" w:space="0" w:color="auto"/>
        <w:bottom w:val="none" w:sz="0" w:space="0" w:color="auto"/>
        <w:right w:val="none" w:sz="0" w:space="0" w:color="auto"/>
      </w:divBdr>
      <w:divsChild>
        <w:div w:id="1424909924">
          <w:marLeft w:val="0"/>
          <w:marRight w:val="0"/>
          <w:marTop w:val="0"/>
          <w:marBottom w:val="0"/>
          <w:divBdr>
            <w:top w:val="none" w:sz="0" w:space="0" w:color="auto"/>
            <w:left w:val="none" w:sz="0" w:space="0" w:color="auto"/>
            <w:bottom w:val="none" w:sz="0" w:space="0" w:color="auto"/>
            <w:right w:val="none" w:sz="0" w:space="0" w:color="auto"/>
          </w:divBdr>
        </w:div>
      </w:divsChild>
    </w:div>
    <w:div w:id="910458570">
      <w:bodyDiv w:val="1"/>
      <w:marLeft w:val="0"/>
      <w:marRight w:val="0"/>
      <w:marTop w:val="0"/>
      <w:marBottom w:val="0"/>
      <w:divBdr>
        <w:top w:val="none" w:sz="0" w:space="0" w:color="auto"/>
        <w:left w:val="none" w:sz="0" w:space="0" w:color="auto"/>
        <w:bottom w:val="none" w:sz="0" w:space="0" w:color="auto"/>
        <w:right w:val="none" w:sz="0" w:space="0" w:color="auto"/>
      </w:divBdr>
      <w:divsChild>
        <w:div w:id="696275648">
          <w:marLeft w:val="0"/>
          <w:marRight w:val="0"/>
          <w:marTop w:val="0"/>
          <w:marBottom w:val="0"/>
          <w:divBdr>
            <w:top w:val="none" w:sz="0" w:space="0" w:color="auto"/>
            <w:left w:val="none" w:sz="0" w:space="0" w:color="auto"/>
            <w:bottom w:val="none" w:sz="0" w:space="0" w:color="auto"/>
            <w:right w:val="none" w:sz="0" w:space="0" w:color="auto"/>
          </w:divBdr>
        </w:div>
      </w:divsChild>
    </w:div>
    <w:div w:id="171928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im.org.il/?parasha=%D7%A9%D7%9E%D7%99%D7%9D-%D7%95%D7%90%D7%A8%D7%A5-%D7%91%D7%99%D7%9F-%D7%A9%D7%9E%D7%90%D7%99-%D7%95%D7%94%D7%9C%D7%9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yim.org.il/?parasha=%D7%9B%D7%9B%D7%9C-%D7%90%D7%A9%D7%A8-%D7%99%D7%95%D7%A8%D7%95%D7%9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yim.org.il/?meyuhadim=%D7%A8-%D7%90%D7%9C%D7%99%D7%A2%D7%96%D7%A8-%D7%91%D7%9F-%D7%94%D7%95%D7%A8%D7%A7%D7%A0%D7%95%D7%A1-%D7%97%D7%9E%D7%99%D7%A9%D7%94-%D7%A4%D7%A8%D7%A7%D7%99%D7%9D-%D7%95%D7%90%D7%A4%D7%99" TargetMode="External"/><Relationship Id="rId4" Type="http://schemas.openxmlformats.org/officeDocument/2006/relationships/settings" Target="settings.xml"/><Relationship Id="rId9" Type="http://schemas.openxmlformats.org/officeDocument/2006/relationships/hyperlink" Target="https://www.mayim.org.il/?parasha=%D7%97%D7%99%D7%9C%D7%95%D7%A7%D7%99-%D7%9E%D7%97%D7%9C%D7%95%D7%A7%D7%95%D7%AA"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hamichlol.org.il/%D7%A8%D7%91%D7%99_%D7%99%D7%95%D7%97%D7%A0%D7%9F_%D7%91%D7%9F_%D7%94%D7%97%D7%95%D7%A8%D7%A0%D7%99" TargetMode="External"/><Relationship Id="rId2" Type="http://schemas.openxmlformats.org/officeDocument/2006/relationships/hyperlink" Target="https://www.mayim.org.il/?holiday=%d7%91%d7%aa-%d7%a7%d7%95%d7%9c-%d7%91%d7%a1%d7%99%d7%a0%d7%99-%d7%95%d7%91%d7%91%d7%99%d7%aa-%d7%94%d7%9e%d7%93%d7%a8%d7%a9" TargetMode="External"/><Relationship Id="rId1" Type="http://schemas.openxmlformats.org/officeDocument/2006/relationships/hyperlink" Target="https://www.mayim.org.il/?parasha=%D7%AA%D7%A0%D7%95%D7%A8%D7%95-%D7%A9%D7%9C-%D7%A2%D7%9B%D7%A0%D7%90%D7%9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17CF9-99B0-4497-8918-8851805B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0</TotalTime>
  <Pages>2</Pages>
  <Words>517</Words>
  <Characters>2948</Characters>
  <Application>Microsoft Office Word</Application>
  <DocSecurity>0</DocSecurity>
  <Lines>24</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אשר פדית גויים ואלהיו</vt:lpstr>
      <vt:lpstr>שירת הפסח</vt:lpstr>
    </vt:vector>
  </TitlesOfParts>
  <Company>Microsoft</Company>
  <LinksUpToDate>false</LinksUpToDate>
  <CharactersWithSpaces>3459</CharactersWithSpaces>
  <SharedDoc>false</SharedDoc>
  <HLinks>
    <vt:vector size="12" baseType="variant">
      <vt:variant>
        <vt:i4>1441875</vt:i4>
      </vt:variant>
      <vt:variant>
        <vt:i4>3</vt:i4>
      </vt:variant>
      <vt:variant>
        <vt:i4>0</vt:i4>
      </vt:variant>
      <vt:variant>
        <vt:i4>5</vt:i4>
      </vt:variant>
      <vt:variant>
        <vt:lpwstr>https://www.mayim.org.il/?parasha=%D7%91%D7%99%D7%9F-%D7%93%D7%95%D7%A8-%D7%94%D7%9E%D7%91%D7%95%D7%9C-%D7%9C%D7%93%D7%95%D7%A8-%D7%94%D7%A4%D7%9C%D7%92%D7%94-%D7%A9%D7%97%D7%99%D7%AA%D7%95%D7%AA-%D7%9E%D7%95%D7%A1%D7%A8%D7%99%D7%AA</vt:lpwstr>
      </vt:variant>
      <vt:variant>
        <vt:lpwstr>gsc.tab=0</vt:lpwstr>
      </vt:variant>
      <vt:variant>
        <vt:i4>7602228</vt:i4>
      </vt:variant>
      <vt:variant>
        <vt:i4>0</vt:i4>
      </vt:variant>
      <vt:variant>
        <vt:i4>0</vt:i4>
      </vt:variant>
      <vt:variant>
        <vt:i4>5</vt:i4>
      </vt:variant>
      <vt:variant>
        <vt:lpwstr>http://www.mayim.org.il/?holiday=%d7%94%d7%95%d7%a9%d7%a2-%d7%9e%d7%95%d7%a8%d7%94-%d7%94%d7%aa%d7%a9%d7%95%d7%91%d7%94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מפני מה נקבעה הלכה כבית הלל</dc:title>
  <dc:subject>דפים מיוחדים</dc:subject>
  <dc:creator>Asher Yuval</dc:creator>
  <cp:keywords/>
  <cp:lastModifiedBy>Shimon Afek</cp:lastModifiedBy>
  <cp:revision>3</cp:revision>
  <cp:lastPrinted>2025-09-17T14:29:00Z</cp:lastPrinted>
  <dcterms:created xsi:type="dcterms:W3CDTF">2025-09-17T14:29:00Z</dcterms:created>
  <dcterms:modified xsi:type="dcterms:W3CDTF">2025-09-17T14:29:00Z</dcterms:modified>
</cp:coreProperties>
</file>