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7522" w14:textId="77777777" w:rsidR="007B7E7B" w:rsidRPr="00BB154F" w:rsidRDefault="00B43774" w:rsidP="00DD6612">
      <w:pPr>
        <w:pStyle w:val="aa"/>
        <w:spacing w:line="360" w:lineRule="auto"/>
        <w:rPr>
          <w:rtl/>
        </w:rPr>
      </w:pPr>
      <w:r>
        <w:rPr>
          <w:rFonts w:hint="cs"/>
          <w:rtl/>
        </w:rPr>
        <w:t>מצוות פריקה ומצוות טעינה</w:t>
      </w:r>
    </w:p>
    <w:p w14:paraId="2083469C" w14:textId="77777777" w:rsidR="00DD6612" w:rsidRDefault="00B43774" w:rsidP="00DA7D70">
      <w:pPr>
        <w:autoSpaceDE w:val="0"/>
        <w:autoSpaceDN w:val="0"/>
        <w:adjustRightInd w:val="0"/>
        <w:spacing w:before="240" w:line="320" w:lineRule="atLeast"/>
        <w:jc w:val="both"/>
        <w:rPr>
          <w:rFonts w:cs="David"/>
          <w:b/>
          <w:bCs/>
          <w:sz w:val="24"/>
          <w:szCs w:val="24"/>
          <w:rtl/>
          <w:lang w:val="he-IL"/>
        </w:rPr>
      </w:pPr>
      <w:proofErr w:type="spellStart"/>
      <w:r w:rsidRPr="00B43774">
        <w:rPr>
          <w:rFonts w:cs="David"/>
          <w:b/>
          <w:bCs/>
          <w:sz w:val="24"/>
          <w:szCs w:val="24"/>
          <w:rtl/>
          <w:lang w:val="he-IL"/>
        </w:rPr>
        <w:t>כִּי־תִרְאֶה</w:t>
      </w:r>
      <w:proofErr w:type="spellEnd"/>
      <w:r w:rsidRPr="00B43774">
        <w:rPr>
          <w:rFonts w:cs="David"/>
          <w:b/>
          <w:bCs/>
          <w:sz w:val="24"/>
          <w:szCs w:val="24"/>
          <w:rtl/>
          <w:lang w:val="he-IL"/>
        </w:rPr>
        <w:t xml:space="preserve"> חֲמוֹר שֹׂנַאֲךָ רֹבֵץ תַּחַת מַשָּׂאוֹ וְחָדַלְתָּ </w:t>
      </w:r>
      <w:proofErr w:type="spellStart"/>
      <w:r w:rsidRPr="00B43774">
        <w:rPr>
          <w:rFonts w:cs="David"/>
          <w:b/>
          <w:bCs/>
          <w:sz w:val="24"/>
          <w:szCs w:val="24"/>
          <w:rtl/>
          <w:lang w:val="he-IL"/>
        </w:rPr>
        <w:t>מֵעֲזֹב</w:t>
      </w:r>
      <w:proofErr w:type="spellEnd"/>
      <w:r w:rsidRPr="00B43774">
        <w:rPr>
          <w:rFonts w:cs="David"/>
          <w:b/>
          <w:bCs/>
          <w:sz w:val="24"/>
          <w:szCs w:val="24"/>
          <w:rtl/>
          <w:lang w:val="he-IL"/>
        </w:rPr>
        <w:t xml:space="preserve"> לוֹ עָזֹב </w:t>
      </w:r>
      <w:proofErr w:type="spellStart"/>
      <w:r w:rsidRPr="00B43774">
        <w:rPr>
          <w:rFonts w:cs="David"/>
          <w:b/>
          <w:bCs/>
          <w:sz w:val="24"/>
          <w:szCs w:val="24"/>
          <w:rtl/>
          <w:lang w:val="he-IL"/>
        </w:rPr>
        <w:t>תַּעֲזֹב</w:t>
      </w:r>
      <w:proofErr w:type="spellEnd"/>
      <w:r w:rsidRPr="00B43774">
        <w:rPr>
          <w:rFonts w:cs="David"/>
          <w:b/>
          <w:bCs/>
          <w:sz w:val="24"/>
          <w:szCs w:val="24"/>
          <w:rtl/>
          <w:lang w:val="he-IL"/>
        </w:rPr>
        <w:t xml:space="preserve"> עִמּוֹ</w:t>
      </w:r>
      <w:r w:rsidR="00DA7D70">
        <w:rPr>
          <w:rFonts w:cs="David" w:hint="cs"/>
          <w:b/>
          <w:bCs/>
          <w:sz w:val="24"/>
          <w:szCs w:val="24"/>
          <w:rtl/>
          <w:lang w:val="he-IL"/>
        </w:rPr>
        <w:t>:</w:t>
      </w:r>
      <w:r w:rsidR="00DD6612" w:rsidRPr="00BB154F">
        <w:rPr>
          <w:rFonts w:hint="cs"/>
          <w:sz w:val="24"/>
          <w:szCs w:val="24"/>
          <w:rtl/>
          <w:lang w:val="he-IL"/>
        </w:rPr>
        <w:t xml:space="preserve"> </w:t>
      </w:r>
      <w:r w:rsidR="00DD6612" w:rsidRPr="00BB154F">
        <w:rPr>
          <w:rFonts w:hint="cs"/>
          <w:rtl/>
          <w:lang w:val="he-IL"/>
        </w:rPr>
        <w:t xml:space="preserve">(שמות </w:t>
      </w:r>
      <w:proofErr w:type="spellStart"/>
      <w:r w:rsidR="00DD6612" w:rsidRPr="00BB154F">
        <w:rPr>
          <w:rFonts w:hint="cs"/>
          <w:rtl/>
          <w:lang w:val="he-IL"/>
        </w:rPr>
        <w:t>כ</w:t>
      </w:r>
      <w:r w:rsidR="0024715B">
        <w:rPr>
          <w:rFonts w:hint="cs"/>
          <w:rtl/>
          <w:lang w:val="he-IL"/>
        </w:rPr>
        <w:t>ג</w:t>
      </w:r>
      <w:proofErr w:type="spellEnd"/>
      <w:r w:rsidR="0024715B">
        <w:rPr>
          <w:rFonts w:hint="cs"/>
          <w:rtl/>
          <w:lang w:val="he-IL"/>
        </w:rPr>
        <w:t xml:space="preserve"> </w:t>
      </w:r>
      <w:r>
        <w:rPr>
          <w:rFonts w:hint="cs"/>
          <w:rtl/>
          <w:lang w:val="he-IL"/>
        </w:rPr>
        <w:t>ה</w:t>
      </w:r>
      <w:r w:rsidR="00DD6612" w:rsidRPr="00BB154F">
        <w:rPr>
          <w:rFonts w:hint="cs"/>
          <w:rtl/>
          <w:lang w:val="he-IL"/>
        </w:rPr>
        <w:t>)</w:t>
      </w:r>
      <w:r w:rsidR="00841BDA" w:rsidRPr="00BB154F">
        <w:rPr>
          <w:rFonts w:hint="cs"/>
          <w:rtl/>
          <w:lang w:val="he-IL"/>
        </w:rPr>
        <w:t>.</w:t>
      </w:r>
      <w:r w:rsidR="00C04948" w:rsidRPr="00DA7D70">
        <w:rPr>
          <w:rStyle w:val="a5"/>
          <w:rFonts w:cs="David"/>
          <w:sz w:val="24"/>
          <w:szCs w:val="24"/>
          <w:rtl/>
          <w:lang w:val="he-IL"/>
        </w:rPr>
        <w:footnoteReference w:id="1"/>
      </w:r>
    </w:p>
    <w:p w14:paraId="67389D6B" w14:textId="77777777" w:rsidR="00D7190E" w:rsidRDefault="00B43774" w:rsidP="00DA7D70">
      <w:pPr>
        <w:autoSpaceDE w:val="0"/>
        <w:autoSpaceDN w:val="0"/>
        <w:adjustRightInd w:val="0"/>
        <w:spacing w:before="120" w:line="320" w:lineRule="atLeast"/>
        <w:jc w:val="both"/>
        <w:rPr>
          <w:rtl/>
          <w:lang w:val="he-IL"/>
        </w:rPr>
      </w:pPr>
      <w:r w:rsidRPr="00B43774">
        <w:rPr>
          <w:rFonts w:cs="David"/>
          <w:b/>
          <w:bCs/>
          <w:sz w:val="24"/>
          <w:szCs w:val="24"/>
          <w:rtl/>
          <w:lang w:val="he-IL"/>
        </w:rPr>
        <w:t xml:space="preserve">לֹא־תִרְאֶה </w:t>
      </w:r>
      <w:proofErr w:type="spellStart"/>
      <w:r w:rsidRPr="00B43774">
        <w:rPr>
          <w:rFonts w:cs="David"/>
          <w:b/>
          <w:bCs/>
          <w:sz w:val="24"/>
          <w:szCs w:val="24"/>
          <w:rtl/>
          <w:lang w:val="he-IL"/>
        </w:rPr>
        <w:t>אֶת־חֲמוֹר</w:t>
      </w:r>
      <w:proofErr w:type="spellEnd"/>
      <w:r w:rsidRPr="00B43774">
        <w:rPr>
          <w:rFonts w:cs="David"/>
          <w:b/>
          <w:bCs/>
          <w:sz w:val="24"/>
          <w:szCs w:val="24"/>
          <w:rtl/>
          <w:lang w:val="he-IL"/>
        </w:rPr>
        <w:t xml:space="preserve"> אָחִיךָ אוֹ שׁוֹרוֹ נֹפְלִים בַּדֶּרֶךְ וְהִתְעַלַּמְתָּ מֵהֶם הָקֵם תָּקִים עִמּוֹ</w:t>
      </w:r>
      <w:r w:rsidR="00DA7D70">
        <w:rPr>
          <w:rFonts w:cs="David" w:hint="cs"/>
          <w:b/>
          <w:bCs/>
          <w:sz w:val="24"/>
          <w:szCs w:val="24"/>
          <w:rtl/>
          <w:lang w:val="he-IL"/>
        </w:rPr>
        <w:t>:</w:t>
      </w:r>
      <w:r w:rsidR="00D7190E">
        <w:rPr>
          <w:rFonts w:hint="cs"/>
          <w:rtl/>
          <w:lang w:val="he-IL"/>
        </w:rPr>
        <w:t xml:space="preserve"> (</w:t>
      </w:r>
      <w:r>
        <w:rPr>
          <w:rFonts w:hint="cs"/>
          <w:rtl/>
          <w:lang w:val="he-IL"/>
        </w:rPr>
        <w:t xml:space="preserve">דברים </w:t>
      </w:r>
      <w:proofErr w:type="spellStart"/>
      <w:r>
        <w:rPr>
          <w:rFonts w:hint="cs"/>
          <w:rtl/>
          <w:lang w:val="he-IL"/>
        </w:rPr>
        <w:t>כב</w:t>
      </w:r>
      <w:proofErr w:type="spellEnd"/>
      <w:r>
        <w:rPr>
          <w:rFonts w:hint="cs"/>
          <w:rtl/>
          <w:lang w:val="he-IL"/>
        </w:rPr>
        <w:t xml:space="preserve"> ד</w:t>
      </w:r>
      <w:r w:rsidR="00DC0C78">
        <w:rPr>
          <w:rFonts w:hint="cs"/>
          <w:rtl/>
          <w:lang w:val="he-IL"/>
        </w:rPr>
        <w:t>).</w:t>
      </w:r>
      <w:r w:rsidR="00C04948">
        <w:rPr>
          <w:rStyle w:val="a5"/>
          <w:rtl/>
          <w:lang w:val="he-IL"/>
        </w:rPr>
        <w:footnoteReference w:id="2"/>
      </w:r>
      <w:r w:rsidR="0074504E">
        <w:rPr>
          <w:rFonts w:hint="cs"/>
          <w:rtl/>
          <w:lang w:val="he-IL"/>
        </w:rPr>
        <w:t xml:space="preserve"> </w:t>
      </w:r>
    </w:p>
    <w:p w14:paraId="01FC0E68" w14:textId="16E1DFF3" w:rsidR="003570E8" w:rsidRDefault="003570E8" w:rsidP="003570E8">
      <w:pPr>
        <w:pStyle w:val="ab"/>
        <w:rPr>
          <w:rtl/>
        </w:rPr>
      </w:pPr>
      <w:r>
        <w:rPr>
          <w:rtl/>
        </w:rPr>
        <w:t xml:space="preserve">מסכת בבא מציעא פרק ב </w:t>
      </w:r>
      <w:r>
        <w:rPr>
          <w:rFonts w:hint="cs"/>
          <w:rtl/>
        </w:rPr>
        <w:t>משנה י</w:t>
      </w:r>
      <w:r w:rsidR="00304940">
        <w:rPr>
          <w:rFonts w:hint="cs"/>
          <w:rtl/>
        </w:rPr>
        <w:t xml:space="preserve"> </w:t>
      </w:r>
      <w:r w:rsidR="00A9095B">
        <w:rPr>
          <w:rtl/>
        </w:rPr>
        <w:t>–</w:t>
      </w:r>
      <w:r w:rsidR="00A9095B">
        <w:rPr>
          <w:rFonts w:hint="cs"/>
          <w:rtl/>
        </w:rPr>
        <w:t xml:space="preserve"> פרטי דיני פריקה וטעינה</w:t>
      </w:r>
    </w:p>
    <w:p w14:paraId="3DC15AE9" w14:textId="77777777" w:rsidR="003570E8" w:rsidRDefault="003570E8" w:rsidP="00475531">
      <w:pPr>
        <w:pStyle w:val="ac"/>
        <w:rPr>
          <w:rtl/>
        </w:rPr>
      </w:pPr>
      <w:r>
        <w:rPr>
          <w:rtl/>
        </w:rPr>
        <w:t>פ</w:t>
      </w:r>
      <w:r w:rsidR="00411D92">
        <w:rPr>
          <w:rtl/>
        </w:rPr>
        <w:t>ָּ</w:t>
      </w:r>
      <w:r>
        <w:rPr>
          <w:rtl/>
        </w:rPr>
        <w:t>ר</w:t>
      </w:r>
      <w:r w:rsidR="00411D92">
        <w:rPr>
          <w:rtl/>
        </w:rPr>
        <w:t>ַ</w:t>
      </w:r>
      <w:r>
        <w:rPr>
          <w:rtl/>
        </w:rPr>
        <w:t>ק ו</w:t>
      </w:r>
      <w:r w:rsidR="00411D92">
        <w:rPr>
          <w:rtl/>
        </w:rPr>
        <w:t>ְ</w:t>
      </w:r>
      <w:r>
        <w:rPr>
          <w:rtl/>
        </w:rPr>
        <w:t>ט</w:t>
      </w:r>
      <w:r w:rsidR="00411D92">
        <w:rPr>
          <w:rtl/>
        </w:rPr>
        <w:t>ָ</w:t>
      </w:r>
      <w:r>
        <w:rPr>
          <w:rtl/>
        </w:rPr>
        <w:t>ע</w:t>
      </w:r>
      <w:r w:rsidR="00411D92">
        <w:rPr>
          <w:rtl/>
        </w:rPr>
        <w:t>ַ</w:t>
      </w:r>
      <w:r>
        <w:rPr>
          <w:rtl/>
        </w:rPr>
        <w:t>ן פרק וטען</w:t>
      </w:r>
      <w:r>
        <w:rPr>
          <w:rFonts w:hint="cs"/>
          <w:rtl/>
        </w:rPr>
        <w:t>,</w:t>
      </w:r>
      <w:r>
        <w:rPr>
          <w:rtl/>
        </w:rPr>
        <w:t xml:space="preserve"> אפילו ארבעה וחמ</w:t>
      </w:r>
      <w:r w:rsidR="00BD3A1E">
        <w:rPr>
          <w:rFonts w:hint="cs"/>
          <w:rtl/>
        </w:rPr>
        <w:t>י</w:t>
      </w:r>
      <w:r>
        <w:rPr>
          <w:rtl/>
        </w:rPr>
        <w:t>שה פעמים</w:t>
      </w:r>
      <w:r>
        <w:rPr>
          <w:rFonts w:hint="cs"/>
          <w:rtl/>
        </w:rPr>
        <w:t xml:space="preserve"> </w:t>
      </w:r>
      <w:r>
        <w:rPr>
          <w:rtl/>
        </w:rPr>
        <w:t>– חייב</w:t>
      </w:r>
      <w:r>
        <w:rPr>
          <w:rFonts w:hint="cs"/>
          <w:rtl/>
        </w:rPr>
        <w:t>,</w:t>
      </w:r>
      <w:r>
        <w:rPr>
          <w:rtl/>
        </w:rPr>
        <w:t xml:space="preserve"> שנאמר</w:t>
      </w:r>
      <w:r>
        <w:rPr>
          <w:rFonts w:hint="cs"/>
          <w:rtl/>
        </w:rPr>
        <w:t>: "</w:t>
      </w:r>
      <w:r>
        <w:rPr>
          <w:rtl/>
        </w:rPr>
        <w:t>עזוב תעזוב</w:t>
      </w:r>
      <w:r>
        <w:rPr>
          <w:rFonts w:hint="cs"/>
          <w:rtl/>
        </w:rPr>
        <w:t>".</w:t>
      </w:r>
      <w:r w:rsidR="002F0974">
        <w:rPr>
          <w:rStyle w:val="a5"/>
          <w:rtl/>
        </w:rPr>
        <w:footnoteReference w:id="3"/>
      </w:r>
      <w:r>
        <w:rPr>
          <w:rtl/>
        </w:rPr>
        <w:t xml:space="preserve"> הלך וישב לו ואמר</w:t>
      </w:r>
      <w:r>
        <w:rPr>
          <w:rFonts w:hint="cs"/>
          <w:rtl/>
        </w:rPr>
        <w:t>:</w:t>
      </w:r>
      <w:r>
        <w:rPr>
          <w:rtl/>
        </w:rPr>
        <w:t xml:space="preserve"> הואיל ועליך מצוה</w:t>
      </w:r>
      <w:r>
        <w:rPr>
          <w:rFonts w:hint="cs"/>
          <w:rtl/>
        </w:rPr>
        <w:t>,</w:t>
      </w:r>
      <w:r>
        <w:rPr>
          <w:rtl/>
        </w:rPr>
        <w:t xml:space="preserve"> אם רצונך לפרוק</w:t>
      </w:r>
      <w:r>
        <w:rPr>
          <w:rFonts w:hint="cs"/>
          <w:rtl/>
        </w:rPr>
        <w:t>,</w:t>
      </w:r>
      <w:r>
        <w:rPr>
          <w:rtl/>
        </w:rPr>
        <w:t xml:space="preserve"> פרוק –</w:t>
      </w:r>
      <w:r>
        <w:rPr>
          <w:rFonts w:hint="cs"/>
          <w:rtl/>
        </w:rPr>
        <w:t xml:space="preserve"> </w:t>
      </w:r>
      <w:r>
        <w:rPr>
          <w:rtl/>
        </w:rPr>
        <w:t>פטור</w:t>
      </w:r>
      <w:r>
        <w:rPr>
          <w:rFonts w:hint="cs"/>
          <w:rtl/>
        </w:rPr>
        <w:t>,</w:t>
      </w:r>
      <w:r>
        <w:rPr>
          <w:rtl/>
        </w:rPr>
        <w:t xml:space="preserve"> שנאמר</w:t>
      </w:r>
      <w:r>
        <w:rPr>
          <w:rFonts w:hint="cs"/>
          <w:rtl/>
        </w:rPr>
        <w:t>:</w:t>
      </w:r>
      <w:r>
        <w:rPr>
          <w:rtl/>
        </w:rPr>
        <w:t xml:space="preserve"> </w:t>
      </w:r>
      <w:r>
        <w:rPr>
          <w:rFonts w:hint="cs"/>
          <w:rtl/>
        </w:rPr>
        <w:t>"</w:t>
      </w:r>
      <w:r>
        <w:rPr>
          <w:rtl/>
        </w:rPr>
        <w:t>עמו</w:t>
      </w:r>
      <w:r>
        <w:rPr>
          <w:rFonts w:hint="cs"/>
          <w:rtl/>
        </w:rPr>
        <w:t>".</w:t>
      </w:r>
      <w:r w:rsidR="00CD0F54">
        <w:rPr>
          <w:rStyle w:val="a5"/>
          <w:rtl/>
        </w:rPr>
        <w:footnoteReference w:id="4"/>
      </w:r>
      <w:r>
        <w:rPr>
          <w:rtl/>
        </w:rPr>
        <w:t xml:space="preserve"> אם היה זקן או חולה</w:t>
      </w:r>
      <w:r>
        <w:rPr>
          <w:rFonts w:hint="cs"/>
          <w:rtl/>
        </w:rPr>
        <w:t>,</w:t>
      </w:r>
      <w:r>
        <w:rPr>
          <w:rtl/>
        </w:rPr>
        <w:t xml:space="preserve"> חייב</w:t>
      </w:r>
      <w:r w:rsidR="00C61106">
        <w:rPr>
          <w:rFonts w:hint="cs"/>
          <w:rtl/>
        </w:rPr>
        <w:t>.</w:t>
      </w:r>
      <w:r>
        <w:rPr>
          <w:rtl/>
        </w:rPr>
        <w:t xml:space="preserve"> מצוה מן התורה לפרוק אבל לא לטעון</w:t>
      </w:r>
      <w:r>
        <w:rPr>
          <w:rFonts w:hint="cs"/>
          <w:rtl/>
        </w:rPr>
        <w:t>.</w:t>
      </w:r>
      <w:r w:rsidR="00475531">
        <w:rPr>
          <w:rStyle w:val="a5"/>
          <w:rtl/>
        </w:rPr>
        <w:footnoteReference w:id="5"/>
      </w:r>
      <w:r>
        <w:rPr>
          <w:rtl/>
        </w:rPr>
        <w:t xml:space="preserve"> רבי שמעון אומר</w:t>
      </w:r>
      <w:r>
        <w:rPr>
          <w:rFonts w:hint="cs"/>
          <w:rtl/>
        </w:rPr>
        <w:t>:</w:t>
      </w:r>
      <w:r>
        <w:rPr>
          <w:rtl/>
        </w:rPr>
        <w:t xml:space="preserve"> אף לטעון</w:t>
      </w:r>
      <w:r>
        <w:rPr>
          <w:rFonts w:hint="cs"/>
          <w:rtl/>
        </w:rPr>
        <w:t>.</w:t>
      </w:r>
      <w:r w:rsidR="00475531">
        <w:rPr>
          <w:rStyle w:val="a5"/>
          <w:rtl/>
        </w:rPr>
        <w:footnoteReference w:id="6"/>
      </w:r>
      <w:r>
        <w:rPr>
          <w:rtl/>
        </w:rPr>
        <w:t xml:space="preserve"> רבי יוסי הגלילי אומר</w:t>
      </w:r>
      <w:r>
        <w:rPr>
          <w:rFonts w:hint="cs"/>
          <w:rtl/>
        </w:rPr>
        <w:t>:</w:t>
      </w:r>
      <w:r>
        <w:rPr>
          <w:rtl/>
        </w:rPr>
        <w:t xml:space="preserve"> אם היה עליו יתר על משאו</w:t>
      </w:r>
      <w:r>
        <w:rPr>
          <w:rFonts w:hint="cs"/>
          <w:rtl/>
        </w:rPr>
        <w:t>,</w:t>
      </w:r>
      <w:r>
        <w:rPr>
          <w:rtl/>
        </w:rPr>
        <w:t xml:space="preserve"> אין זקוק לו</w:t>
      </w:r>
      <w:r>
        <w:rPr>
          <w:rFonts w:hint="cs"/>
          <w:rtl/>
        </w:rPr>
        <w:t>,</w:t>
      </w:r>
      <w:r>
        <w:rPr>
          <w:rtl/>
        </w:rPr>
        <w:t xml:space="preserve"> שנאמר</w:t>
      </w:r>
      <w:r>
        <w:rPr>
          <w:rFonts w:hint="cs"/>
          <w:rtl/>
        </w:rPr>
        <w:t>:</w:t>
      </w:r>
      <w:r>
        <w:rPr>
          <w:rtl/>
        </w:rPr>
        <w:t xml:space="preserve"> </w:t>
      </w:r>
      <w:r>
        <w:rPr>
          <w:rFonts w:hint="cs"/>
          <w:rtl/>
        </w:rPr>
        <w:t>"</w:t>
      </w:r>
      <w:r>
        <w:rPr>
          <w:rtl/>
        </w:rPr>
        <w:t>תחת משאו</w:t>
      </w:r>
      <w:r>
        <w:rPr>
          <w:rFonts w:hint="cs"/>
          <w:rtl/>
        </w:rPr>
        <w:t>" -</w:t>
      </w:r>
      <w:r>
        <w:rPr>
          <w:rtl/>
        </w:rPr>
        <w:t xml:space="preserve"> </w:t>
      </w:r>
      <w:proofErr w:type="spellStart"/>
      <w:r>
        <w:rPr>
          <w:rtl/>
        </w:rPr>
        <w:t>משאוי</w:t>
      </w:r>
      <w:proofErr w:type="spellEnd"/>
      <w:r>
        <w:rPr>
          <w:rtl/>
        </w:rPr>
        <w:t xml:space="preserve"> שיכול לעמוד בו</w:t>
      </w:r>
      <w:r w:rsidR="00475531">
        <w:rPr>
          <w:rFonts w:hint="cs"/>
          <w:rtl/>
        </w:rPr>
        <w:t>.</w:t>
      </w:r>
      <w:r w:rsidR="00411D92">
        <w:rPr>
          <w:rStyle w:val="a5"/>
          <w:rtl/>
        </w:rPr>
        <w:footnoteReference w:id="7"/>
      </w:r>
    </w:p>
    <w:p w14:paraId="3DC98027" w14:textId="73F44382" w:rsidR="00B43774" w:rsidRPr="00B43774" w:rsidRDefault="00B43774" w:rsidP="00B43774">
      <w:pPr>
        <w:pStyle w:val="ab"/>
        <w:rPr>
          <w:rtl/>
          <w:lang w:eastAsia="en-US"/>
        </w:rPr>
      </w:pPr>
      <w:r w:rsidRPr="00B43774">
        <w:rPr>
          <w:rtl/>
          <w:lang w:eastAsia="en-US"/>
        </w:rPr>
        <w:t>מסכת בבא מציעא דף לא עמוד א</w:t>
      </w:r>
      <w:r w:rsidR="00304940">
        <w:rPr>
          <w:rFonts w:hint="cs"/>
          <w:rtl/>
          <w:lang w:eastAsia="en-US"/>
        </w:rPr>
        <w:t xml:space="preserve"> </w:t>
      </w:r>
      <w:r w:rsidR="001E4F87">
        <w:rPr>
          <w:rtl/>
          <w:lang w:eastAsia="en-US"/>
        </w:rPr>
        <w:t>–</w:t>
      </w:r>
      <w:r w:rsidR="001E4F87">
        <w:rPr>
          <w:rFonts w:hint="cs"/>
          <w:rtl/>
          <w:lang w:eastAsia="en-US"/>
        </w:rPr>
        <w:t xml:space="preserve"> </w:t>
      </w:r>
      <w:r w:rsidR="00550259">
        <w:rPr>
          <w:rFonts w:hint="cs"/>
          <w:rtl/>
          <w:lang w:eastAsia="en-US"/>
        </w:rPr>
        <w:t>מ</w:t>
      </w:r>
      <w:r w:rsidR="001E4F87">
        <w:rPr>
          <w:rFonts w:hint="cs"/>
          <w:rtl/>
          <w:lang w:eastAsia="en-US"/>
        </w:rPr>
        <w:t xml:space="preserve">פריקה </w:t>
      </w:r>
      <w:r w:rsidR="00550259">
        <w:rPr>
          <w:rFonts w:hint="cs"/>
          <w:rtl/>
          <w:lang w:eastAsia="en-US"/>
        </w:rPr>
        <w:t>ו</w:t>
      </w:r>
      <w:r w:rsidR="001E4F87">
        <w:rPr>
          <w:rFonts w:hint="cs"/>
          <w:rtl/>
          <w:lang w:eastAsia="en-US"/>
        </w:rPr>
        <w:t>טעינה</w:t>
      </w:r>
      <w:r w:rsidR="00550259">
        <w:rPr>
          <w:rFonts w:hint="cs"/>
          <w:rtl/>
          <w:lang w:eastAsia="en-US"/>
        </w:rPr>
        <w:t xml:space="preserve"> להשבת אבדה וצער בעלי חיים</w:t>
      </w:r>
      <w:r w:rsidR="00304940">
        <w:rPr>
          <w:rFonts w:hint="cs"/>
          <w:rtl/>
          <w:lang w:eastAsia="en-US"/>
        </w:rPr>
        <w:t xml:space="preserve"> </w:t>
      </w:r>
      <w:r w:rsidR="0049360A">
        <w:rPr>
          <w:rStyle w:val="a5"/>
          <w:rtl/>
          <w:lang w:eastAsia="en-US"/>
        </w:rPr>
        <w:footnoteReference w:id="8"/>
      </w:r>
      <w:r w:rsidRPr="00B43774">
        <w:rPr>
          <w:rtl/>
          <w:lang w:eastAsia="en-US"/>
        </w:rPr>
        <w:t xml:space="preserve"> </w:t>
      </w:r>
    </w:p>
    <w:p w14:paraId="76462B09" w14:textId="77777777" w:rsidR="00E04037" w:rsidRDefault="00C378B6" w:rsidP="00C378B6">
      <w:pPr>
        <w:pStyle w:val="ac"/>
        <w:rPr>
          <w:rtl/>
          <w:lang w:eastAsia="en-US"/>
        </w:rPr>
      </w:pPr>
      <w:r>
        <w:rPr>
          <w:rFonts w:hint="cs"/>
          <w:rtl/>
          <w:lang w:eastAsia="en-US"/>
        </w:rPr>
        <w:t>"</w:t>
      </w:r>
      <w:r w:rsidR="00E04037">
        <w:rPr>
          <w:rtl/>
          <w:lang w:eastAsia="en-US"/>
        </w:rPr>
        <w:t>עז</w:t>
      </w:r>
      <w:r>
        <w:rPr>
          <w:rFonts w:hint="cs"/>
          <w:rtl/>
          <w:lang w:eastAsia="en-US"/>
        </w:rPr>
        <w:t>ו</w:t>
      </w:r>
      <w:r w:rsidR="00E04037">
        <w:rPr>
          <w:rtl/>
          <w:lang w:eastAsia="en-US"/>
        </w:rPr>
        <w:t xml:space="preserve">ב </w:t>
      </w:r>
      <w:proofErr w:type="spellStart"/>
      <w:r w:rsidR="00E04037">
        <w:rPr>
          <w:rtl/>
          <w:lang w:eastAsia="en-US"/>
        </w:rPr>
        <w:t>תעזב</w:t>
      </w:r>
      <w:proofErr w:type="spellEnd"/>
      <w:r w:rsidR="00E04037">
        <w:rPr>
          <w:rtl/>
          <w:lang w:eastAsia="en-US"/>
        </w:rPr>
        <w:t xml:space="preserve"> עמו</w:t>
      </w:r>
      <w:r>
        <w:rPr>
          <w:rFonts w:hint="cs"/>
          <w:rtl/>
          <w:lang w:eastAsia="en-US"/>
        </w:rPr>
        <w:t>"</w:t>
      </w:r>
      <w:r w:rsidR="00E04037">
        <w:rPr>
          <w:rtl/>
          <w:lang w:eastAsia="en-US"/>
        </w:rPr>
        <w:t>, אין לי אלא בעליו עמו, שאין בעליו עמו מנין? תלמוד לומר</w:t>
      </w:r>
      <w:r>
        <w:rPr>
          <w:rFonts w:hint="cs"/>
          <w:rtl/>
          <w:lang w:eastAsia="en-US"/>
        </w:rPr>
        <w:t>:</w:t>
      </w:r>
      <w:r w:rsidR="00E04037">
        <w:rPr>
          <w:rtl/>
          <w:lang w:eastAsia="en-US"/>
        </w:rPr>
        <w:t xml:space="preserve"> עז</w:t>
      </w:r>
      <w:r>
        <w:rPr>
          <w:rFonts w:hint="cs"/>
          <w:rtl/>
          <w:lang w:eastAsia="en-US"/>
        </w:rPr>
        <w:t>ו</w:t>
      </w:r>
      <w:r w:rsidR="00E04037">
        <w:rPr>
          <w:rtl/>
          <w:lang w:eastAsia="en-US"/>
        </w:rPr>
        <w:t>ב תעז</w:t>
      </w:r>
      <w:r>
        <w:rPr>
          <w:rFonts w:hint="cs"/>
          <w:rtl/>
          <w:lang w:eastAsia="en-US"/>
        </w:rPr>
        <w:t>ו</w:t>
      </w:r>
      <w:r w:rsidR="00E04037">
        <w:rPr>
          <w:rtl/>
          <w:lang w:eastAsia="en-US"/>
        </w:rPr>
        <w:t xml:space="preserve">ב, מכל מקום. </w:t>
      </w:r>
      <w:r>
        <w:rPr>
          <w:rFonts w:hint="cs"/>
          <w:rtl/>
          <w:lang w:eastAsia="en-US"/>
        </w:rPr>
        <w:t>"</w:t>
      </w:r>
      <w:r w:rsidR="00E04037">
        <w:rPr>
          <w:rtl/>
          <w:lang w:eastAsia="en-US"/>
        </w:rPr>
        <w:t>הקם תקים עמו</w:t>
      </w:r>
      <w:r>
        <w:rPr>
          <w:rFonts w:hint="cs"/>
          <w:rtl/>
          <w:lang w:eastAsia="en-US"/>
        </w:rPr>
        <w:t>" -</w:t>
      </w:r>
      <w:r w:rsidR="00E04037">
        <w:rPr>
          <w:rtl/>
          <w:lang w:eastAsia="en-US"/>
        </w:rPr>
        <w:t xml:space="preserve"> אין לי אלא בעליו עמו</w:t>
      </w:r>
      <w:r>
        <w:rPr>
          <w:rFonts w:hint="cs"/>
          <w:rtl/>
          <w:lang w:eastAsia="en-US"/>
        </w:rPr>
        <w:t>,</w:t>
      </w:r>
      <w:r w:rsidR="00E04037">
        <w:rPr>
          <w:rtl/>
          <w:lang w:eastAsia="en-US"/>
        </w:rPr>
        <w:t xml:space="preserve"> שאין בעליו עמו מנין</w:t>
      </w:r>
      <w:r>
        <w:rPr>
          <w:rFonts w:hint="cs"/>
          <w:rtl/>
          <w:lang w:eastAsia="en-US"/>
        </w:rPr>
        <w:t xml:space="preserve">? </w:t>
      </w:r>
      <w:r w:rsidR="00E04037">
        <w:rPr>
          <w:rtl/>
          <w:lang w:eastAsia="en-US"/>
        </w:rPr>
        <w:t>תלמוד לומר</w:t>
      </w:r>
      <w:r>
        <w:rPr>
          <w:rFonts w:hint="cs"/>
          <w:rtl/>
          <w:lang w:eastAsia="en-US"/>
        </w:rPr>
        <w:t>:</w:t>
      </w:r>
      <w:r w:rsidR="00E04037">
        <w:rPr>
          <w:rtl/>
          <w:lang w:eastAsia="en-US"/>
        </w:rPr>
        <w:t xml:space="preserve"> הקם תקים, מכל מקום.</w:t>
      </w:r>
      <w:r>
        <w:rPr>
          <w:rStyle w:val="a5"/>
          <w:rtl/>
          <w:lang w:eastAsia="en-US"/>
        </w:rPr>
        <w:footnoteReference w:id="9"/>
      </w:r>
    </w:p>
    <w:p w14:paraId="7CEDF46C" w14:textId="77777777" w:rsidR="00E04037" w:rsidRDefault="00B43774" w:rsidP="00E04037">
      <w:pPr>
        <w:pStyle w:val="ac"/>
        <w:rPr>
          <w:rtl/>
          <w:lang w:eastAsia="en-US"/>
        </w:rPr>
      </w:pPr>
      <w:r w:rsidRPr="00B43774">
        <w:rPr>
          <w:rtl/>
          <w:lang w:eastAsia="en-US"/>
        </w:rPr>
        <w:t xml:space="preserve">ולמה ליה למכתב פריקה ולמה ליה למכתב טעינה? - </w:t>
      </w:r>
      <w:proofErr w:type="spellStart"/>
      <w:r w:rsidRPr="00B43774">
        <w:rPr>
          <w:rtl/>
          <w:lang w:eastAsia="en-US"/>
        </w:rPr>
        <w:t>צריכי</w:t>
      </w:r>
      <w:proofErr w:type="spellEnd"/>
      <w:r w:rsidRPr="00B43774">
        <w:rPr>
          <w:rtl/>
          <w:lang w:eastAsia="en-US"/>
        </w:rPr>
        <w:t xml:space="preserve">, דאי כתב רחמנא פריקה - </w:t>
      </w:r>
      <w:proofErr w:type="spellStart"/>
      <w:r w:rsidRPr="00B43774">
        <w:rPr>
          <w:rtl/>
          <w:lang w:eastAsia="en-US"/>
        </w:rPr>
        <w:t>הוה</w:t>
      </w:r>
      <w:proofErr w:type="spellEnd"/>
      <w:r w:rsidRPr="00B43774">
        <w:rPr>
          <w:rtl/>
          <w:lang w:eastAsia="en-US"/>
        </w:rPr>
        <w:t xml:space="preserve"> </w:t>
      </w:r>
      <w:proofErr w:type="spellStart"/>
      <w:r w:rsidRPr="00B43774">
        <w:rPr>
          <w:rtl/>
          <w:lang w:eastAsia="en-US"/>
        </w:rPr>
        <w:t>אמינא</w:t>
      </w:r>
      <w:proofErr w:type="spellEnd"/>
      <w:r w:rsidRPr="00B43774">
        <w:rPr>
          <w:rtl/>
          <w:lang w:eastAsia="en-US"/>
        </w:rPr>
        <w:t xml:space="preserve">: משום </w:t>
      </w:r>
      <w:proofErr w:type="spellStart"/>
      <w:r w:rsidRPr="00B43774">
        <w:rPr>
          <w:rtl/>
          <w:lang w:eastAsia="en-US"/>
        </w:rPr>
        <w:t>דאיכא</w:t>
      </w:r>
      <w:proofErr w:type="spellEnd"/>
      <w:r w:rsidRPr="00B43774">
        <w:rPr>
          <w:rtl/>
          <w:lang w:eastAsia="en-US"/>
        </w:rPr>
        <w:t xml:space="preserve"> צער בעלי חיים, ואיכא חסרון כיס. אבל טעינה, </w:t>
      </w:r>
      <w:proofErr w:type="spellStart"/>
      <w:r w:rsidRPr="00B43774">
        <w:rPr>
          <w:rtl/>
          <w:lang w:eastAsia="en-US"/>
        </w:rPr>
        <w:t>דלאו</w:t>
      </w:r>
      <w:proofErr w:type="spellEnd"/>
      <w:r w:rsidRPr="00B43774">
        <w:rPr>
          <w:rtl/>
          <w:lang w:eastAsia="en-US"/>
        </w:rPr>
        <w:t xml:space="preserve"> צער בעלי חיים איכא ולא חסרון כיס איכא - אימא לא. ואי </w:t>
      </w:r>
      <w:proofErr w:type="spellStart"/>
      <w:r w:rsidRPr="00B43774">
        <w:rPr>
          <w:rtl/>
          <w:lang w:eastAsia="en-US"/>
        </w:rPr>
        <w:t>אשמעינן</w:t>
      </w:r>
      <w:proofErr w:type="spellEnd"/>
      <w:r w:rsidRPr="00B43774">
        <w:rPr>
          <w:rtl/>
          <w:lang w:eastAsia="en-US"/>
        </w:rPr>
        <w:t xml:space="preserve"> טעינה - משום </w:t>
      </w:r>
      <w:proofErr w:type="spellStart"/>
      <w:r w:rsidRPr="00B43774">
        <w:rPr>
          <w:rtl/>
          <w:lang w:eastAsia="en-US"/>
        </w:rPr>
        <w:t>דבשכר</w:t>
      </w:r>
      <w:proofErr w:type="spellEnd"/>
      <w:r w:rsidRPr="00B43774">
        <w:rPr>
          <w:rtl/>
          <w:lang w:eastAsia="en-US"/>
        </w:rPr>
        <w:t xml:space="preserve">, אבל פריקה </w:t>
      </w:r>
      <w:proofErr w:type="spellStart"/>
      <w:r w:rsidRPr="00B43774">
        <w:rPr>
          <w:rtl/>
          <w:lang w:eastAsia="en-US"/>
        </w:rPr>
        <w:t>דבח</w:t>
      </w:r>
      <w:r w:rsidR="0049360A">
        <w:rPr>
          <w:rFonts w:hint="cs"/>
          <w:rtl/>
          <w:lang w:eastAsia="en-US"/>
        </w:rPr>
        <w:t>י</w:t>
      </w:r>
      <w:r w:rsidRPr="00B43774">
        <w:rPr>
          <w:rtl/>
          <w:lang w:eastAsia="en-US"/>
        </w:rPr>
        <w:t>נם</w:t>
      </w:r>
      <w:proofErr w:type="spellEnd"/>
      <w:r w:rsidRPr="00B43774">
        <w:rPr>
          <w:rtl/>
          <w:lang w:eastAsia="en-US"/>
        </w:rPr>
        <w:t xml:space="preserve"> - אימא לא, </w:t>
      </w:r>
      <w:proofErr w:type="spellStart"/>
      <w:r w:rsidRPr="00B43774">
        <w:rPr>
          <w:rtl/>
          <w:lang w:eastAsia="en-US"/>
        </w:rPr>
        <w:t>צריכא</w:t>
      </w:r>
      <w:proofErr w:type="spellEnd"/>
      <w:r w:rsidRPr="00B43774">
        <w:rPr>
          <w:rtl/>
          <w:lang w:eastAsia="en-US"/>
        </w:rPr>
        <w:t>.</w:t>
      </w:r>
      <w:r w:rsidR="00411D92">
        <w:rPr>
          <w:rStyle w:val="a5"/>
          <w:rtl/>
          <w:lang w:eastAsia="en-US"/>
        </w:rPr>
        <w:footnoteReference w:id="10"/>
      </w:r>
      <w:r w:rsidRPr="00B43774">
        <w:rPr>
          <w:rtl/>
          <w:lang w:eastAsia="en-US"/>
        </w:rPr>
        <w:t xml:space="preserve"> </w:t>
      </w:r>
    </w:p>
    <w:p w14:paraId="4FC6D2B0" w14:textId="77777777" w:rsidR="0049360A" w:rsidRDefault="00B43774" w:rsidP="00B43774">
      <w:pPr>
        <w:pStyle w:val="ac"/>
        <w:rPr>
          <w:rtl/>
          <w:lang w:eastAsia="en-US"/>
        </w:rPr>
      </w:pPr>
      <w:r w:rsidRPr="00B43774">
        <w:rPr>
          <w:rtl/>
          <w:lang w:eastAsia="en-US"/>
        </w:rPr>
        <w:lastRenderedPageBreak/>
        <w:t xml:space="preserve">ולרבי שמעון, </w:t>
      </w:r>
      <w:proofErr w:type="spellStart"/>
      <w:r w:rsidRPr="00B43774">
        <w:rPr>
          <w:rtl/>
          <w:lang w:eastAsia="en-US"/>
        </w:rPr>
        <w:t>דאמר</w:t>
      </w:r>
      <w:proofErr w:type="spellEnd"/>
      <w:r w:rsidRPr="00B43774">
        <w:rPr>
          <w:rtl/>
          <w:lang w:eastAsia="en-US"/>
        </w:rPr>
        <w:t>: אף טעינה בח</w:t>
      </w:r>
      <w:r w:rsidR="00244A7C">
        <w:rPr>
          <w:rFonts w:hint="cs"/>
          <w:rtl/>
          <w:lang w:eastAsia="en-US"/>
        </w:rPr>
        <w:t>י</w:t>
      </w:r>
      <w:r w:rsidRPr="00B43774">
        <w:rPr>
          <w:rtl/>
          <w:lang w:eastAsia="en-US"/>
        </w:rPr>
        <w:t xml:space="preserve">נם; מאי איכא </w:t>
      </w:r>
      <w:proofErr w:type="spellStart"/>
      <w:r w:rsidRPr="00B43774">
        <w:rPr>
          <w:rtl/>
          <w:lang w:eastAsia="en-US"/>
        </w:rPr>
        <w:t>למימר</w:t>
      </w:r>
      <w:proofErr w:type="spellEnd"/>
      <w:r w:rsidRPr="00B43774">
        <w:rPr>
          <w:rtl/>
          <w:lang w:eastAsia="en-US"/>
        </w:rPr>
        <w:t>? - לרבי שמעון לא מסיימי קראי.</w:t>
      </w:r>
      <w:r w:rsidR="00F00F36">
        <w:rPr>
          <w:rStyle w:val="a5"/>
          <w:rtl/>
          <w:lang w:eastAsia="en-US"/>
        </w:rPr>
        <w:footnoteReference w:id="11"/>
      </w:r>
      <w:r w:rsidRPr="00B43774">
        <w:rPr>
          <w:rtl/>
          <w:lang w:eastAsia="en-US"/>
        </w:rPr>
        <w:t xml:space="preserve"> </w:t>
      </w:r>
    </w:p>
    <w:p w14:paraId="198D82BB" w14:textId="77777777" w:rsidR="0006530F" w:rsidRDefault="00B43774" w:rsidP="00B43774">
      <w:pPr>
        <w:pStyle w:val="ac"/>
        <w:rPr>
          <w:rtl/>
          <w:lang w:val="he-IL"/>
        </w:rPr>
      </w:pPr>
      <w:r w:rsidRPr="00B43774">
        <w:rPr>
          <w:rtl/>
          <w:lang w:eastAsia="en-US"/>
        </w:rPr>
        <w:t xml:space="preserve">למה לי למכתב הני תרתי, ולמה לי למכתב </w:t>
      </w:r>
      <w:proofErr w:type="spellStart"/>
      <w:r w:rsidRPr="00B43774">
        <w:rPr>
          <w:rtl/>
          <w:lang w:eastAsia="en-US"/>
        </w:rPr>
        <w:t>אבידה</w:t>
      </w:r>
      <w:proofErr w:type="spellEnd"/>
      <w:r w:rsidRPr="00B43774">
        <w:rPr>
          <w:rtl/>
          <w:lang w:eastAsia="en-US"/>
        </w:rPr>
        <w:t>?</w:t>
      </w:r>
      <w:r w:rsidR="005A6CE5">
        <w:rPr>
          <w:rStyle w:val="a5"/>
          <w:rtl/>
          <w:lang w:eastAsia="en-US"/>
        </w:rPr>
        <w:footnoteReference w:id="12"/>
      </w:r>
      <w:r w:rsidRPr="00B43774">
        <w:rPr>
          <w:rtl/>
          <w:lang w:eastAsia="en-US"/>
        </w:rPr>
        <w:t xml:space="preserve"> - </w:t>
      </w:r>
      <w:proofErr w:type="spellStart"/>
      <w:r w:rsidRPr="00B43774">
        <w:rPr>
          <w:rtl/>
          <w:lang w:eastAsia="en-US"/>
        </w:rPr>
        <w:t>צריכי</w:t>
      </w:r>
      <w:proofErr w:type="spellEnd"/>
      <w:r w:rsidRPr="00B43774">
        <w:rPr>
          <w:rtl/>
          <w:lang w:eastAsia="en-US"/>
        </w:rPr>
        <w:t xml:space="preserve">, דאי כתב רחמנא הני תרתי - משום </w:t>
      </w:r>
      <w:proofErr w:type="spellStart"/>
      <w:r w:rsidRPr="00B43774">
        <w:rPr>
          <w:rtl/>
          <w:lang w:eastAsia="en-US"/>
        </w:rPr>
        <w:t>דצערא</w:t>
      </w:r>
      <w:proofErr w:type="spellEnd"/>
      <w:r w:rsidRPr="00B43774">
        <w:rPr>
          <w:rtl/>
          <w:lang w:eastAsia="en-US"/>
        </w:rPr>
        <w:t xml:space="preserve"> </w:t>
      </w:r>
      <w:proofErr w:type="spellStart"/>
      <w:r w:rsidRPr="00B43774">
        <w:rPr>
          <w:rtl/>
          <w:lang w:eastAsia="en-US"/>
        </w:rPr>
        <w:t>ד</w:t>
      </w:r>
      <w:r w:rsidR="007F50DF">
        <w:rPr>
          <w:rtl/>
          <w:lang w:eastAsia="en-US"/>
        </w:rPr>
        <w:t>ְ</w:t>
      </w:r>
      <w:r w:rsidRPr="00B43774">
        <w:rPr>
          <w:rtl/>
          <w:lang w:eastAsia="en-US"/>
        </w:rPr>
        <w:t>מ</w:t>
      </w:r>
      <w:r w:rsidR="007F50DF">
        <w:rPr>
          <w:rtl/>
          <w:lang w:eastAsia="en-US"/>
        </w:rPr>
        <w:t>ָ</w:t>
      </w:r>
      <w:r w:rsidRPr="00B43774">
        <w:rPr>
          <w:rtl/>
          <w:lang w:eastAsia="en-US"/>
        </w:rPr>
        <w:t>ר</w:t>
      </w:r>
      <w:r w:rsidR="007F50DF">
        <w:rPr>
          <w:rtl/>
          <w:lang w:eastAsia="en-US"/>
        </w:rPr>
        <w:t>ָ</w:t>
      </w:r>
      <w:r w:rsidRPr="00B43774">
        <w:rPr>
          <w:rtl/>
          <w:lang w:eastAsia="en-US"/>
        </w:rPr>
        <w:t>ה</w:t>
      </w:r>
      <w:proofErr w:type="spellEnd"/>
      <w:r w:rsidRPr="00B43774">
        <w:rPr>
          <w:rtl/>
          <w:lang w:eastAsia="en-US"/>
        </w:rPr>
        <w:t xml:space="preserve"> איתא, צערא ד</w:t>
      </w:r>
      <w:r w:rsidR="007F50DF">
        <w:rPr>
          <w:rtl/>
          <w:lang w:eastAsia="en-US"/>
        </w:rPr>
        <w:t>ִ</w:t>
      </w:r>
      <w:r w:rsidRPr="00B43774">
        <w:rPr>
          <w:rtl/>
          <w:lang w:eastAsia="en-US"/>
        </w:rPr>
        <w:t>יד</w:t>
      </w:r>
      <w:r w:rsidR="007F50DF">
        <w:rPr>
          <w:rtl/>
          <w:lang w:eastAsia="en-US"/>
        </w:rPr>
        <w:t>ָ</w:t>
      </w:r>
      <w:r w:rsidRPr="00B43774">
        <w:rPr>
          <w:rtl/>
          <w:lang w:eastAsia="en-US"/>
        </w:rPr>
        <w:t>ה איתא.</w:t>
      </w:r>
      <w:r w:rsidR="009B26E5">
        <w:rPr>
          <w:rStyle w:val="a5"/>
          <w:rtl/>
          <w:lang w:eastAsia="en-US"/>
        </w:rPr>
        <w:footnoteReference w:id="13"/>
      </w:r>
      <w:r w:rsidRPr="00B43774">
        <w:rPr>
          <w:rtl/>
          <w:lang w:eastAsia="en-US"/>
        </w:rPr>
        <w:t xml:space="preserve"> אבל </w:t>
      </w:r>
      <w:proofErr w:type="spellStart"/>
      <w:r w:rsidRPr="00B43774">
        <w:rPr>
          <w:rtl/>
          <w:lang w:eastAsia="en-US"/>
        </w:rPr>
        <w:t>אבידה</w:t>
      </w:r>
      <w:proofErr w:type="spellEnd"/>
      <w:r w:rsidRPr="00B43774">
        <w:rPr>
          <w:rtl/>
          <w:lang w:eastAsia="en-US"/>
        </w:rPr>
        <w:t xml:space="preserve">, </w:t>
      </w:r>
      <w:proofErr w:type="spellStart"/>
      <w:r w:rsidRPr="00B43774">
        <w:rPr>
          <w:rtl/>
          <w:lang w:eastAsia="en-US"/>
        </w:rPr>
        <w:t>דצערא</w:t>
      </w:r>
      <w:proofErr w:type="spellEnd"/>
      <w:r w:rsidRPr="00B43774">
        <w:rPr>
          <w:rtl/>
          <w:lang w:eastAsia="en-US"/>
        </w:rPr>
        <w:t xml:space="preserve"> </w:t>
      </w:r>
      <w:proofErr w:type="spellStart"/>
      <w:r w:rsidRPr="00B43774">
        <w:rPr>
          <w:rtl/>
          <w:lang w:eastAsia="en-US"/>
        </w:rPr>
        <w:t>דמרה</w:t>
      </w:r>
      <w:proofErr w:type="spellEnd"/>
      <w:r w:rsidRPr="00B43774">
        <w:rPr>
          <w:rtl/>
          <w:lang w:eastAsia="en-US"/>
        </w:rPr>
        <w:t xml:space="preserve"> איתא </w:t>
      </w:r>
      <w:proofErr w:type="spellStart"/>
      <w:r w:rsidRPr="00B43774">
        <w:rPr>
          <w:rtl/>
          <w:lang w:eastAsia="en-US"/>
        </w:rPr>
        <w:t>וצערא</w:t>
      </w:r>
      <w:proofErr w:type="spellEnd"/>
      <w:r w:rsidRPr="00B43774">
        <w:rPr>
          <w:rtl/>
          <w:lang w:eastAsia="en-US"/>
        </w:rPr>
        <w:t xml:space="preserve"> דידה </w:t>
      </w:r>
      <w:proofErr w:type="spellStart"/>
      <w:r w:rsidRPr="00B43774">
        <w:rPr>
          <w:rtl/>
          <w:lang w:eastAsia="en-US"/>
        </w:rPr>
        <w:t>ליתא</w:t>
      </w:r>
      <w:proofErr w:type="spellEnd"/>
      <w:r w:rsidRPr="00B43774">
        <w:rPr>
          <w:rtl/>
          <w:lang w:eastAsia="en-US"/>
        </w:rPr>
        <w:t xml:space="preserve"> - אימא לא.</w:t>
      </w:r>
      <w:r w:rsidR="009B26E5">
        <w:rPr>
          <w:rStyle w:val="a5"/>
          <w:rtl/>
          <w:lang w:eastAsia="en-US"/>
        </w:rPr>
        <w:footnoteReference w:id="14"/>
      </w:r>
      <w:r w:rsidRPr="00B43774">
        <w:rPr>
          <w:rtl/>
          <w:lang w:eastAsia="en-US"/>
        </w:rPr>
        <w:t xml:space="preserve"> ואי </w:t>
      </w:r>
      <w:proofErr w:type="spellStart"/>
      <w:r w:rsidRPr="00B43774">
        <w:rPr>
          <w:rtl/>
          <w:lang w:eastAsia="en-US"/>
        </w:rPr>
        <w:t>אשמעינן</w:t>
      </w:r>
      <w:proofErr w:type="spellEnd"/>
      <w:r w:rsidRPr="00B43774">
        <w:rPr>
          <w:rtl/>
          <w:lang w:eastAsia="en-US"/>
        </w:rPr>
        <w:t xml:space="preserve"> </w:t>
      </w:r>
      <w:proofErr w:type="spellStart"/>
      <w:r w:rsidRPr="00B43774">
        <w:rPr>
          <w:rtl/>
          <w:lang w:eastAsia="en-US"/>
        </w:rPr>
        <w:t>אבידה</w:t>
      </w:r>
      <w:proofErr w:type="spellEnd"/>
      <w:r w:rsidRPr="00B43774">
        <w:rPr>
          <w:rtl/>
          <w:lang w:eastAsia="en-US"/>
        </w:rPr>
        <w:t xml:space="preserve"> - משום </w:t>
      </w:r>
      <w:proofErr w:type="spellStart"/>
      <w:r w:rsidRPr="00B43774">
        <w:rPr>
          <w:rtl/>
          <w:lang w:eastAsia="en-US"/>
        </w:rPr>
        <w:t>דליתא</w:t>
      </w:r>
      <w:proofErr w:type="spellEnd"/>
      <w:r w:rsidRPr="00B43774">
        <w:rPr>
          <w:rtl/>
          <w:lang w:eastAsia="en-US"/>
        </w:rPr>
        <w:t xml:space="preserve"> למרה בהדה.</w:t>
      </w:r>
      <w:r w:rsidR="003E4166">
        <w:rPr>
          <w:rStyle w:val="a5"/>
          <w:rtl/>
          <w:lang w:val="he-IL"/>
        </w:rPr>
        <w:footnoteReference w:id="15"/>
      </w:r>
    </w:p>
    <w:p w14:paraId="64DCFCC6" w14:textId="77777777" w:rsidR="007F66B5" w:rsidRDefault="007F66B5" w:rsidP="00B43774">
      <w:pPr>
        <w:pStyle w:val="ac"/>
        <w:rPr>
          <w:rtl/>
          <w:lang w:val="he-IL"/>
        </w:rPr>
      </w:pPr>
      <w:r>
        <w:rPr>
          <w:rFonts w:hint="cs"/>
          <w:rtl/>
          <w:lang w:val="he-IL"/>
        </w:rPr>
        <w:t>אמר רבא: מדברי שניהם נלמד: צער בעלי חיים דאורייתא.</w:t>
      </w:r>
      <w:r w:rsidR="00A91D84">
        <w:rPr>
          <w:rStyle w:val="a5"/>
          <w:rtl/>
          <w:lang w:val="he-IL"/>
        </w:rPr>
        <w:footnoteReference w:id="16"/>
      </w:r>
    </w:p>
    <w:p w14:paraId="0CDA24A7" w14:textId="77777777" w:rsidR="00475531" w:rsidRPr="00475531" w:rsidRDefault="007F66B5" w:rsidP="007F66B5">
      <w:pPr>
        <w:pStyle w:val="ac"/>
        <w:rPr>
          <w:rFonts w:cs="Arial"/>
          <w:b/>
          <w:bCs/>
          <w:rtl/>
        </w:rPr>
      </w:pPr>
      <w:r w:rsidRPr="007F66B5">
        <w:rPr>
          <w:rtl/>
          <w:lang w:val="he-IL"/>
        </w:rPr>
        <w:t xml:space="preserve">תא שמע: אוהב לפרוק ושונא לטעון - מצוה בשונא כדי </w:t>
      </w:r>
      <w:proofErr w:type="spellStart"/>
      <w:r w:rsidRPr="007F66B5">
        <w:rPr>
          <w:rtl/>
          <w:lang w:val="he-IL"/>
        </w:rPr>
        <w:t>ל</w:t>
      </w:r>
      <w:r w:rsidR="007A592F">
        <w:rPr>
          <w:rtl/>
          <w:lang w:val="he-IL"/>
        </w:rPr>
        <w:t>ָ</w:t>
      </w:r>
      <w:r w:rsidRPr="007F66B5">
        <w:rPr>
          <w:rtl/>
          <w:lang w:val="he-IL"/>
        </w:rPr>
        <w:t>כו</w:t>
      </w:r>
      <w:r w:rsidR="007A592F">
        <w:rPr>
          <w:rtl/>
          <w:lang w:val="he-IL"/>
        </w:rPr>
        <w:t>ֹ</w:t>
      </w:r>
      <w:r w:rsidRPr="007F66B5">
        <w:rPr>
          <w:rtl/>
          <w:lang w:val="he-IL"/>
        </w:rPr>
        <w:t>ף</w:t>
      </w:r>
      <w:proofErr w:type="spellEnd"/>
      <w:r w:rsidRPr="007F66B5">
        <w:rPr>
          <w:rtl/>
          <w:lang w:val="he-IL"/>
        </w:rPr>
        <w:t xml:space="preserve"> את יצרו. ואי </w:t>
      </w:r>
      <w:proofErr w:type="spellStart"/>
      <w:r w:rsidRPr="007F66B5">
        <w:rPr>
          <w:rtl/>
          <w:lang w:val="he-IL"/>
        </w:rPr>
        <w:t>סלקא</w:t>
      </w:r>
      <w:proofErr w:type="spellEnd"/>
      <w:r w:rsidRPr="007F66B5">
        <w:rPr>
          <w:rtl/>
          <w:lang w:val="he-IL"/>
        </w:rPr>
        <w:t xml:space="preserve"> דעתך צער בעלי חיים דאורייתא, הא עדיף ליה! - אפילו הכי, כדי </w:t>
      </w:r>
      <w:proofErr w:type="spellStart"/>
      <w:r w:rsidRPr="007F66B5">
        <w:rPr>
          <w:rtl/>
          <w:lang w:val="he-IL"/>
        </w:rPr>
        <w:t>לכוף</w:t>
      </w:r>
      <w:proofErr w:type="spellEnd"/>
      <w:r w:rsidRPr="007F66B5">
        <w:rPr>
          <w:rtl/>
          <w:lang w:val="he-IL"/>
        </w:rPr>
        <w:t xml:space="preserve"> את יצרו עדיף.</w:t>
      </w:r>
      <w:r w:rsidR="007A592F">
        <w:rPr>
          <w:rStyle w:val="a5"/>
          <w:rtl/>
          <w:lang w:val="he-IL"/>
        </w:rPr>
        <w:footnoteReference w:id="17"/>
      </w:r>
      <w:r w:rsidRPr="007F66B5">
        <w:rPr>
          <w:rtl/>
          <w:lang w:val="he-IL"/>
        </w:rPr>
        <w:t xml:space="preserve"> </w:t>
      </w:r>
    </w:p>
    <w:p w14:paraId="27BCE3A6" w14:textId="77777777" w:rsidR="00475531" w:rsidRDefault="00475531" w:rsidP="007F66B5">
      <w:pPr>
        <w:pStyle w:val="ac"/>
        <w:rPr>
          <w:rtl/>
        </w:rPr>
      </w:pPr>
      <w:r w:rsidRPr="00475531">
        <w:rPr>
          <w:rtl/>
        </w:rPr>
        <w:t xml:space="preserve">תנו רבנן: </w:t>
      </w:r>
      <w:r w:rsidR="007F66B5">
        <w:rPr>
          <w:rFonts w:hint="cs"/>
          <w:rtl/>
        </w:rPr>
        <w:t>"</w:t>
      </w:r>
      <w:r w:rsidRPr="00475531">
        <w:rPr>
          <w:rtl/>
        </w:rPr>
        <w:t>כי תראה</w:t>
      </w:r>
      <w:r w:rsidR="007F66B5">
        <w:rPr>
          <w:rFonts w:hint="cs"/>
          <w:rtl/>
        </w:rPr>
        <w:t>",</w:t>
      </w:r>
      <w:r w:rsidRPr="00475531">
        <w:rPr>
          <w:rtl/>
        </w:rPr>
        <w:t xml:space="preserve"> יכול אפילו מרחוק</w:t>
      </w:r>
      <w:r w:rsidR="007F66B5">
        <w:rPr>
          <w:rFonts w:hint="cs"/>
          <w:rtl/>
        </w:rPr>
        <w:t>?</w:t>
      </w:r>
      <w:r w:rsidRPr="00475531">
        <w:rPr>
          <w:rtl/>
        </w:rPr>
        <w:t xml:space="preserve"> - תלמוד לומר: </w:t>
      </w:r>
      <w:r w:rsidR="007F66B5">
        <w:rPr>
          <w:rFonts w:hint="cs"/>
          <w:rtl/>
        </w:rPr>
        <w:t>"</w:t>
      </w:r>
      <w:r w:rsidRPr="00475531">
        <w:rPr>
          <w:rtl/>
        </w:rPr>
        <w:t>כי תפגע</w:t>
      </w:r>
      <w:r w:rsidR="007F66B5">
        <w:rPr>
          <w:rFonts w:hint="cs"/>
          <w:rtl/>
        </w:rPr>
        <w:t>"</w:t>
      </w:r>
      <w:r w:rsidRPr="00475531">
        <w:rPr>
          <w:rtl/>
        </w:rPr>
        <w:t xml:space="preserve">. אי </w:t>
      </w:r>
      <w:r w:rsidR="007F66B5">
        <w:rPr>
          <w:rFonts w:hint="cs"/>
          <w:rtl/>
        </w:rPr>
        <w:t>"</w:t>
      </w:r>
      <w:r w:rsidRPr="00475531">
        <w:rPr>
          <w:rtl/>
        </w:rPr>
        <w:t>כי תפגע</w:t>
      </w:r>
      <w:r w:rsidR="007F66B5">
        <w:rPr>
          <w:rFonts w:hint="cs"/>
          <w:rtl/>
        </w:rPr>
        <w:t>"</w:t>
      </w:r>
      <w:r w:rsidRPr="00475531">
        <w:rPr>
          <w:rtl/>
        </w:rPr>
        <w:t xml:space="preserve"> יכול פגיעה ממש</w:t>
      </w:r>
      <w:r w:rsidR="007F66B5">
        <w:rPr>
          <w:rFonts w:hint="cs"/>
          <w:rtl/>
        </w:rPr>
        <w:t>?</w:t>
      </w:r>
      <w:r w:rsidRPr="00475531">
        <w:rPr>
          <w:rtl/>
        </w:rPr>
        <w:t xml:space="preserve"> - תלמוד לומר: </w:t>
      </w:r>
      <w:r w:rsidR="007F66B5">
        <w:rPr>
          <w:rFonts w:hint="cs"/>
          <w:rtl/>
        </w:rPr>
        <w:t>"</w:t>
      </w:r>
      <w:r w:rsidRPr="00475531">
        <w:rPr>
          <w:rtl/>
        </w:rPr>
        <w:t>כי תראה</w:t>
      </w:r>
      <w:r w:rsidR="007F66B5">
        <w:rPr>
          <w:rFonts w:hint="cs"/>
          <w:rtl/>
        </w:rPr>
        <w:t>"</w:t>
      </w:r>
      <w:r w:rsidRPr="00475531">
        <w:rPr>
          <w:rtl/>
        </w:rPr>
        <w:t>. ואיזו היא ראייה שיש בה פגיעה</w:t>
      </w:r>
      <w:r w:rsidR="007F66B5">
        <w:rPr>
          <w:rFonts w:hint="cs"/>
          <w:rtl/>
        </w:rPr>
        <w:t>?</w:t>
      </w:r>
      <w:r w:rsidRPr="00475531">
        <w:rPr>
          <w:rtl/>
        </w:rPr>
        <w:t xml:space="preserve"> - שיערו חכמים אחד משבע ומחצה במיל, וזה הוא ריס.</w:t>
      </w:r>
      <w:r w:rsidR="00B50B45">
        <w:rPr>
          <w:rStyle w:val="a5"/>
          <w:rtl/>
        </w:rPr>
        <w:footnoteReference w:id="18"/>
      </w:r>
      <w:r w:rsidRPr="00475531">
        <w:rPr>
          <w:rtl/>
        </w:rPr>
        <w:t xml:space="preserve"> </w:t>
      </w:r>
    </w:p>
    <w:p w14:paraId="14762E00" w14:textId="177E7AC0" w:rsidR="00B705F1" w:rsidRDefault="00B705F1" w:rsidP="00B705F1">
      <w:pPr>
        <w:pStyle w:val="ab"/>
        <w:rPr>
          <w:rtl/>
        </w:rPr>
      </w:pPr>
      <w:r>
        <w:rPr>
          <w:rtl/>
        </w:rPr>
        <w:t xml:space="preserve">מכילתא דרבי ישמעאל משפטים </w:t>
      </w:r>
      <w:proofErr w:type="spellStart"/>
      <w:r>
        <w:rPr>
          <w:rtl/>
        </w:rPr>
        <w:t>מסכתא</w:t>
      </w:r>
      <w:proofErr w:type="spellEnd"/>
      <w:r>
        <w:rPr>
          <w:rtl/>
        </w:rPr>
        <w:t xml:space="preserve"> </w:t>
      </w:r>
      <w:proofErr w:type="spellStart"/>
      <w:r>
        <w:rPr>
          <w:rtl/>
        </w:rPr>
        <w:t>דכספא</w:t>
      </w:r>
      <w:proofErr w:type="spellEnd"/>
      <w:r>
        <w:rPr>
          <w:rtl/>
        </w:rPr>
        <w:t xml:space="preserve"> פרשה כ </w:t>
      </w:r>
      <w:r w:rsidR="00D921B4">
        <w:rPr>
          <w:rtl/>
        </w:rPr>
        <w:t>–</w:t>
      </w:r>
      <w:r w:rsidR="00D921B4">
        <w:rPr>
          <w:rFonts w:hint="cs"/>
          <w:rtl/>
        </w:rPr>
        <w:t xml:space="preserve"> פריקה וטעינה באדם</w:t>
      </w:r>
    </w:p>
    <w:p w14:paraId="14CF6F8C" w14:textId="77777777" w:rsidR="00B705F1" w:rsidRDefault="00DB79B5" w:rsidP="00B705F1">
      <w:pPr>
        <w:pStyle w:val="ac"/>
        <w:rPr>
          <w:rtl/>
        </w:rPr>
      </w:pPr>
      <w:r>
        <w:rPr>
          <w:rFonts w:hint="cs"/>
          <w:rtl/>
        </w:rPr>
        <w:t>"</w:t>
      </w:r>
      <w:r w:rsidR="00B705F1">
        <w:rPr>
          <w:rtl/>
        </w:rPr>
        <w:t>עזוב תעזוב עמו</w:t>
      </w:r>
      <w:r>
        <w:rPr>
          <w:rFonts w:hint="cs"/>
          <w:rtl/>
        </w:rPr>
        <w:t>"</w:t>
      </w:r>
      <w:r w:rsidR="00B705F1">
        <w:rPr>
          <w:rtl/>
        </w:rPr>
        <w:t>. למה נאמר</w:t>
      </w:r>
      <w:r w:rsidR="00B705F1">
        <w:rPr>
          <w:rFonts w:hint="cs"/>
          <w:rtl/>
        </w:rPr>
        <w:t>?</w:t>
      </w:r>
      <w:r w:rsidR="00B705F1">
        <w:rPr>
          <w:rtl/>
        </w:rPr>
        <w:t xml:space="preserve"> לפי שהוא אומר</w:t>
      </w:r>
      <w:r w:rsidR="00B705F1">
        <w:rPr>
          <w:rFonts w:hint="cs"/>
          <w:rtl/>
        </w:rPr>
        <w:t>: "</w:t>
      </w:r>
      <w:r w:rsidR="00B705F1">
        <w:rPr>
          <w:rtl/>
        </w:rPr>
        <w:t>הקם תקים עמו</w:t>
      </w:r>
      <w:r w:rsidR="00B705F1">
        <w:rPr>
          <w:rFonts w:hint="cs"/>
          <w:rtl/>
        </w:rPr>
        <w:t>"</w:t>
      </w:r>
      <w:r w:rsidR="00B705F1">
        <w:rPr>
          <w:rtl/>
        </w:rPr>
        <w:t>, אין לי אלא טעינה, פריקה מנין</w:t>
      </w:r>
      <w:r w:rsidR="00B705F1">
        <w:rPr>
          <w:rFonts w:hint="cs"/>
          <w:rtl/>
        </w:rPr>
        <w:t>?</w:t>
      </w:r>
      <w:r w:rsidR="00B705F1">
        <w:rPr>
          <w:rtl/>
        </w:rPr>
        <w:t xml:space="preserve"> תלמוד לומר</w:t>
      </w:r>
      <w:r w:rsidR="00B705F1">
        <w:rPr>
          <w:rFonts w:hint="cs"/>
          <w:rtl/>
        </w:rPr>
        <w:t>:</w:t>
      </w:r>
      <w:r w:rsidR="00B705F1">
        <w:rPr>
          <w:rtl/>
        </w:rPr>
        <w:t xml:space="preserve"> עזוב תעזוב עמו.</w:t>
      </w:r>
      <w:r w:rsidR="00B705F1">
        <w:rPr>
          <w:rStyle w:val="a5"/>
          <w:rtl/>
        </w:rPr>
        <w:footnoteReference w:id="19"/>
      </w:r>
      <w:r w:rsidR="00B705F1">
        <w:rPr>
          <w:rtl/>
        </w:rPr>
        <w:t xml:space="preserve"> - רבי יאשיה אומר</w:t>
      </w:r>
      <w:r w:rsidR="00B705F1">
        <w:rPr>
          <w:rFonts w:hint="cs"/>
          <w:rtl/>
        </w:rPr>
        <w:t>:</w:t>
      </w:r>
      <w:r w:rsidR="00B705F1">
        <w:rPr>
          <w:rtl/>
        </w:rPr>
        <w:t xml:space="preserve"> אחד זה ואחד זה בפריקה הכתוב מדבר; אין לי אלא פריקה, </w:t>
      </w:r>
      <w:r w:rsidR="00B705F1">
        <w:rPr>
          <w:rtl/>
        </w:rPr>
        <w:lastRenderedPageBreak/>
        <w:t>טעינה מנין</w:t>
      </w:r>
      <w:r w:rsidR="00B705F1">
        <w:rPr>
          <w:rFonts w:hint="cs"/>
          <w:rtl/>
        </w:rPr>
        <w:t>?</w:t>
      </w:r>
      <w:r w:rsidR="00B705F1">
        <w:rPr>
          <w:rtl/>
        </w:rPr>
        <w:t xml:space="preserve"> דין הוא, מה אם פריקה שהוא יכול לפרוק בפני עצמו, הרי זה מוזהר עליה, טעינה, שאינה יכול לטעון בפני עצמו, אינו דין שיהא מוזהר עליה, מפני שד</w:t>
      </w:r>
      <w:r w:rsidR="004B11CD">
        <w:rPr>
          <w:rtl/>
        </w:rPr>
        <w:t>ִ</w:t>
      </w:r>
      <w:r w:rsidR="00B705F1">
        <w:rPr>
          <w:rtl/>
        </w:rPr>
        <w:t>ב</w:t>
      </w:r>
      <w:r w:rsidR="004B11CD">
        <w:rPr>
          <w:rtl/>
        </w:rPr>
        <w:t>ֵּ</w:t>
      </w:r>
      <w:r w:rsidR="00B705F1">
        <w:rPr>
          <w:rtl/>
        </w:rPr>
        <w:t>ר הכתוב בקל, ללמד ממנו את החמור.</w:t>
      </w:r>
      <w:r w:rsidR="00261446">
        <w:rPr>
          <w:rStyle w:val="a5"/>
          <w:rtl/>
        </w:rPr>
        <w:footnoteReference w:id="20"/>
      </w:r>
    </w:p>
    <w:p w14:paraId="74F71484" w14:textId="2C35EE9D" w:rsidR="001C4A69" w:rsidRDefault="001C4A69" w:rsidP="001C4A69">
      <w:pPr>
        <w:pStyle w:val="ab"/>
        <w:rPr>
          <w:rtl/>
        </w:rPr>
      </w:pPr>
      <w:r>
        <w:rPr>
          <w:rtl/>
        </w:rPr>
        <w:t xml:space="preserve">רמב"ם הלכות רוצח ושמירת הנפש פרק </w:t>
      </w:r>
      <w:proofErr w:type="spellStart"/>
      <w:r>
        <w:rPr>
          <w:rtl/>
        </w:rPr>
        <w:t>יג</w:t>
      </w:r>
      <w:proofErr w:type="spellEnd"/>
      <w:r>
        <w:rPr>
          <w:rtl/>
        </w:rPr>
        <w:t xml:space="preserve"> </w:t>
      </w:r>
      <w:r w:rsidR="007E1F3A">
        <w:rPr>
          <w:rtl/>
        </w:rPr>
        <w:t>–</w:t>
      </w:r>
      <w:r w:rsidR="007E1F3A">
        <w:rPr>
          <w:rFonts w:hint="cs"/>
          <w:rtl/>
        </w:rPr>
        <w:t xml:space="preserve"> שתי מצוות</w:t>
      </w:r>
      <w:r w:rsidR="008C1177">
        <w:rPr>
          <w:rFonts w:hint="cs"/>
          <w:rtl/>
        </w:rPr>
        <w:t>,</w:t>
      </w:r>
      <w:r w:rsidR="007E1F3A">
        <w:rPr>
          <w:rFonts w:hint="cs"/>
          <w:rtl/>
        </w:rPr>
        <w:t xml:space="preserve"> בשורת הדין ובמידת חסידות</w:t>
      </w:r>
    </w:p>
    <w:p w14:paraId="45DAF0CE" w14:textId="77777777" w:rsidR="001C4A69" w:rsidRDefault="001C4A69" w:rsidP="001C4A69">
      <w:pPr>
        <w:pStyle w:val="ac"/>
        <w:rPr>
          <w:rtl/>
        </w:rPr>
      </w:pPr>
      <w:r>
        <w:rPr>
          <w:rtl/>
        </w:rPr>
        <w:t xml:space="preserve">מי שפגע </w:t>
      </w:r>
      <w:proofErr w:type="spellStart"/>
      <w:r>
        <w:rPr>
          <w:rtl/>
        </w:rPr>
        <w:t>בחבירו</w:t>
      </w:r>
      <w:proofErr w:type="spellEnd"/>
      <w:r>
        <w:rPr>
          <w:rtl/>
        </w:rPr>
        <w:t xml:space="preserve"> בדרך ובהמתו רובצת תחת משאה</w:t>
      </w:r>
      <w:r>
        <w:rPr>
          <w:rFonts w:hint="cs"/>
          <w:rtl/>
        </w:rPr>
        <w:t>,</w:t>
      </w:r>
      <w:r>
        <w:rPr>
          <w:rtl/>
        </w:rPr>
        <w:t xml:space="preserve"> בין שהיה עליה משא הראוי לה</w:t>
      </w:r>
      <w:r>
        <w:rPr>
          <w:rFonts w:hint="cs"/>
          <w:rtl/>
        </w:rPr>
        <w:t>,</w:t>
      </w:r>
      <w:r>
        <w:rPr>
          <w:rtl/>
        </w:rPr>
        <w:t xml:space="preserve"> בין שהיה עליה יתר ממשאה</w:t>
      </w:r>
      <w:r>
        <w:rPr>
          <w:rFonts w:hint="cs"/>
          <w:rtl/>
        </w:rPr>
        <w:t>,</w:t>
      </w:r>
      <w:r>
        <w:rPr>
          <w:rtl/>
        </w:rPr>
        <w:t xml:space="preserve"> הרי זה מצוה לפרוק מעליה</w:t>
      </w:r>
      <w:r w:rsidR="00EA7C65">
        <w:rPr>
          <w:rFonts w:hint="cs"/>
          <w:rtl/>
        </w:rPr>
        <w:t>.</w:t>
      </w:r>
      <w:r>
        <w:rPr>
          <w:rtl/>
        </w:rPr>
        <w:t xml:space="preserve"> וזו מצות עשה</w:t>
      </w:r>
      <w:r>
        <w:rPr>
          <w:rFonts w:hint="cs"/>
          <w:rtl/>
        </w:rPr>
        <w:t>, שנאמר: "</w:t>
      </w:r>
      <w:r>
        <w:rPr>
          <w:rtl/>
        </w:rPr>
        <w:t>עזוב תעזוב עמו</w:t>
      </w:r>
      <w:r>
        <w:rPr>
          <w:rFonts w:hint="cs"/>
          <w:rtl/>
        </w:rPr>
        <w:t>".</w:t>
      </w:r>
      <w:r>
        <w:rPr>
          <w:rStyle w:val="a5"/>
          <w:rtl/>
        </w:rPr>
        <w:footnoteReference w:id="21"/>
      </w:r>
    </w:p>
    <w:p w14:paraId="7B54FB8E" w14:textId="77777777" w:rsidR="001C4A69" w:rsidRDefault="001C4A69" w:rsidP="00EA7C65">
      <w:pPr>
        <w:pStyle w:val="ac"/>
        <w:rPr>
          <w:rtl/>
        </w:rPr>
      </w:pPr>
      <w:r>
        <w:rPr>
          <w:rtl/>
        </w:rPr>
        <w:t>ולא יפרוק ויניחנו נבהל וילך</w:t>
      </w:r>
      <w:r w:rsidR="00EA7C65">
        <w:rPr>
          <w:rFonts w:hint="cs"/>
          <w:rtl/>
        </w:rPr>
        <w:t>,</w:t>
      </w:r>
      <w:r>
        <w:rPr>
          <w:rtl/>
        </w:rPr>
        <w:t xml:space="preserve"> אלא יקים עמו ויחזור ויטעון משאו עליה שנ</w:t>
      </w:r>
      <w:r w:rsidR="00EA7C65">
        <w:rPr>
          <w:rFonts w:hint="cs"/>
          <w:rtl/>
        </w:rPr>
        <w:t>אמר: "</w:t>
      </w:r>
      <w:r>
        <w:rPr>
          <w:rtl/>
        </w:rPr>
        <w:t>הקם תקים עמו</w:t>
      </w:r>
      <w:r w:rsidR="00EA7C65">
        <w:rPr>
          <w:rFonts w:hint="cs"/>
          <w:rtl/>
        </w:rPr>
        <w:t>" -</w:t>
      </w:r>
      <w:r>
        <w:rPr>
          <w:rtl/>
        </w:rPr>
        <w:t xml:space="preserve"> זו מצות עשה אחרת</w:t>
      </w:r>
      <w:r w:rsidR="00EA7C65">
        <w:rPr>
          <w:rFonts w:hint="cs"/>
          <w:rtl/>
        </w:rPr>
        <w:t>.</w:t>
      </w:r>
      <w:r w:rsidR="00A3083F">
        <w:rPr>
          <w:rStyle w:val="a5"/>
          <w:rtl/>
        </w:rPr>
        <w:footnoteReference w:id="22"/>
      </w:r>
      <w:r>
        <w:rPr>
          <w:rtl/>
        </w:rPr>
        <w:t xml:space="preserve"> ואם הניחו נבהל ולא פרק ולא טען</w:t>
      </w:r>
      <w:r w:rsidR="00EA7C65">
        <w:rPr>
          <w:rFonts w:hint="cs"/>
          <w:rtl/>
        </w:rPr>
        <w:t>,</w:t>
      </w:r>
      <w:r>
        <w:rPr>
          <w:rtl/>
        </w:rPr>
        <w:t xml:space="preserve"> ביטל מצות עשה ועבר על מצות לא תעשה</w:t>
      </w:r>
      <w:r w:rsidR="00EA7C65">
        <w:rPr>
          <w:rFonts w:hint="cs"/>
          <w:rtl/>
        </w:rPr>
        <w:t>,</w:t>
      </w:r>
      <w:r>
        <w:rPr>
          <w:rtl/>
        </w:rPr>
        <w:t xml:space="preserve"> שנ</w:t>
      </w:r>
      <w:r w:rsidR="00EA7C65">
        <w:rPr>
          <w:rFonts w:hint="cs"/>
          <w:rtl/>
        </w:rPr>
        <w:t>אמר: "</w:t>
      </w:r>
      <w:r>
        <w:rPr>
          <w:rtl/>
        </w:rPr>
        <w:t>לא תראה את חמור אחיך</w:t>
      </w:r>
      <w:r w:rsidR="00EA7C65">
        <w:rPr>
          <w:rFonts w:hint="cs"/>
          <w:rtl/>
        </w:rPr>
        <w:t>"</w:t>
      </w:r>
      <w:r>
        <w:rPr>
          <w:rtl/>
        </w:rPr>
        <w:t>.</w:t>
      </w:r>
      <w:r w:rsidR="00EA7C65">
        <w:rPr>
          <w:rStyle w:val="a5"/>
          <w:rtl/>
        </w:rPr>
        <w:footnoteReference w:id="23"/>
      </w:r>
      <w:r>
        <w:rPr>
          <w:rtl/>
        </w:rPr>
        <w:t xml:space="preserve"> </w:t>
      </w:r>
    </w:p>
    <w:p w14:paraId="064365EF" w14:textId="77777777" w:rsidR="001C4A69" w:rsidRDefault="001C4A69" w:rsidP="00EA7C65">
      <w:pPr>
        <w:pStyle w:val="ac"/>
        <w:rPr>
          <w:rtl/>
        </w:rPr>
      </w:pPr>
      <w:r>
        <w:rPr>
          <w:rtl/>
        </w:rPr>
        <w:t xml:space="preserve">זה הכלל כל שאילו </w:t>
      </w:r>
      <w:proofErr w:type="spellStart"/>
      <w:r>
        <w:rPr>
          <w:rtl/>
        </w:rPr>
        <w:t>היתה</w:t>
      </w:r>
      <w:proofErr w:type="spellEnd"/>
      <w:r>
        <w:rPr>
          <w:rtl/>
        </w:rPr>
        <w:t xml:space="preserve"> שלו היה טוען ופורק</w:t>
      </w:r>
      <w:r w:rsidR="00EA7C65">
        <w:rPr>
          <w:rFonts w:hint="cs"/>
          <w:rtl/>
        </w:rPr>
        <w:t>,</w:t>
      </w:r>
      <w:r>
        <w:rPr>
          <w:rtl/>
        </w:rPr>
        <w:t xml:space="preserve"> הרי זה חייב לטעון ולפרוק בשל </w:t>
      </w:r>
      <w:proofErr w:type="spellStart"/>
      <w:r>
        <w:rPr>
          <w:rtl/>
        </w:rPr>
        <w:t>חבירו</w:t>
      </w:r>
      <w:proofErr w:type="spellEnd"/>
      <w:r w:rsidR="00EA7C65">
        <w:rPr>
          <w:rFonts w:hint="cs"/>
          <w:rtl/>
        </w:rPr>
        <w:t>.</w:t>
      </w:r>
      <w:r>
        <w:rPr>
          <w:rtl/>
        </w:rPr>
        <w:t xml:space="preserve"> ואם היה חסיד ועושה לפנים משורת הדין</w:t>
      </w:r>
      <w:r w:rsidR="00EA7C65">
        <w:rPr>
          <w:rFonts w:hint="cs"/>
          <w:rtl/>
        </w:rPr>
        <w:t>,</w:t>
      </w:r>
      <w:r>
        <w:rPr>
          <w:rtl/>
        </w:rPr>
        <w:t xml:space="preserve"> אפילו היה הנשיא הגדול וראה בהמת </w:t>
      </w:r>
      <w:proofErr w:type="spellStart"/>
      <w:r>
        <w:rPr>
          <w:rtl/>
        </w:rPr>
        <w:t>חבירו</w:t>
      </w:r>
      <w:proofErr w:type="spellEnd"/>
      <w:r>
        <w:rPr>
          <w:rtl/>
        </w:rPr>
        <w:t xml:space="preserve"> רובצת תחת משאה של תבן או קנים וכיוצא בהן פורק וטוען עמו.</w:t>
      </w:r>
      <w:r w:rsidR="00EA7C65">
        <w:rPr>
          <w:rStyle w:val="a5"/>
          <w:rtl/>
        </w:rPr>
        <w:footnoteReference w:id="24"/>
      </w:r>
    </w:p>
    <w:p w14:paraId="62AA324D" w14:textId="3FE6E84D" w:rsidR="002F0974" w:rsidRPr="00C20FD1" w:rsidRDefault="002F0974" w:rsidP="002F0974">
      <w:pPr>
        <w:pStyle w:val="ab"/>
        <w:rPr>
          <w:rtl/>
          <w:lang w:val="he-IL"/>
        </w:rPr>
      </w:pPr>
      <w:r w:rsidRPr="00C20FD1">
        <w:rPr>
          <w:rtl/>
          <w:lang w:val="he-IL"/>
        </w:rPr>
        <w:t xml:space="preserve">רש"י שמות פרק </w:t>
      </w:r>
      <w:proofErr w:type="spellStart"/>
      <w:r w:rsidRPr="00C20FD1">
        <w:rPr>
          <w:rtl/>
          <w:lang w:val="he-IL"/>
        </w:rPr>
        <w:t>כג</w:t>
      </w:r>
      <w:proofErr w:type="spellEnd"/>
      <w:r w:rsidR="00E15AA3">
        <w:rPr>
          <w:rFonts w:hint="cs"/>
          <w:rtl/>
          <w:lang w:val="he-IL"/>
        </w:rPr>
        <w:t xml:space="preserve"> פסוק ה</w:t>
      </w:r>
      <w:r w:rsidRPr="00C20FD1">
        <w:rPr>
          <w:rtl/>
          <w:lang w:val="he-IL"/>
        </w:rPr>
        <w:t xml:space="preserve"> </w:t>
      </w:r>
      <w:r w:rsidR="0038709F">
        <w:rPr>
          <w:rtl/>
          <w:lang w:val="he-IL"/>
        </w:rPr>
        <w:t>–</w:t>
      </w:r>
      <w:r w:rsidR="0038709F">
        <w:rPr>
          <w:rFonts w:hint="cs"/>
          <w:rtl/>
          <w:lang w:val="he-IL"/>
        </w:rPr>
        <w:t xml:space="preserve"> עזיבה היא עזרה</w:t>
      </w:r>
    </w:p>
    <w:p w14:paraId="3658A1D2" w14:textId="77777777" w:rsidR="002F0974" w:rsidRDefault="002F0974" w:rsidP="002F6AA5">
      <w:pPr>
        <w:pStyle w:val="ac"/>
        <w:rPr>
          <w:rtl/>
          <w:lang w:val="he-IL"/>
        </w:rPr>
      </w:pPr>
      <w:r w:rsidRPr="00C20FD1">
        <w:rPr>
          <w:rtl/>
          <w:lang w:val="he-IL"/>
        </w:rPr>
        <w:t xml:space="preserve">כי תראה חמור שונאך וגו' - הרי כי משמש בלשון </w:t>
      </w:r>
      <w:proofErr w:type="spellStart"/>
      <w:r w:rsidRPr="00C20FD1">
        <w:rPr>
          <w:rtl/>
          <w:lang w:val="he-IL"/>
        </w:rPr>
        <w:t>דלמא</w:t>
      </w:r>
      <w:proofErr w:type="spellEnd"/>
      <w:r w:rsidRPr="00C20FD1">
        <w:rPr>
          <w:rtl/>
          <w:lang w:val="he-IL"/>
        </w:rPr>
        <w:t xml:space="preserve">, שהוא מארבע לשונות של שמושי </w:t>
      </w:r>
      <w:r>
        <w:rPr>
          <w:rFonts w:hint="cs"/>
          <w:rtl/>
          <w:lang w:val="he-IL"/>
        </w:rPr>
        <w:t>"</w:t>
      </w:r>
      <w:r w:rsidRPr="00C20FD1">
        <w:rPr>
          <w:rtl/>
          <w:lang w:val="he-IL"/>
        </w:rPr>
        <w:t>כי</w:t>
      </w:r>
      <w:r>
        <w:rPr>
          <w:rFonts w:hint="cs"/>
          <w:rtl/>
          <w:lang w:val="he-IL"/>
        </w:rPr>
        <w:t>".</w:t>
      </w:r>
      <w:r w:rsidRPr="00C20FD1">
        <w:rPr>
          <w:rtl/>
          <w:lang w:val="he-IL"/>
        </w:rPr>
        <w:t xml:space="preserve"> וכה פתרונו</w:t>
      </w:r>
      <w:r>
        <w:rPr>
          <w:rFonts w:hint="cs"/>
          <w:rtl/>
          <w:lang w:val="he-IL"/>
        </w:rPr>
        <w:t>:</w:t>
      </w:r>
      <w:r>
        <w:rPr>
          <w:rStyle w:val="a5"/>
          <w:rtl/>
          <w:lang w:val="he-IL"/>
        </w:rPr>
        <w:footnoteReference w:id="25"/>
      </w:r>
      <w:r w:rsidRPr="00C20FD1">
        <w:rPr>
          <w:rtl/>
          <w:lang w:val="he-IL"/>
        </w:rPr>
        <w:t xml:space="preserve"> שמא תראה חמורו רובץ תחת משאו:</w:t>
      </w:r>
      <w:r>
        <w:rPr>
          <w:rFonts w:hint="cs"/>
          <w:rtl/>
          <w:lang w:val="he-IL"/>
        </w:rPr>
        <w:t xml:space="preserve"> </w:t>
      </w:r>
      <w:r w:rsidRPr="00C20FD1">
        <w:rPr>
          <w:rtl/>
          <w:lang w:val="he-IL"/>
        </w:rPr>
        <w:t>וחדלת מעז</w:t>
      </w:r>
      <w:r>
        <w:rPr>
          <w:rFonts w:hint="cs"/>
          <w:rtl/>
          <w:lang w:val="he-IL"/>
        </w:rPr>
        <w:t>ו</w:t>
      </w:r>
      <w:r w:rsidRPr="00C20FD1">
        <w:rPr>
          <w:rtl/>
          <w:lang w:val="he-IL"/>
        </w:rPr>
        <w:t>ב לו</w:t>
      </w:r>
      <w:r>
        <w:rPr>
          <w:rFonts w:hint="cs"/>
          <w:rtl/>
          <w:lang w:val="he-IL"/>
        </w:rPr>
        <w:t>?</w:t>
      </w:r>
      <w:r w:rsidRPr="00C20FD1">
        <w:rPr>
          <w:rtl/>
          <w:lang w:val="he-IL"/>
        </w:rPr>
        <w:t xml:space="preserve"> </w:t>
      </w:r>
      <w:r>
        <w:rPr>
          <w:rtl/>
          <w:lang w:val="he-IL"/>
        </w:rPr>
        <w:t>–</w:t>
      </w:r>
      <w:r w:rsidRPr="00C20FD1">
        <w:rPr>
          <w:rtl/>
          <w:lang w:val="he-IL"/>
        </w:rPr>
        <w:t xml:space="preserve"> </w:t>
      </w:r>
      <w:proofErr w:type="spellStart"/>
      <w:r w:rsidRPr="00C20FD1">
        <w:rPr>
          <w:rtl/>
          <w:lang w:val="he-IL"/>
        </w:rPr>
        <w:t>בתמיה</w:t>
      </w:r>
      <w:proofErr w:type="spellEnd"/>
      <w:r>
        <w:rPr>
          <w:rFonts w:hint="cs"/>
          <w:rtl/>
          <w:lang w:val="he-IL"/>
        </w:rPr>
        <w:t xml:space="preserve">! </w:t>
      </w:r>
      <w:r w:rsidRPr="00C20FD1">
        <w:rPr>
          <w:rtl/>
        </w:rPr>
        <w:t>עז</w:t>
      </w:r>
      <w:r w:rsidR="00B50B45">
        <w:rPr>
          <w:rFonts w:hint="cs"/>
          <w:rtl/>
        </w:rPr>
        <w:t>ו</w:t>
      </w:r>
      <w:r w:rsidRPr="00C20FD1">
        <w:rPr>
          <w:rtl/>
        </w:rPr>
        <w:t>ב תעז</w:t>
      </w:r>
      <w:r w:rsidR="00B50B45">
        <w:rPr>
          <w:rFonts w:hint="cs"/>
          <w:rtl/>
        </w:rPr>
        <w:t>ו</w:t>
      </w:r>
      <w:r w:rsidRPr="00C20FD1">
        <w:rPr>
          <w:rtl/>
        </w:rPr>
        <w:t xml:space="preserve">ב עמו - עזיבה זו לשון עזרה, וכן </w:t>
      </w:r>
      <w:r w:rsidR="00B50B45">
        <w:rPr>
          <w:rFonts w:hint="cs"/>
          <w:rtl/>
        </w:rPr>
        <w:t>"</w:t>
      </w:r>
      <w:r w:rsidR="00B50B45" w:rsidRPr="00C20FD1">
        <w:rPr>
          <w:rtl/>
        </w:rPr>
        <w:t>עצור ועזוב</w:t>
      </w:r>
      <w:r w:rsidR="00B50B45">
        <w:rPr>
          <w:rFonts w:hint="cs"/>
          <w:rtl/>
        </w:rPr>
        <w:t>"</w:t>
      </w:r>
      <w:r w:rsidR="00B50B45" w:rsidRPr="00C20FD1">
        <w:rPr>
          <w:rtl/>
        </w:rPr>
        <w:t xml:space="preserve"> </w:t>
      </w:r>
      <w:r w:rsidRPr="00C20FD1">
        <w:rPr>
          <w:rtl/>
        </w:rPr>
        <w:t>(דברים לב לו)</w:t>
      </w:r>
      <w:r w:rsidR="00B50B45">
        <w:rPr>
          <w:rStyle w:val="a5"/>
          <w:rtl/>
        </w:rPr>
        <w:footnoteReference w:id="26"/>
      </w:r>
      <w:r w:rsidRPr="00C20FD1">
        <w:rPr>
          <w:rtl/>
        </w:rPr>
        <w:t xml:space="preserve">, וכן </w:t>
      </w:r>
      <w:r w:rsidR="00B50B45">
        <w:rPr>
          <w:rFonts w:hint="cs"/>
          <w:rtl/>
        </w:rPr>
        <w:t>"</w:t>
      </w:r>
      <w:r w:rsidR="00B50B45" w:rsidRPr="00C20FD1">
        <w:rPr>
          <w:rtl/>
        </w:rPr>
        <w:t>ויעזבו ירושלם עד החומה</w:t>
      </w:r>
      <w:r w:rsidR="00B50B45">
        <w:rPr>
          <w:rFonts w:hint="cs"/>
          <w:rtl/>
        </w:rPr>
        <w:t>"</w:t>
      </w:r>
      <w:r w:rsidR="00B50B45" w:rsidRPr="00C20FD1">
        <w:rPr>
          <w:rtl/>
        </w:rPr>
        <w:t xml:space="preserve"> </w:t>
      </w:r>
      <w:r w:rsidRPr="00C20FD1">
        <w:rPr>
          <w:rtl/>
        </w:rPr>
        <w:t>(נחמיה ג ח)</w:t>
      </w:r>
      <w:r w:rsidR="00B50B45">
        <w:rPr>
          <w:rFonts w:hint="cs"/>
          <w:rtl/>
        </w:rPr>
        <w:t xml:space="preserve"> - </w:t>
      </w:r>
      <w:r w:rsidRPr="00C20FD1">
        <w:rPr>
          <w:rtl/>
        </w:rPr>
        <w:t>מ</w:t>
      </w:r>
      <w:r w:rsidR="00B50B45">
        <w:rPr>
          <w:rFonts w:hint="cs"/>
          <w:rtl/>
        </w:rPr>
        <w:t>י</w:t>
      </w:r>
      <w:r w:rsidRPr="00C20FD1">
        <w:rPr>
          <w:rtl/>
        </w:rPr>
        <w:t xml:space="preserve">לאוה עפר לעזוב ולסייע את </w:t>
      </w:r>
      <w:r w:rsidRPr="00C20FD1">
        <w:rPr>
          <w:rtl/>
        </w:rPr>
        <w:lastRenderedPageBreak/>
        <w:t>חוזק החומה</w:t>
      </w:r>
      <w:r w:rsidR="00E95EA5">
        <w:rPr>
          <w:rFonts w:hint="cs"/>
          <w:rtl/>
        </w:rPr>
        <w:t>.</w:t>
      </w:r>
      <w:r w:rsidR="00714400">
        <w:rPr>
          <w:rStyle w:val="a5"/>
          <w:rtl/>
        </w:rPr>
        <w:footnoteReference w:id="27"/>
      </w:r>
      <w:r w:rsidR="00B50B45">
        <w:rPr>
          <w:rFonts w:hint="cs"/>
          <w:rtl/>
        </w:rPr>
        <w:t xml:space="preserve"> ... </w:t>
      </w:r>
      <w:r w:rsidRPr="00C20FD1">
        <w:rPr>
          <w:rtl/>
        </w:rPr>
        <w:t xml:space="preserve">ומדרשו, כך דרשו רבותינו </w:t>
      </w:r>
      <w:r w:rsidR="00B50B45">
        <w:rPr>
          <w:rFonts w:hint="cs"/>
          <w:rtl/>
        </w:rPr>
        <w:t>"</w:t>
      </w:r>
      <w:r w:rsidRPr="00C20FD1">
        <w:rPr>
          <w:rtl/>
        </w:rPr>
        <w:t xml:space="preserve">כי תראה </w:t>
      </w:r>
      <w:r w:rsidR="00B50B45">
        <w:rPr>
          <w:rFonts w:hint="cs"/>
          <w:rtl/>
        </w:rPr>
        <w:t xml:space="preserve">.. </w:t>
      </w:r>
      <w:r w:rsidRPr="00C20FD1">
        <w:rPr>
          <w:rtl/>
        </w:rPr>
        <w:t>וחדלת</w:t>
      </w:r>
      <w:r w:rsidR="00B50B45">
        <w:rPr>
          <w:rFonts w:hint="cs"/>
          <w:rtl/>
        </w:rPr>
        <w:t>",</w:t>
      </w:r>
      <w:r w:rsidRPr="00C20FD1">
        <w:rPr>
          <w:rtl/>
        </w:rPr>
        <w:t xml:space="preserve"> פעמים שאתה חדל ופעמים שאתה עוזר. הא כיצד</w:t>
      </w:r>
      <w:r w:rsidR="00B50B45">
        <w:rPr>
          <w:rFonts w:hint="cs"/>
          <w:rtl/>
        </w:rPr>
        <w:t>?</w:t>
      </w:r>
      <w:r w:rsidRPr="00C20FD1">
        <w:rPr>
          <w:rtl/>
        </w:rPr>
        <w:t xml:space="preserve"> זקן ואינו לפי כבודו</w:t>
      </w:r>
      <w:r w:rsidR="002F6AA5">
        <w:rPr>
          <w:rFonts w:hint="cs"/>
          <w:rtl/>
        </w:rPr>
        <w:t xml:space="preserve"> -</w:t>
      </w:r>
      <w:r w:rsidRPr="00C20FD1">
        <w:rPr>
          <w:rtl/>
        </w:rPr>
        <w:t xml:space="preserve"> וחדלת, או בהמת </w:t>
      </w:r>
      <w:proofErr w:type="spellStart"/>
      <w:r w:rsidRPr="00C20FD1">
        <w:rPr>
          <w:rtl/>
        </w:rPr>
        <w:t>נכרי</w:t>
      </w:r>
      <w:proofErr w:type="spellEnd"/>
      <w:r w:rsidRPr="00C20FD1">
        <w:rPr>
          <w:rtl/>
        </w:rPr>
        <w:t xml:space="preserve"> </w:t>
      </w:r>
      <w:proofErr w:type="spellStart"/>
      <w:r w:rsidRPr="00C20FD1">
        <w:rPr>
          <w:rtl/>
        </w:rPr>
        <w:t>ומשאוי</w:t>
      </w:r>
      <w:proofErr w:type="spellEnd"/>
      <w:r w:rsidRPr="00C20FD1">
        <w:rPr>
          <w:rtl/>
        </w:rPr>
        <w:t xml:space="preserve"> ישראל</w:t>
      </w:r>
      <w:r w:rsidR="002F6AA5">
        <w:rPr>
          <w:rFonts w:hint="cs"/>
          <w:rtl/>
        </w:rPr>
        <w:t xml:space="preserve"> -</w:t>
      </w:r>
      <w:r w:rsidRPr="00C20FD1">
        <w:rPr>
          <w:rtl/>
        </w:rPr>
        <w:t xml:space="preserve"> וחדלת</w:t>
      </w:r>
      <w:r w:rsidR="00266BB5">
        <w:rPr>
          <w:rFonts w:hint="cs"/>
          <w:rtl/>
        </w:rPr>
        <w:t>.</w:t>
      </w:r>
      <w:r w:rsidR="00266BB5">
        <w:rPr>
          <w:rStyle w:val="a5"/>
          <w:rtl/>
          <w:lang w:val="he-IL"/>
        </w:rPr>
        <w:footnoteReference w:id="28"/>
      </w:r>
    </w:p>
    <w:p w14:paraId="0144B3B5" w14:textId="4B2BEB63" w:rsidR="00FD16B2" w:rsidRPr="00FD16B2" w:rsidRDefault="00FD16B2" w:rsidP="00FD16B2">
      <w:pPr>
        <w:pStyle w:val="ab"/>
        <w:rPr>
          <w:rtl/>
          <w:lang w:val="he-IL"/>
        </w:rPr>
      </w:pPr>
      <w:r w:rsidRPr="00FD16B2">
        <w:rPr>
          <w:rtl/>
          <w:lang w:val="he-IL"/>
        </w:rPr>
        <w:t xml:space="preserve">רמב"ם הלכות רוצח ושמירת הנפש פרק </w:t>
      </w:r>
      <w:proofErr w:type="spellStart"/>
      <w:r w:rsidRPr="00FD16B2">
        <w:rPr>
          <w:rtl/>
          <w:lang w:val="he-IL"/>
        </w:rPr>
        <w:t>יג</w:t>
      </w:r>
      <w:proofErr w:type="spellEnd"/>
      <w:r>
        <w:rPr>
          <w:rFonts w:hint="cs"/>
          <w:rtl/>
          <w:lang w:val="he-IL"/>
        </w:rPr>
        <w:t xml:space="preserve"> </w:t>
      </w:r>
      <w:r w:rsidRPr="00FD16B2">
        <w:rPr>
          <w:rtl/>
          <w:lang w:val="he-IL"/>
        </w:rPr>
        <w:t>הלכה ט</w:t>
      </w:r>
      <w:r w:rsidR="00304940">
        <w:rPr>
          <w:rFonts w:hint="cs"/>
          <w:rtl/>
          <w:lang w:val="he-IL"/>
        </w:rPr>
        <w:t xml:space="preserve"> </w:t>
      </w:r>
      <w:r w:rsidR="002A1874">
        <w:rPr>
          <w:rtl/>
          <w:lang w:val="he-IL"/>
        </w:rPr>
        <w:t>–</w:t>
      </w:r>
      <w:r w:rsidR="002A1874">
        <w:rPr>
          <w:rFonts w:hint="cs"/>
          <w:rtl/>
          <w:lang w:val="he-IL"/>
        </w:rPr>
        <w:t xml:space="preserve"> "צער ישראל"</w:t>
      </w:r>
    </w:p>
    <w:p w14:paraId="43AEE5FE" w14:textId="77777777" w:rsidR="00FD16B2" w:rsidRDefault="00FD16B2" w:rsidP="00FD16B2">
      <w:pPr>
        <w:pStyle w:val="ac"/>
        <w:rPr>
          <w:rtl/>
          <w:lang w:val="he-IL"/>
        </w:rPr>
      </w:pPr>
      <w:r w:rsidRPr="00FD16B2">
        <w:rPr>
          <w:rtl/>
          <w:lang w:val="he-IL"/>
        </w:rPr>
        <w:t xml:space="preserve">בהמת הגוי והמשא של ישראל אם היה הגוי מחמר אחר בהמתו אינו זקוק לה, ואם לאו חייב לפרוק ולטעון משום צער ישראל, וכן אם </w:t>
      </w:r>
      <w:proofErr w:type="spellStart"/>
      <w:r w:rsidRPr="00FD16B2">
        <w:rPr>
          <w:rtl/>
          <w:lang w:val="he-IL"/>
        </w:rPr>
        <w:t>היתה</w:t>
      </w:r>
      <w:proofErr w:type="spellEnd"/>
      <w:r w:rsidRPr="00FD16B2">
        <w:rPr>
          <w:rtl/>
          <w:lang w:val="he-IL"/>
        </w:rPr>
        <w:t xml:space="preserve"> הבהמה של ישראל והמשוי של גוי חייב לפרוק ולטעון משום צער ישראל</w:t>
      </w:r>
      <w:r>
        <w:rPr>
          <w:rFonts w:hint="cs"/>
          <w:rtl/>
          <w:lang w:val="he-IL"/>
        </w:rPr>
        <w:t>.</w:t>
      </w:r>
      <w:r w:rsidRPr="00FD16B2">
        <w:rPr>
          <w:rtl/>
          <w:lang w:val="he-IL"/>
        </w:rPr>
        <w:t xml:space="preserve"> אבל בהמת הגוי ומשאו אינו חייב לה</w:t>
      </w:r>
      <w:r>
        <w:rPr>
          <w:rFonts w:hint="cs"/>
          <w:rtl/>
          <w:lang w:val="he-IL"/>
        </w:rPr>
        <w:t>י</w:t>
      </w:r>
      <w:r w:rsidRPr="00FD16B2">
        <w:rPr>
          <w:rtl/>
          <w:lang w:val="he-IL"/>
        </w:rPr>
        <w:t>טפל בהן אלא משום איבה.</w:t>
      </w:r>
      <w:r>
        <w:rPr>
          <w:rStyle w:val="a5"/>
          <w:rtl/>
          <w:lang w:val="he-IL"/>
        </w:rPr>
        <w:footnoteReference w:id="29"/>
      </w:r>
    </w:p>
    <w:p w14:paraId="27BA26CE" w14:textId="3AC668FA" w:rsidR="00E15AA3" w:rsidRDefault="00E15AA3" w:rsidP="00E15AA3">
      <w:pPr>
        <w:pStyle w:val="ab"/>
        <w:rPr>
          <w:rtl/>
        </w:rPr>
      </w:pPr>
      <w:r>
        <w:rPr>
          <w:rtl/>
        </w:rPr>
        <w:t xml:space="preserve">אבן עזרא שמות פרק </w:t>
      </w:r>
      <w:proofErr w:type="spellStart"/>
      <w:r>
        <w:rPr>
          <w:rtl/>
        </w:rPr>
        <w:t>כג</w:t>
      </w:r>
      <w:proofErr w:type="spellEnd"/>
      <w:r>
        <w:rPr>
          <w:rFonts w:hint="cs"/>
          <w:rtl/>
        </w:rPr>
        <w:t xml:space="preserve"> פסוק ה</w:t>
      </w:r>
      <w:r>
        <w:rPr>
          <w:rtl/>
        </w:rPr>
        <w:t xml:space="preserve"> </w:t>
      </w:r>
      <w:r w:rsidR="001C4040">
        <w:rPr>
          <w:rtl/>
        </w:rPr>
        <w:t>–</w:t>
      </w:r>
      <w:r w:rsidR="001C4040">
        <w:rPr>
          <w:rFonts w:hint="cs"/>
          <w:rtl/>
        </w:rPr>
        <w:t xml:space="preserve"> תעזוב את המשא</w:t>
      </w:r>
    </w:p>
    <w:p w14:paraId="2B6F707F" w14:textId="77777777" w:rsidR="00B50B45" w:rsidRDefault="00E15AA3" w:rsidP="00FD16B2">
      <w:pPr>
        <w:pStyle w:val="ac"/>
        <w:rPr>
          <w:rtl/>
        </w:rPr>
      </w:pPr>
      <w:r>
        <w:rPr>
          <w:rtl/>
        </w:rPr>
        <w:t>וחדלת כמו חדל לך (ד</w:t>
      </w:r>
      <w:r w:rsidR="00F21123">
        <w:rPr>
          <w:rFonts w:hint="cs"/>
          <w:rtl/>
        </w:rPr>
        <w:t xml:space="preserve">ברי הימים </w:t>
      </w:r>
      <w:r>
        <w:rPr>
          <w:rtl/>
        </w:rPr>
        <w:t xml:space="preserve">ב כה </w:t>
      </w:r>
      <w:proofErr w:type="spellStart"/>
      <w:r>
        <w:rPr>
          <w:rtl/>
        </w:rPr>
        <w:t>טז</w:t>
      </w:r>
      <w:proofErr w:type="spellEnd"/>
      <w:r>
        <w:rPr>
          <w:rtl/>
        </w:rPr>
        <w:t>) מעשות הדבר</w:t>
      </w:r>
      <w:r>
        <w:rPr>
          <w:rFonts w:hint="cs"/>
          <w:rtl/>
        </w:rPr>
        <w:t>.</w:t>
      </w:r>
      <w:r>
        <w:rPr>
          <w:rtl/>
        </w:rPr>
        <w:t xml:space="preserve"> וכן ושמרת (דבר</w:t>
      </w:r>
      <w:r>
        <w:rPr>
          <w:rFonts w:hint="cs"/>
          <w:rtl/>
        </w:rPr>
        <w:t>ים</w:t>
      </w:r>
      <w:r>
        <w:rPr>
          <w:rtl/>
        </w:rPr>
        <w:t xml:space="preserve"> </w:t>
      </w:r>
      <w:proofErr w:type="spellStart"/>
      <w:r>
        <w:rPr>
          <w:rtl/>
        </w:rPr>
        <w:t>יז</w:t>
      </w:r>
      <w:proofErr w:type="spellEnd"/>
      <w:r>
        <w:rPr>
          <w:rtl/>
        </w:rPr>
        <w:t xml:space="preserve"> י). והטעם, חדל שנעזוב הדבר לו לבדו. רק תתיר עמו הקשרים ותעזוב המשא </w:t>
      </w:r>
      <w:proofErr w:type="spellStart"/>
      <w:r>
        <w:rPr>
          <w:rtl/>
        </w:rPr>
        <w:t>ויפול</w:t>
      </w:r>
      <w:proofErr w:type="spellEnd"/>
      <w:r>
        <w:rPr>
          <w:rtl/>
        </w:rPr>
        <w:t xml:space="preserve"> מזה הצד ומזה הצד, ויקום החמור. ויש אומרים, כמו ויעזבו ירושלים (נחמי</w:t>
      </w:r>
      <w:r w:rsidR="00F21123">
        <w:rPr>
          <w:rFonts w:hint="cs"/>
          <w:rtl/>
        </w:rPr>
        <w:t>ה</w:t>
      </w:r>
      <w:r>
        <w:rPr>
          <w:rtl/>
        </w:rPr>
        <w:t xml:space="preserve"> ג, ה) לטעון המשא, בדרך רחוקה</w:t>
      </w:r>
      <w:r>
        <w:rPr>
          <w:rFonts w:hint="cs"/>
          <w:rtl/>
        </w:rPr>
        <w:t>.</w:t>
      </w:r>
      <w:r w:rsidR="00020A7D">
        <w:rPr>
          <w:rStyle w:val="a5"/>
          <w:rtl/>
        </w:rPr>
        <w:footnoteReference w:id="30"/>
      </w:r>
    </w:p>
    <w:p w14:paraId="6D3B92CC" w14:textId="406BF7AA" w:rsidR="00020A7D" w:rsidRDefault="00020A7D" w:rsidP="00984D3B">
      <w:pPr>
        <w:pStyle w:val="ab"/>
        <w:rPr>
          <w:rtl/>
          <w:lang w:val="he-IL"/>
        </w:rPr>
      </w:pPr>
      <w:r w:rsidRPr="002D6829">
        <w:rPr>
          <w:rtl/>
          <w:lang w:val="he-IL"/>
        </w:rPr>
        <w:t>כתר יונתן שמות</w:t>
      </w:r>
      <w:r w:rsidR="00304940">
        <w:rPr>
          <w:rFonts w:hint="cs"/>
          <w:rtl/>
          <w:lang w:val="he-IL"/>
        </w:rPr>
        <w:t xml:space="preserve"> </w:t>
      </w:r>
      <w:proofErr w:type="spellStart"/>
      <w:r w:rsidR="00304940">
        <w:rPr>
          <w:rFonts w:hint="cs"/>
          <w:rtl/>
          <w:lang w:val="he-IL"/>
        </w:rPr>
        <w:t>כג</w:t>
      </w:r>
      <w:proofErr w:type="spellEnd"/>
      <w:r w:rsidR="00304940">
        <w:rPr>
          <w:rFonts w:hint="cs"/>
          <w:rtl/>
          <w:lang w:val="he-IL"/>
        </w:rPr>
        <w:t xml:space="preserve"> ה</w:t>
      </w:r>
      <w:r w:rsidRPr="002D6829">
        <w:rPr>
          <w:rtl/>
          <w:lang w:val="he-IL"/>
        </w:rPr>
        <w:t xml:space="preserve"> פרשת משפטים </w:t>
      </w:r>
      <w:r w:rsidR="001C4040">
        <w:rPr>
          <w:rtl/>
          <w:lang w:val="he-IL"/>
        </w:rPr>
        <w:t>–</w:t>
      </w:r>
      <w:r w:rsidR="00304940">
        <w:rPr>
          <w:rFonts w:hint="cs"/>
          <w:rtl/>
          <w:lang w:val="he-IL"/>
        </w:rPr>
        <w:t xml:space="preserve"> </w:t>
      </w:r>
      <w:r w:rsidR="001C4040">
        <w:rPr>
          <w:rFonts w:hint="cs"/>
          <w:rtl/>
          <w:lang w:val="he-IL"/>
        </w:rPr>
        <w:t>עזוב את השנאה</w:t>
      </w:r>
    </w:p>
    <w:p w14:paraId="217B9412" w14:textId="77777777" w:rsidR="00020A7D" w:rsidRDefault="00020A7D" w:rsidP="00F21123">
      <w:pPr>
        <w:pStyle w:val="ac"/>
        <w:rPr>
          <w:rtl/>
          <w:lang w:val="he-IL"/>
        </w:rPr>
      </w:pPr>
      <w:r w:rsidRPr="002D6829">
        <w:rPr>
          <w:rtl/>
          <w:lang w:val="he-IL"/>
        </w:rPr>
        <w:t>אִם תִראה חמור של שׂונאך שאתה שׂונא לו</w:t>
      </w:r>
      <w:r w:rsidR="00984D3B">
        <w:rPr>
          <w:rFonts w:hint="cs"/>
          <w:rtl/>
          <w:lang w:val="he-IL"/>
        </w:rPr>
        <w:t>,</w:t>
      </w:r>
      <w:r w:rsidRPr="002D6829">
        <w:rPr>
          <w:rtl/>
          <w:lang w:val="he-IL"/>
        </w:rPr>
        <w:t xml:space="preserve"> על חטא שאתה יודע בו לבדך</w:t>
      </w:r>
      <w:r w:rsidR="00984D3B">
        <w:rPr>
          <w:rFonts w:hint="cs"/>
          <w:rtl/>
          <w:lang w:val="he-IL"/>
        </w:rPr>
        <w:t>,</w:t>
      </w:r>
      <w:r w:rsidRPr="002D6829">
        <w:rPr>
          <w:rtl/>
          <w:lang w:val="he-IL"/>
        </w:rPr>
        <w:t xml:space="preserve"> רובץ תחת משׂאו ותימנע לנפשך מלהתקרב לו</w:t>
      </w:r>
      <w:r w:rsidR="00984D3B">
        <w:rPr>
          <w:rFonts w:hint="cs"/>
          <w:rtl/>
          <w:lang w:val="he-IL"/>
        </w:rPr>
        <w:t>,</w:t>
      </w:r>
      <w:r w:rsidRPr="002D6829">
        <w:rPr>
          <w:rtl/>
          <w:lang w:val="he-IL"/>
        </w:rPr>
        <w:t xml:space="preserve"> עזוב תעזוב </w:t>
      </w:r>
      <w:proofErr w:type="spellStart"/>
      <w:r w:rsidRPr="002D6829">
        <w:rPr>
          <w:rtl/>
          <w:lang w:val="he-IL"/>
        </w:rPr>
        <w:t>בההיא</w:t>
      </w:r>
      <w:proofErr w:type="spellEnd"/>
      <w:r w:rsidRPr="002D6829">
        <w:rPr>
          <w:rtl/>
          <w:lang w:val="he-IL"/>
        </w:rPr>
        <w:t xml:space="preserve"> השעה את </w:t>
      </w:r>
      <w:proofErr w:type="spellStart"/>
      <w:r w:rsidRPr="002D6829">
        <w:rPr>
          <w:rtl/>
          <w:lang w:val="he-IL"/>
        </w:rPr>
        <w:t>השׂינאה</w:t>
      </w:r>
      <w:proofErr w:type="spellEnd"/>
      <w:r w:rsidRPr="002D6829">
        <w:rPr>
          <w:rtl/>
          <w:lang w:val="he-IL"/>
        </w:rPr>
        <w:t xml:space="preserve"> שבליבך עליו</w:t>
      </w:r>
      <w:r w:rsidR="00984D3B">
        <w:rPr>
          <w:rFonts w:hint="cs"/>
          <w:rtl/>
          <w:lang w:val="he-IL"/>
        </w:rPr>
        <w:t>,</w:t>
      </w:r>
      <w:r w:rsidRPr="002D6829">
        <w:rPr>
          <w:rtl/>
          <w:lang w:val="he-IL"/>
        </w:rPr>
        <w:t xml:space="preserve"> ותִפרוק ותִטען עִמו</w:t>
      </w:r>
      <w:r w:rsidR="00F21123">
        <w:rPr>
          <w:rFonts w:hint="cs"/>
          <w:rtl/>
          <w:lang w:val="he-IL"/>
        </w:rPr>
        <w:t>.</w:t>
      </w:r>
      <w:r w:rsidR="00F21123">
        <w:rPr>
          <w:rStyle w:val="a5"/>
          <w:rtl/>
          <w:lang w:val="he-IL"/>
        </w:rPr>
        <w:footnoteReference w:id="31"/>
      </w:r>
    </w:p>
    <w:p w14:paraId="1CEC490A" w14:textId="7220D874" w:rsidR="00BC0080" w:rsidRPr="00BC0080" w:rsidRDefault="00BC0080" w:rsidP="00BC0080">
      <w:pPr>
        <w:pStyle w:val="ab"/>
        <w:rPr>
          <w:rtl/>
          <w:lang w:val="he-IL"/>
        </w:rPr>
      </w:pPr>
      <w:r w:rsidRPr="00BC0080">
        <w:rPr>
          <w:rtl/>
          <w:lang w:val="he-IL"/>
        </w:rPr>
        <w:t xml:space="preserve">רמב"ן דברים פרק </w:t>
      </w:r>
      <w:proofErr w:type="spellStart"/>
      <w:r w:rsidRPr="00BC0080">
        <w:rPr>
          <w:rtl/>
          <w:lang w:val="he-IL"/>
        </w:rPr>
        <w:t>כב</w:t>
      </w:r>
      <w:proofErr w:type="spellEnd"/>
      <w:r w:rsidRPr="00BC0080">
        <w:rPr>
          <w:rtl/>
          <w:lang w:val="he-IL"/>
        </w:rPr>
        <w:t xml:space="preserve"> </w:t>
      </w:r>
      <w:r>
        <w:rPr>
          <w:rFonts w:hint="cs"/>
          <w:rtl/>
          <w:lang w:val="he-IL"/>
        </w:rPr>
        <w:t>פסוק ד</w:t>
      </w:r>
      <w:r w:rsidR="00304940">
        <w:rPr>
          <w:rFonts w:hint="cs"/>
          <w:rtl/>
          <w:lang w:val="he-IL"/>
        </w:rPr>
        <w:t xml:space="preserve"> </w:t>
      </w:r>
      <w:r w:rsidR="00985145">
        <w:rPr>
          <w:rtl/>
          <w:lang w:val="he-IL"/>
        </w:rPr>
        <w:t>–</w:t>
      </w:r>
      <w:r w:rsidR="00985145">
        <w:rPr>
          <w:rFonts w:hint="cs"/>
          <w:rtl/>
          <w:lang w:val="he-IL"/>
        </w:rPr>
        <w:t xml:space="preserve"> הביאור בספר דברים</w:t>
      </w:r>
    </w:p>
    <w:p w14:paraId="2FBAB796" w14:textId="77777777" w:rsidR="00BC0080" w:rsidRDefault="00BC0080" w:rsidP="007E57CD">
      <w:pPr>
        <w:pStyle w:val="ac"/>
        <w:rPr>
          <w:rtl/>
          <w:lang w:val="he-IL"/>
        </w:rPr>
      </w:pPr>
      <w:r w:rsidRPr="00BC0080">
        <w:rPr>
          <w:rtl/>
          <w:lang w:val="he-IL"/>
        </w:rPr>
        <w:t xml:space="preserve">והוסיף במצות הטעינה להזהיר עליה במצות לא תעשה, כי בתורה אמר (שמות </w:t>
      </w:r>
      <w:proofErr w:type="spellStart"/>
      <w:r w:rsidRPr="00BC0080">
        <w:rPr>
          <w:rtl/>
          <w:lang w:val="he-IL"/>
        </w:rPr>
        <w:t>כג</w:t>
      </w:r>
      <w:proofErr w:type="spellEnd"/>
      <w:r w:rsidRPr="00BC0080">
        <w:rPr>
          <w:rtl/>
          <w:lang w:val="he-IL"/>
        </w:rPr>
        <w:t xml:space="preserve"> ה) עזב </w:t>
      </w:r>
      <w:proofErr w:type="spellStart"/>
      <w:r w:rsidRPr="00BC0080">
        <w:rPr>
          <w:rtl/>
          <w:lang w:val="he-IL"/>
        </w:rPr>
        <w:t>תעזב</w:t>
      </w:r>
      <w:proofErr w:type="spellEnd"/>
      <w:r w:rsidRPr="00BC0080">
        <w:rPr>
          <w:rtl/>
          <w:lang w:val="he-IL"/>
        </w:rPr>
        <w:t xml:space="preserve"> עמו, מצות עשה. ועוד הוסיף "נופלים בדרך", כי שם אמר "רובץ תחת משאו", ולא הזכיר שם רק החמור שדרכו לטעון משוי גדול </w:t>
      </w:r>
      <w:proofErr w:type="spellStart"/>
      <w:r w:rsidRPr="00BC0080">
        <w:rPr>
          <w:rtl/>
          <w:lang w:val="he-IL"/>
        </w:rPr>
        <w:t>וירבץ</w:t>
      </w:r>
      <w:proofErr w:type="spellEnd"/>
      <w:r w:rsidRPr="00BC0080">
        <w:rPr>
          <w:rtl/>
          <w:lang w:val="he-IL"/>
        </w:rPr>
        <w:t xml:space="preserve"> תחתיו. ואמר </w:t>
      </w:r>
      <w:proofErr w:type="spellStart"/>
      <w:r w:rsidRPr="00BC0080">
        <w:rPr>
          <w:rtl/>
          <w:lang w:val="he-IL"/>
        </w:rPr>
        <w:t>בכאן</w:t>
      </w:r>
      <w:proofErr w:type="spellEnd"/>
      <w:r w:rsidRPr="00BC0080">
        <w:rPr>
          <w:rtl/>
          <w:lang w:val="he-IL"/>
        </w:rPr>
        <w:t xml:space="preserve"> "אחיך" ושם "אויבך" "ושונאך", </w:t>
      </w:r>
      <w:proofErr w:type="spellStart"/>
      <w:r w:rsidRPr="00BC0080">
        <w:rPr>
          <w:rtl/>
          <w:lang w:val="he-IL"/>
        </w:rPr>
        <w:t>לאמר</w:t>
      </w:r>
      <w:proofErr w:type="spellEnd"/>
      <w:r w:rsidRPr="00BC0080">
        <w:rPr>
          <w:rtl/>
          <w:lang w:val="he-IL"/>
        </w:rPr>
        <w:t xml:space="preserve"> תעשה עמו כן וזכור </w:t>
      </w:r>
      <w:proofErr w:type="spellStart"/>
      <w:r w:rsidRPr="00BC0080">
        <w:rPr>
          <w:rtl/>
          <w:lang w:val="he-IL"/>
        </w:rPr>
        <w:t>האחוה</w:t>
      </w:r>
      <w:proofErr w:type="spellEnd"/>
      <w:r w:rsidRPr="00BC0080">
        <w:rPr>
          <w:rtl/>
          <w:lang w:val="he-IL"/>
        </w:rPr>
        <w:t xml:space="preserve"> ותשכח השנאה</w:t>
      </w:r>
      <w:r w:rsidR="007E57CD">
        <w:rPr>
          <w:rFonts w:hint="cs"/>
          <w:rtl/>
          <w:lang w:val="he-IL"/>
        </w:rPr>
        <w:t>.</w:t>
      </w:r>
      <w:r w:rsidR="007E57CD">
        <w:rPr>
          <w:rStyle w:val="a5"/>
          <w:rtl/>
          <w:lang w:val="he-IL"/>
        </w:rPr>
        <w:footnoteReference w:id="32"/>
      </w:r>
    </w:p>
    <w:p w14:paraId="2921BCC0" w14:textId="49A84A83" w:rsidR="00456903" w:rsidRDefault="00456903" w:rsidP="00456903">
      <w:pPr>
        <w:spacing w:before="240" w:line="300" w:lineRule="atLeast"/>
        <w:rPr>
          <w:rFonts w:cs="Arial"/>
          <w:b/>
          <w:bCs/>
          <w:szCs w:val="24"/>
          <w:rtl/>
        </w:rPr>
      </w:pPr>
      <w:bookmarkStart w:id="0" w:name="_Hlk157760092"/>
      <w:r>
        <w:rPr>
          <w:rFonts w:cs="Arial"/>
          <w:b/>
          <w:bCs/>
          <w:szCs w:val="24"/>
          <w:rtl/>
        </w:rPr>
        <w:lastRenderedPageBreak/>
        <w:t xml:space="preserve">מדרש </w:t>
      </w:r>
      <w:proofErr w:type="spellStart"/>
      <w:r>
        <w:rPr>
          <w:rFonts w:cs="Arial"/>
          <w:b/>
          <w:bCs/>
          <w:szCs w:val="24"/>
          <w:rtl/>
        </w:rPr>
        <w:t>תנחומא</w:t>
      </w:r>
      <w:proofErr w:type="spellEnd"/>
      <w:r>
        <w:rPr>
          <w:rFonts w:cs="Arial"/>
          <w:b/>
          <w:bCs/>
          <w:szCs w:val="24"/>
          <w:rtl/>
        </w:rPr>
        <w:t xml:space="preserve"> פרשת משפטים סימן א</w:t>
      </w:r>
      <w:r w:rsidR="00304940">
        <w:rPr>
          <w:rFonts w:cs="Arial" w:hint="cs"/>
          <w:b/>
          <w:bCs/>
          <w:szCs w:val="24"/>
          <w:rtl/>
        </w:rPr>
        <w:t xml:space="preserve"> </w:t>
      </w:r>
      <w:r w:rsidR="00985145">
        <w:rPr>
          <w:rFonts w:cs="Arial"/>
          <w:b/>
          <w:bCs/>
          <w:szCs w:val="24"/>
          <w:rtl/>
        </w:rPr>
        <w:t>–</w:t>
      </w:r>
      <w:r w:rsidR="00985145">
        <w:rPr>
          <w:rFonts w:cs="Arial" w:hint="cs"/>
          <w:b/>
          <w:bCs/>
          <w:szCs w:val="24"/>
          <w:rtl/>
        </w:rPr>
        <w:t xml:space="preserve"> הבאת שלום בעולם</w:t>
      </w:r>
    </w:p>
    <w:p w14:paraId="0E52E1A0" w14:textId="77777777" w:rsidR="00456903" w:rsidRDefault="00456903" w:rsidP="007E57CD">
      <w:pPr>
        <w:pStyle w:val="ac"/>
        <w:rPr>
          <w:rtl/>
          <w:lang w:val="he-IL"/>
        </w:rPr>
      </w:pPr>
      <w:r>
        <w:rPr>
          <w:rtl/>
        </w:rPr>
        <w:t xml:space="preserve">"אתה כוננת מישרים משפט וצדקה ביעקב אתה עשית" (תהלים </w:t>
      </w:r>
      <w:proofErr w:type="spellStart"/>
      <w:r>
        <w:rPr>
          <w:rtl/>
        </w:rPr>
        <w:t>צט</w:t>
      </w:r>
      <w:proofErr w:type="spellEnd"/>
      <w:r>
        <w:rPr>
          <w:rtl/>
        </w:rPr>
        <w:t xml:space="preserve">) - כל העוז והשבח והגדולה והגבורה של מלך מלכי המלכים הוא משפט אהב ... מהו "אתה כוננת מישרים"? אמר רבי </w:t>
      </w:r>
      <w:proofErr w:type="spellStart"/>
      <w:r>
        <w:rPr>
          <w:rtl/>
        </w:rPr>
        <w:t>אלכסנדרי</w:t>
      </w:r>
      <w:proofErr w:type="spellEnd"/>
      <w:r>
        <w:rPr>
          <w:rtl/>
        </w:rPr>
        <w:t xml:space="preserve">: שני </w:t>
      </w:r>
      <w:proofErr w:type="spellStart"/>
      <w:r>
        <w:rPr>
          <w:rtl/>
        </w:rPr>
        <w:t>חמרים</w:t>
      </w:r>
      <w:proofErr w:type="spellEnd"/>
      <w:r>
        <w:rPr>
          <w:rtl/>
        </w:rPr>
        <w:t xml:space="preserve"> </w:t>
      </w:r>
      <w:proofErr w:type="spellStart"/>
      <w:r>
        <w:rPr>
          <w:rtl/>
        </w:rPr>
        <w:t>מהלכין</w:t>
      </w:r>
      <w:proofErr w:type="spellEnd"/>
      <w:r>
        <w:rPr>
          <w:rtl/>
        </w:rPr>
        <w:t xml:space="preserve"> בדרך </w:t>
      </w:r>
      <w:proofErr w:type="spellStart"/>
      <w:r>
        <w:rPr>
          <w:rtl/>
        </w:rPr>
        <w:t>שונאין</w:t>
      </w:r>
      <w:proofErr w:type="spellEnd"/>
      <w:r>
        <w:rPr>
          <w:rtl/>
        </w:rPr>
        <w:t xml:space="preserve"> זה לזה. רבץ לאחד מהן חמורו. </w:t>
      </w:r>
      <w:proofErr w:type="spellStart"/>
      <w:r>
        <w:rPr>
          <w:rtl/>
        </w:rPr>
        <w:t>חבירו</w:t>
      </w:r>
      <w:proofErr w:type="spellEnd"/>
      <w:r>
        <w:rPr>
          <w:rtl/>
        </w:rPr>
        <w:t xml:space="preserve"> עובר ורואהו שרבץ תחת משאו. אמר: לא כתיב בתורה </w:t>
      </w:r>
      <w:r>
        <w:rPr>
          <w:rFonts w:hint="cs"/>
          <w:rtl/>
        </w:rPr>
        <w:t>"</w:t>
      </w:r>
      <w:r>
        <w:rPr>
          <w:rtl/>
        </w:rPr>
        <w:t>כי תראה חמור שונאך וגו' עזוב תעזוב</w:t>
      </w:r>
      <w:r>
        <w:rPr>
          <w:rFonts w:hint="cs"/>
          <w:rtl/>
        </w:rPr>
        <w:t xml:space="preserve"> עמו"</w:t>
      </w:r>
      <w:r>
        <w:rPr>
          <w:rtl/>
        </w:rPr>
        <w:t xml:space="preserve"> (שמות </w:t>
      </w:r>
      <w:proofErr w:type="spellStart"/>
      <w:r>
        <w:rPr>
          <w:rtl/>
        </w:rPr>
        <w:t>כג</w:t>
      </w:r>
      <w:proofErr w:type="spellEnd"/>
      <w:r w:rsidR="007E57CD">
        <w:rPr>
          <w:rFonts w:hint="cs"/>
          <w:rtl/>
        </w:rPr>
        <w:t xml:space="preserve"> ה</w:t>
      </w:r>
      <w:r>
        <w:rPr>
          <w:rtl/>
        </w:rPr>
        <w:t>)</w:t>
      </w:r>
      <w:r w:rsidR="007E57CD">
        <w:rPr>
          <w:rtl/>
        </w:rPr>
        <w:t>?</w:t>
      </w:r>
      <w:r>
        <w:rPr>
          <w:rtl/>
        </w:rPr>
        <w:t xml:space="preserve"> מה עשה? חזר וטען </w:t>
      </w:r>
      <w:proofErr w:type="spellStart"/>
      <w:r>
        <w:rPr>
          <w:rtl/>
        </w:rPr>
        <w:t>ומלוהו</w:t>
      </w:r>
      <w:proofErr w:type="spellEnd"/>
      <w:r>
        <w:rPr>
          <w:rtl/>
        </w:rPr>
        <w:t xml:space="preserve">. התחיל מסיח עמו: עזוב </w:t>
      </w:r>
      <w:proofErr w:type="spellStart"/>
      <w:r>
        <w:rPr>
          <w:rtl/>
        </w:rPr>
        <w:t>קימעא</w:t>
      </w:r>
      <w:proofErr w:type="spellEnd"/>
      <w:r>
        <w:rPr>
          <w:rtl/>
        </w:rPr>
        <w:t xml:space="preserve"> מכאן, העל</w:t>
      </w:r>
      <w:r w:rsidR="007E57CD">
        <w:rPr>
          <w:rFonts w:hint="cs"/>
          <w:rtl/>
        </w:rPr>
        <w:t>י</w:t>
      </w:r>
      <w:r>
        <w:rPr>
          <w:rtl/>
        </w:rPr>
        <w:t>ת מכאן, ערוק מכאן, עד שיטעון עמו.</w:t>
      </w:r>
      <w:r w:rsidR="00417467">
        <w:rPr>
          <w:rStyle w:val="a5"/>
          <w:rtl/>
        </w:rPr>
        <w:footnoteReference w:id="33"/>
      </w:r>
      <w:r>
        <w:rPr>
          <w:rtl/>
        </w:rPr>
        <w:t xml:space="preserve"> נמצאו </w:t>
      </w:r>
      <w:proofErr w:type="spellStart"/>
      <w:r>
        <w:rPr>
          <w:rtl/>
        </w:rPr>
        <w:t>עושין</w:t>
      </w:r>
      <w:proofErr w:type="spellEnd"/>
      <w:r>
        <w:rPr>
          <w:rtl/>
        </w:rPr>
        <w:t xml:space="preserve"> שלום ביניהם. </w:t>
      </w:r>
      <w:proofErr w:type="spellStart"/>
      <w:r>
        <w:rPr>
          <w:rtl/>
        </w:rPr>
        <w:t>וחבירו</w:t>
      </w:r>
      <w:proofErr w:type="spellEnd"/>
      <w:r>
        <w:rPr>
          <w:rtl/>
        </w:rPr>
        <w:t xml:space="preserve"> אומר: לא הייתי סבור שהוא שונאי? ראה היאך ריחם עלי כשראה אותי ואת חמורי בדוחק. מתוך כך נכנסו לפונדק אכלו ושתו ביחד </w:t>
      </w:r>
      <w:proofErr w:type="spellStart"/>
      <w:r>
        <w:rPr>
          <w:rtl/>
        </w:rPr>
        <w:t>ונתאהבו</w:t>
      </w:r>
      <w:proofErr w:type="spellEnd"/>
      <w:r>
        <w:rPr>
          <w:rtl/>
        </w:rPr>
        <w:t xml:space="preserve"> זה לזה. הוי: "אתה כוננת מישרים משפט וצדקה ביעקב אתה עשית".</w:t>
      </w:r>
      <w:bookmarkEnd w:id="0"/>
      <w:r>
        <w:rPr>
          <w:rStyle w:val="a5"/>
          <w:rtl/>
        </w:rPr>
        <w:footnoteReference w:id="34"/>
      </w:r>
    </w:p>
    <w:p w14:paraId="1CA682BB" w14:textId="77777777" w:rsidR="009E20E9" w:rsidRDefault="007B7E7B" w:rsidP="00D8486E">
      <w:pPr>
        <w:pStyle w:val="ad"/>
        <w:spacing w:before="240"/>
        <w:rPr>
          <w:rtl/>
        </w:rPr>
      </w:pPr>
      <w:r w:rsidRPr="00BB154F">
        <w:rPr>
          <w:rtl/>
        </w:rPr>
        <w:t>שבת שלום</w:t>
      </w:r>
      <w:r w:rsidR="00037B49">
        <w:rPr>
          <w:rFonts w:hint="cs"/>
          <w:rtl/>
        </w:rPr>
        <w:t xml:space="preserve"> </w:t>
      </w:r>
    </w:p>
    <w:p w14:paraId="3AF1FDFA" w14:textId="77777777" w:rsidR="00163884" w:rsidRDefault="007B7E7B" w:rsidP="00556059">
      <w:pPr>
        <w:pStyle w:val="ad"/>
        <w:rPr>
          <w:rtl/>
        </w:rPr>
      </w:pPr>
      <w:r w:rsidRPr="00BB154F">
        <w:rPr>
          <w:rtl/>
        </w:rPr>
        <w:t>מחלקי המים</w:t>
      </w:r>
    </w:p>
    <w:p w14:paraId="70A92294" w14:textId="602B4740" w:rsidR="00626D18" w:rsidRDefault="00163884" w:rsidP="001C5228">
      <w:pPr>
        <w:pStyle w:val="ad"/>
        <w:spacing w:before="120" w:line="300" w:lineRule="atLeast"/>
        <w:rPr>
          <w:b w:val="0"/>
          <w:bCs w:val="0"/>
          <w:szCs w:val="22"/>
          <w:rtl/>
        </w:rPr>
      </w:pPr>
      <w:r w:rsidRPr="001C5228">
        <w:rPr>
          <w:rFonts w:hint="cs"/>
          <w:szCs w:val="22"/>
          <w:rtl/>
        </w:rPr>
        <w:t>מים אחרונים</w:t>
      </w:r>
      <w:r w:rsidR="00AA2140">
        <w:rPr>
          <w:rFonts w:hint="cs"/>
          <w:szCs w:val="22"/>
          <w:rtl/>
        </w:rPr>
        <w:t xml:space="preserve"> 1</w:t>
      </w:r>
      <w:r w:rsidRPr="001C5228">
        <w:rPr>
          <w:rFonts w:hint="cs"/>
          <w:szCs w:val="22"/>
          <w:rtl/>
        </w:rPr>
        <w:t>:</w:t>
      </w:r>
      <w:r w:rsidRPr="001C5228">
        <w:rPr>
          <w:rFonts w:hint="cs"/>
          <w:b w:val="0"/>
          <w:bCs w:val="0"/>
          <w:szCs w:val="22"/>
          <w:rtl/>
        </w:rPr>
        <w:t xml:space="preserve"> בהמשך למאמר הגמרא לעיל "</w:t>
      </w:r>
      <w:r w:rsidRPr="001C5228">
        <w:rPr>
          <w:b w:val="0"/>
          <w:bCs w:val="0"/>
          <w:szCs w:val="22"/>
          <w:rtl/>
        </w:rPr>
        <w:t xml:space="preserve">אוהב לפרוק ושונא לטעון - מצוה בשונא כדי </w:t>
      </w:r>
      <w:proofErr w:type="spellStart"/>
      <w:r w:rsidRPr="001C5228">
        <w:rPr>
          <w:b w:val="0"/>
          <w:bCs w:val="0"/>
          <w:szCs w:val="22"/>
          <w:rtl/>
        </w:rPr>
        <w:t>לָכוֹף</w:t>
      </w:r>
      <w:proofErr w:type="spellEnd"/>
      <w:r w:rsidRPr="001C5228">
        <w:rPr>
          <w:b w:val="0"/>
          <w:bCs w:val="0"/>
          <w:szCs w:val="22"/>
          <w:rtl/>
        </w:rPr>
        <w:t xml:space="preserve"> את יצרו</w:t>
      </w:r>
      <w:r w:rsidRPr="001C5228">
        <w:rPr>
          <w:rFonts w:hint="cs"/>
          <w:b w:val="0"/>
          <w:bCs w:val="0"/>
          <w:szCs w:val="22"/>
          <w:rtl/>
        </w:rPr>
        <w:t xml:space="preserve">", </w:t>
      </w:r>
      <w:r w:rsidR="004369A0">
        <w:rPr>
          <w:rFonts w:hint="cs"/>
          <w:b w:val="0"/>
          <w:bCs w:val="0"/>
          <w:szCs w:val="22"/>
          <w:rtl/>
        </w:rPr>
        <w:t>ראו</w:t>
      </w:r>
      <w:r w:rsidRPr="001C5228">
        <w:rPr>
          <w:rFonts w:hint="cs"/>
          <w:b w:val="0"/>
          <w:bCs w:val="0"/>
          <w:szCs w:val="22"/>
          <w:rtl/>
        </w:rPr>
        <w:t xml:space="preserve"> דברי</w:t>
      </w:r>
      <w:r w:rsidRPr="001C5228">
        <w:rPr>
          <w:b w:val="0"/>
          <w:bCs w:val="0"/>
          <w:szCs w:val="22"/>
          <w:rtl/>
        </w:rPr>
        <w:t xml:space="preserve"> תוספות פסחים </w:t>
      </w:r>
      <w:proofErr w:type="spellStart"/>
      <w:r w:rsidRPr="001C5228">
        <w:rPr>
          <w:b w:val="0"/>
          <w:bCs w:val="0"/>
          <w:szCs w:val="22"/>
          <w:rtl/>
        </w:rPr>
        <w:t>קיג</w:t>
      </w:r>
      <w:proofErr w:type="spellEnd"/>
      <w:r w:rsidRPr="001C5228">
        <w:rPr>
          <w:b w:val="0"/>
          <w:bCs w:val="0"/>
          <w:szCs w:val="22"/>
          <w:rtl/>
        </w:rPr>
        <w:t xml:space="preserve"> ע</w:t>
      </w:r>
      <w:r w:rsidRPr="001C5228">
        <w:rPr>
          <w:rFonts w:hint="cs"/>
          <w:b w:val="0"/>
          <w:bCs w:val="0"/>
          <w:szCs w:val="22"/>
          <w:rtl/>
        </w:rPr>
        <w:t>"ב ששואל שהרי יש מצווה לשנוא מי שעושה דבר ערוה ועליו מדובר בפסוק "חמור שונאך". ואם כך "</w:t>
      </w:r>
      <w:r w:rsidRPr="001C5228">
        <w:rPr>
          <w:b w:val="0"/>
          <w:bCs w:val="0"/>
          <w:szCs w:val="22"/>
          <w:rtl/>
        </w:rPr>
        <w:t xml:space="preserve">מה כפיית יצר שייך כיון </w:t>
      </w:r>
      <w:proofErr w:type="spellStart"/>
      <w:r w:rsidRPr="001C5228">
        <w:rPr>
          <w:b w:val="0"/>
          <w:bCs w:val="0"/>
          <w:szCs w:val="22"/>
          <w:rtl/>
        </w:rPr>
        <w:t>דמצוה</w:t>
      </w:r>
      <w:proofErr w:type="spellEnd"/>
      <w:r w:rsidRPr="001C5228">
        <w:rPr>
          <w:b w:val="0"/>
          <w:bCs w:val="0"/>
          <w:szCs w:val="22"/>
          <w:rtl/>
        </w:rPr>
        <w:t xml:space="preserve"> לשנאתו</w:t>
      </w:r>
      <w:r w:rsidRPr="001C5228">
        <w:rPr>
          <w:rFonts w:hint="cs"/>
          <w:b w:val="0"/>
          <w:bCs w:val="0"/>
          <w:szCs w:val="22"/>
          <w:rtl/>
        </w:rPr>
        <w:t>?"</w:t>
      </w:r>
      <w:r w:rsidR="008F09C3" w:rsidRPr="001C5228">
        <w:rPr>
          <w:rFonts w:hint="cs"/>
          <w:b w:val="0"/>
          <w:bCs w:val="0"/>
          <w:szCs w:val="22"/>
          <w:rtl/>
        </w:rPr>
        <w:t>.</w:t>
      </w:r>
      <w:r w:rsidRPr="001C5228">
        <w:rPr>
          <w:rFonts w:hint="cs"/>
          <w:b w:val="0"/>
          <w:bCs w:val="0"/>
          <w:szCs w:val="22"/>
          <w:rtl/>
        </w:rPr>
        <w:t xml:space="preserve"> והוא מסביר שם ששנאה כזו שהיא לכאורה לשם שמים, מתגלגלת מהר לשנאה גמורה "</w:t>
      </w:r>
      <w:r w:rsidRPr="001C5228">
        <w:rPr>
          <w:b w:val="0"/>
          <w:bCs w:val="0"/>
          <w:szCs w:val="22"/>
          <w:rtl/>
        </w:rPr>
        <w:t xml:space="preserve">כיון שהוא שונאו גם </w:t>
      </w:r>
      <w:proofErr w:type="spellStart"/>
      <w:r w:rsidRPr="001C5228">
        <w:rPr>
          <w:b w:val="0"/>
          <w:bCs w:val="0"/>
          <w:szCs w:val="22"/>
          <w:rtl/>
        </w:rPr>
        <w:t>חבירו</w:t>
      </w:r>
      <w:proofErr w:type="spellEnd"/>
      <w:r w:rsidRPr="001C5228">
        <w:rPr>
          <w:b w:val="0"/>
          <w:bCs w:val="0"/>
          <w:szCs w:val="22"/>
          <w:rtl/>
        </w:rPr>
        <w:t xml:space="preserve"> שונא אותו </w:t>
      </w:r>
      <w:proofErr w:type="spellStart"/>
      <w:r w:rsidRPr="001C5228">
        <w:rPr>
          <w:b w:val="0"/>
          <w:bCs w:val="0"/>
          <w:szCs w:val="22"/>
          <w:rtl/>
        </w:rPr>
        <w:t>דכתיב</w:t>
      </w:r>
      <w:proofErr w:type="spellEnd"/>
      <w:r w:rsidRPr="001C5228">
        <w:rPr>
          <w:b w:val="0"/>
          <w:bCs w:val="0"/>
          <w:szCs w:val="22"/>
          <w:rtl/>
        </w:rPr>
        <w:t xml:space="preserve"> (משלי </w:t>
      </w:r>
      <w:proofErr w:type="spellStart"/>
      <w:r w:rsidRPr="001C5228">
        <w:rPr>
          <w:b w:val="0"/>
          <w:bCs w:val="0"/>
          <w:szCs w:val="22"/>
          <w:rtl/>
        </w:rPr>
        <w:t>כז</w:t>
      </w:r>
      <w:proofErr w:type="spellEnd"/>
      <w:r w:rsidRPr="001C5228">
        <w:rPr>
          <w:b w:val="0"/>
          <w:bCs w:val="0"/>
          <w:szCs w:val="22"/>
          <w:rtl/>
        </w:rPr>
        <w:t>) כמים הפנים לפנים כן לב האדם לאדם ובאין מתוך כך לידי שנאה גמורה ושייך כפיית יצר</w:t>
      </w:r>
      <w:r w:rsidRPr="001C5228">
        <w:rPr>
          <w:rFonts w:hint="cs"/>
          <w:b w:val="0"/>
          <w:bCs w:val="0"/>
          <w:szCs w:val="22"/>
          <w:rtl/>
        </w:rPr>
        <w:t>"</w:t>
      </w:r>
      <w:r w:rsidRPr="001C5228">
        <w:rPr>
          <w:b w:val="0"/>
          <w:bCs w:val="0"/>
          <w:szCs w:val="22"/>
          <w:rtl/>
        </w:rPr>
        <w:t>.</w:t>
      </w:r>
      <w:r w:rsidRPr="001C5228">
        <w:rPr>
          <w:rFonts w:hint="cs"/>
          <w:b w:val="0"/>
          <w:bCs w:val="0"/>
          <w:szCs w:val="22"/>
          <w:rtl/>
        </w:rPr>
        <w:t xml:space="preserve"> גם שנאה כזו יש </w:t>
      </w:r>
      <w:proofErr w:type="spellStart"/>
      <w:r w:rsidRPr="001C5228">
        <w:rPr>
          <w:rFonts w:hint="cs"/>
          <w:b w:val="0"/>
          <w:bCs w:val="0"/>
          <w:szCs w:val="22"/>
          <w:rtl/>
        </w:rPr>
        <w:t>לכוף</w:t>
      </w:r>
      <w:proofErr w:type="spellEnd"/>
      <w:r w:rsidRPr="001C5228">
        <w:rPr>
          <w:rFonts w:hint="cs"/>
          <w:b w:val="0"/>
          <w:bCs w:val="0"/>
          <w:szCs w:val="22"/>
          <w:rtl/>
        </w:rPr>
        <w:t xml:space="preserve"> ואולי לא להתחיל בה כלל, שהרי מי הוא שיכול למצוא דבר ערוה בחברו שאין בו ולקיים בו "חמור שונאך".</w:t>
      </w:r>
      <w:r w:rsidR="00D3375B" w:rsidRPr="001C5228">
        <w:rPr>
          <w:rFonts w:hint="cs"/>
          <w:b w:val="0"/>
          <w:bCs w:val="0"/>
          <w:szCs w:val="22"/>
          <w:rtl/>
        </w:rPr>
        <w:t xml:space="preserve">  </w:t>
      </w:r>
    </w:p>
    <w:p w14:paraId="23A081E7" w14:textId="77777777" w:rsidR="00AA2140" w:rsidRPr="001C5228" w:rsidRDefault="00AA2140" w:rsidP="00D8486E">
      <w:pPr>
        <w:pStyle w:val="ad"/>
        <w:spacing w:before="120" w:line="300" w:lineRule="atLeast"/>
        <w:rPr>
          <w:b w:val="0"/>
          <w:bCs w:val="0"/>
          <w:szCs w:val="22"/>
          <w:rtl/>
        </w:rPr>
      </w:pPr>
      <w:r w:rsidRPr="00AA2140">
        <w:rPr>
          <w:rFonts w:hint="cs"/>
          <w:szCs w:val="22"/>
          <w:rtl/>
        </w:rPr>
        <w:t xml:space="preserve">מים אחרונים 2: </w:t>
      </w:r>
      <w:r>
        <w:rPr>
          <w:rFonts w:hint="cs"/>
          <w:b w:val="0"/>
          <w:bCs w:val="0"/>
          <w:szCs w:val="22"/>
          <w:rtl/>
        </w:rPr>
        <w:t xml:space="preserve">זו הזדמנות לשבח </w:t>
      </w:r>
      <w:r w:rsidR="00D8486E">
        <w:rPr>
          <w:rFonts w:hint="cs"/>
          <w:b w:val="0"/>
          <w:bCs w:val="0"/>
          <w:szCs w:val="22"/>
          <w:rtl/>
        </w:rPr>
        <w:t xml:space="preserve">עם </w:t>
      </w:r>
      <w:r>
        <w:rPr>
          <w:rFonts w:hint="cs"/>
          <w:b w:val="0"/>
          <w:bCs w:val="0"/>
          <w:szCs w:val="22"/>
          <w:rtl/>
        </w:rPr>
        <w:t xml:space="preserve">כל הלב את הארגון הנפלא שנקרא </w:t>
      </w:r>
      <w:hyperlink r:id="rId8" w:history="1">
        <w:r w:rsidRPr="00D8486E">
          <w:rPr>
            <w:rStyle w:val="Hyperlink"/>
            <w:rFonts w:hint="cs"/>
            <w:b w:val="0"/>
            <w:bCs w:val="0"/>
            <w:szCs w:val="22"/>
            <w:rtl/>
          </w:rPr>
          <w:t>ידידים</w:t>
        </w:r>
        <w:r w:rsidR="00D8486E" w:rsidRPr="00D8486E">
          <w:rPr>
            <w:rStyle w:val="Hyperlink"/>
            <w:rFonts w:hint="cs"/>
            <w:b w:val="0"/>
            <w:bCs w:val="0"/>
            <w:szCs w:val="22"/>
            <w:rtl/>
          </w:rPr>
          <w:t xml:space="preserve"> – סיוע בדרכים</w:t>
        </w:r>
      </w:hyperlink>
      <w:r>
        <w:rPr>
          <w:rFonts w:hint="cs"/>
          <w:b w:val="0"/>
          <w:bCs w:val="0"/>
          <w:szCs w:val="22"/>
          <w:rtl/>
        </w:rPr>
        <w:t xml:space="preserve"> שיוצא לעזרה לכל מי שנתקע בדרך</w:t>
      </w:r>
      <w:r w:rsidR="00D8486E">
        <w:rPr>
          <w:rFonts w:hint="cs"/>
          <w:b w:val="0"/>
          <w:bCs w:val="0"/>
          <w:szCs w:val="22"/>
          <w:rtl/>
        </w:rPr>
        <w:t xml:space="preserve"> בכל מקום בארץ</w:t>
      </w:r>
      <w:r>
        <w:rPr>
          <w:rFonts w:hint="cs"/>
          <w:b w:val="0"/>
          <w:bCs w:val="0"/>
          <w:szCs w:val="22"/>
          <w:rtl/>
        </w:rPr>
        <w:t xml:space="preserve"> והכל בהתנדבות ובאחווה מופלא</w:t>
      </w:r>
      <w:r w:rsidR="00D8486E">
        <w:rPr>
          <w:rFonts w:hint="cs"/>
          <w:b w:val="0"/>
          <w:bCs w:val="0"/>
          <w:szCs w:val="22"/>
          <w:rtl/>
        </w:rPr>
        <w:t>ים</w:t>
      </w:r>
      <w:r>
        <w:rPr>
          <w:rFonts w:hint="cs"/>
          <w:b w:val="0"/>
          <w:bCs w:val="0"/>
          <w:szCs w:val="22"/>
          <w:rtl/>
        </w:rPr>
        <w:t>.</w:t>
      </w:r>
    </w:p>
    <w:p w14:paraId="5FA43164" w14:textId="77777777" w:rsidR="008A5EF2" w:rsidRDefault="008A5EF2" w:rsidP="00556059">
      <w:pPr>
        <w:pStyle w:val="ad"/>
        <w:rPr>
          <w:rtl/>
        </w:rPr>
      </w:pPr>
    </w:p>
    <w:sectPr w:rsidR="008A5EF2" w:rsidSect="00CF6A80">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C6C4" w14:textId="77777777" w:rsidR="00CF6A80" w:rsidRDefault="00CF6A80">
      <w:r>
        <w:separator/>
      </w:r>
    </w:p>
  </w:endnote>
  <w:endnote w:type="continuationSeparator" w:id="0">
    <w:p w14:paraId="529E9BA2" w14:textId="77777777" w:rsidR="00CF6A80" w:rsidRDefault="00CF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7709" w14:textId="77777777" w:rsidR="00B50B45" w:rsidRPr="00F8747C" w:rsidRDefault="00B50B45" w:rsidP="00BB154F">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17467">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17467">
      <w:rPr>
        <w:rStyle w:val="af1"/>
        <w:noProof/>
        <w:rtl/>
      </w:rPr>
      <w:t>5</w:t>
    </w:r>
    <w:r w:rsidRPr="00F8747C">
      <w:rPr>
        <w:rStyle w:val="af1"/>
      </w:rPr>
      <w:fldChar w:fldCharType="end"/>
    </w:r>
  </w:p>
  <w:p w14:paraId="304A5083" w14:textId="77777777" w:rsidR="00B50B45" w:rsidRDefault="00B50B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64C2" w14:textId="77777777" w:rsidR="00CF6A80" w:rsidRDefault="00CF6A80">
      <w:r>
        <w:separator/>
      </w:r>
    </w:p>
  </w:footnote>
  <w:footnote w:type="continuationSeparator" w:id="0">
    <w:p w14:paraId="7381B15C" w14:textId="77777777" w:rsidR="00CF6A80" w:rsidRDefault="00CF6A80">
      <w:r>
        <w:continuationSeparator/>
      </w:r>
    </w:p>
  </w:footnote>
  <w:footnote w:id="1">
    <w:p w14:paraId="785F38E1" w14:textId="77777777" w:rsidR="00B50B45" w:rsidRDefault="00B50B45" w:rsidP="00BD3A1E">
      <w:pPr>
        <w:pStyle w:val="a3"/>
        <w:rPr>
          <w:rtl/>
        </w:rPr>
      </w:pPr>
      <w:r>
        <w:rPr>
          <w:rStyle w:val="a5"/>
        </w:rPr>
        <w:footnoteRef/>
      </w:r>
      <w:r>
        <w:rPr>
          <w:rtl/>
        </w:rPr>
        <w:t xml:space="preserve"> </w:t>
      </w:r>
      <w:r>
        <w:rPr>
          <w:rFonts w:hint="cs"/>
          <w:rtl/>
        </w:rPr>
        <w:t>ופסוק קודם, מצות השבת אבדה: "</w:t>
      </w:r>
      <w:r>
        <w:rPr>
          <w:rtl/>
        </w:rPr>
        <w:t xml:space="preserve">כִּי תִפְגַּע שׁוֹר אֹיִבְךָ אוֹ </w:t>
      </w:r>
      <w:proofErr w:type="spellStart"/>
      <w:r>
        <w:rPr>
          <w:rtl/>
        </w:rPr>
        <w:t>חֲמֹרו</w:t>
      </w:r>
      <w:proofErr w:type="spellEnd"/>
      <w:r>
        <w:rPr>
          <w:rtl/>
        </w:rPr>
        <w:t>ֹ תֹּעֶה הָשֵׁב תְּשִׁיבֶנּוּ לוֹ</w:t>
      </w:r>
      <w:r>
        <w:rPr>
          <w:rFonts w:hint="cs"/>
          <w:rtl/>
        </w:rPr>
        <w:t>". שתי מצוות אלה וודאי קשורות ודומות ולא בכדי נכתבו בסמיכות. ופשיטא שבשתיהן, "שור" ו"חמור" אינם אלא דוגמא וכמו שאומרת המשנה ב</w:t>
      </w:r>
      <w:r>
        <w:rPr>
          <w:rtl/>
        </w:rPr>
        <w:t>מסכת בבא קמא פרק ה משנה ז</w:t>
      </w:r>
      <w:r>
        <w:rPr>
          <w:rFonts w:hint="cs"/>
          <w:rtl/>
        </w:rPr>
        <w:t>: "</w:t>
      </w:r>
      <w:r>
        <w:rPr>
          <w:rtl/>
        </w:rPr>
        <w:t xml:space="preserve">אחד שור ואחד כל בהמה לנפילת הבור ולהפרשת הר סיני ולתשלומי כפל ולהשבת </w:t>
      </w:r>
      <w:proofErr w:type="spellStart"/>
      <w:r>
        <w:rPr>
          <w:rtl/>
        </w:rPr>
        <w:t>אבידה</w:t>
      </w:r>
      <w:proofErr w:type="spellEnd"/>
      <w:r>
        <w:rPr>
          <w:rtl/>
        </w:rPr>
        <w:t xml:space="preserve"> לפריקה לחסימה לכלאים ולשבת</w:t>
      </w:r>
      <w:r>
        <w:rPr>
          <w:rFonts w:hint="cs"/>
          <w:rtl/>
        </w:rPr>
        <w:t>.</w:t>
      </w:r>
      <w:r>
        <w:rPr>
          <w:rtl/>
        </w:rPr>
        <w:t xml:space="preserve"> וכן חיה ועוף כיוצא בהן</w:t>
      </w:r>
      <w:r>
        <w:rPr>
          <w:rFonts w:hint="cs"/>
          <w:rtl/>
        </w:rPr>
        <w:t>.</w:t>
      </w:r>
      <w:r>
        <w:rPr>
          <w:rtl/>
        </w:rPr>
        <w:t xml:space="preserve"> אם כן למה נאמר שור או חמור</w:t>
      </w:r>
      <w:r>
        <w:rPr>
          <w:rFonts w:hint="cs"/>
          <w:rtl/>
        </w:rPr>
        <w:t>?</w:t>
      </w:r>
      <w:r>
        <w:rPr>
          <w:rtl/>
        </w:rPr>
        <w:t xml:space="preserve"> אלא שד</w:t>
      </w:r>
      <w:r>
        <w:rPr>
          <w:rFonts w:hint="cs"/>
          <w:rtl/>
        </w:rPr>
        <w:t>י</w:t>
      </w:r>
      <w:r>
        <w:rPr>
          <w:rtl/>
        </w:rPr>
        <w:t>בר הכתוב בהווה</w:t>
      </w:r>
      <w:r>
        <w:rPr>
          <w:rFonts w:hint="cs"/>
          <w:rtl/>
        </w:rPr>
        <w:t>". וכ</w:t>
      </w:r>
      <w:r w:rsidR="00BD3A1E">
        <w:rPr>
          <w:rFonts w:hint="cs"/>
          <w:rtl/>
        </w:rPr>
        <w:t>ן מפרש</w:t>
      </w:r>
      <w:r>
        <w:rPr>
          <w:rFonts w:hint="cs"/>
          <w:rtl/>
        </w:rPr>
        <w:t xml:space="preserve"> </w:t>
      </w:r>
      <w:proofErr w:type="spellStart"/>
      <w:r>
        <w:rPr>
          <w:rFonts w:hint="cs"/>
          <w:rtl/>
        </w:rPr>
        <w:t>רשב"ם</w:t>
      </w:r>
      <w:proofErr w:type="spellEnd"/>
      <w:r>
        <w:rPr>
          <w:rFonts w:hint="cs"/>
          <w:rtl/>
        </w:rPr>
        <w:t xml:space="preserve"> על הפסוק: "חמור שונאך </w:t>
      </w:r>
      <w:r>
        <w:rPr>
          <w:rtl/>
        </w:rPr>
        <w:t>–</w:t>
      </w:r>
      <w:r>
        <w:rPr>
          <w:rFonts w:hint="cs"/>
          <w:rtl/>
        </w:rPr>
        <w:t xml:space="preserve"> דיבר בהווה". התורה מציינת את הדברים השכיחים והרגילים</w:t>
      </w:r>
      <w:r w:rsidR="000630DA">
        <w:rPr>
          <w:rFonts w:hint="cs"/>
          <w:rtl/>
        </w:rPr>
        <w:t xml:space="preserve"> ומהם תלמד לכל השאר</w:t>
      </w:r>
      <w:r>
        <w:rPr>
          <w:rFonts w:hint="cs"/>
          <w:rtl/>
        </w:rPr>
        <w:t xml:space="preserve">.  </w:t>
      </w:r>
    </w:p>
  </w:footnote>
  <w:footnote w:id="2">
    <w:p w14:paraId="78160BF7" w14:textId="6177BBA2" w:rsidR="00B50B45" w:rsidRDefault="00B50B45" w:rsidP="000630DA">
      <w:pPr>
        <w:pStyle w:val="a3"/>
        <w:rPr>
          <w:rtl/>
        </w:rPr>
      </w:pPr>
      <w:r>
        <w:rPr>
          <w:rStyle w:val="a5"/>
        </w:rPr>
        <w:footnoteRef/>
      </w:r>
      <w:r>
        <w:rPr>
          <w:rtl/>
        </w:rPr>
        <w:t xml:space="preserve"> </w:t>
      </w:r>
      <w:r>
        <w:rPr>
          <w:rFonts w:hint="cs"/>
          <w:rtl/>
        </w:rPr>
        <w:t xml:space="preserve">חזרו הדברים ונשנו </w:t>
      </w:r>
      <w:hyperlink r:id="rId1" w:anchor="gsc.tab=0" w:history="1">
        <w:r w:rsidRPr="00A9095B">
          <w:rPr>
            <w:rStyle w:val="Hyperlink"/>
            <w:rFonts w:hint="cs"/>
            <w:rtl/>
          </w:rPr>
          <w:t xml:space="preserve">בספר </w:t>
        </w:r>
        <w:r w:rsidR="00A9095B" w:rsidRPr="00A9095B">
          <w:rPr>
            <w:rStyle w:val="Hyperlink"/>
            <w:rFonts w:hint="cs"/>
            <w:rtl/>
          </w:rPr>
          <w:t xml:space="preserve">דברים </w:t>
        </w:r>
        <w:r w:rsidRPr="00A9095B">
          <w:rPr>
            <w:rStyle w:val="Hyperlink"/>
            <w:rFonts w:hint="cs"/>
            <w:rtl/>
          </w:rPr>
          <w:t>משנה תורה</w:t>
        </w:r>
      </w:hyperlink>
      <w:r>
        <w:rPr>
          <w:rFonts w:hint="cs"/>
          <w:rtl/>
        </w:rPr>
        <w:t xml:space="preserve">, בפרשת כי תצא. </w:t>
      </w:r>
      <w:r w:rsidR="000630DA">
        <w:rPr>
          <w:rFonts w:hint="cs"/>
          <w:rtl/>
        </w:rPr>
        <w:t xml:space="preserve">הלשון </w:t>
      </w:r>
      <w:r>
        <w:rPr>
          <w:rFonts w:hint="cs"/>
          <w:rtl/>
        </w:rPr>
        <w:t>בפרשתנו</w:t>
      </w:r>
      <w:r w:rsidR="000630DA">
        <w:rPr>
          <w:rFonts w:hint="cs"/>
          <w:rtl/>
        </w:rPr>
        <w:t xml:space="preserve"> היא</w:t>
      </w:r>
      <w:r>
        <w:rPr>
          <w:rFonts w:hint="cs"/>
          <w:rtl/>
        </w:rPr>
        <w:t>: "עזוב תעזוב" ו</w:t>
      </w:r>
      <w:r w:rsidR="000630DA">
        <w:rPr>
          <w:rFonts w:hint="cs"/>
          <w:rtl/>
        </w:rPr>
        <w:t xml:space="preserve">בספר </w:t>
      </w:r>
      <w:r>
        <w:rPr>
          <w:rFonts w:hint="cs"/>
          <w:rtl/>
        </w:rPr>
        <w:t>בדברים: "הקם תקים"</w:t>
      </w:r>
      <w:r w:rsidR="000630DA">
        <w:rPr>
          <w:rFonts w:hint="cs"/>
          <w:rtl/>
        </w:rPr>
        <w:t xml:space="preserve">. </w:t>
      </w:r>
      <w:r>
        <w:rPr>
          <w:rFonts w:hint="cs"/>
          <w:rtl/>
        </w:rPr>
        <w:t xml:space="preserve">חז"ל עומדים על הבדלים אלה ומבארים אותם: עזוב תעזוב </w:t>
      </w:r>
      <w:r>
        <w:rPr>
          <w:rtl/>
        </w:rPr>
        <w:t>–</w:t>
      </w:r>
      <w:r>
        <w:rPr>
          <w:rFonts w:hint="cs"/>
          <w:rtl/>
        </w:rPr>
        <w:t xml:space="preserve"> לפריקה, הקם תקים - לטעינה. וגם דורשים את "והתעלמת" באופן שיש מקרים שבהם האדם פטור מהצורך להגיש עזרה</w:t>
      </w:r>
      <w:r w:rsidR="000630DA">
        <w:rPr>
          <w:rFonts w:hint="cs"/>
          <w:rtl/>
        </w:rPr>
        <w:t>, כפי שנראה להלן</w:t>
      </w:r>
      <w:r>
        <w:rPr>
          <w:rFonts w:hint="cs"/>
          <w:rtl/>
        </w:rPr>
        <w:t>.</w:t>
      </w:r>
    </w:p>
  </w:footnote>
  <w:footnote w:id="3">
    <w:p w14:paraId="00D6093B" w14:textId="6DBA1AF7" w:rsidR="00B50B45" w:rsidRDefault="00B50B45" w:rsidP="00BD3A1E">
      <w:pPr>
        <w:pStyle w:val="a3"/>
        <w:rPr>
          <w:rtl/>
        </w:rPr>
      </w:pPr>
      <w:r>
        <w:rPr>
          <w:rStyle w:val="a5"/>
        </w:rPr>
        <w:footnoteRef/>
      </w:r>
      <w:r>
        <w:rPr>
          <w:rtl/>
        </w:rPr>
        <w:t xml:space="preserve"> </w:t>
      </w:r>
      <w:r>
        <w:rPr>
          <w:rFonts w:hint="cs"/>
          <w:rtl/>
        </w:rPr>
        <w:t xml:space="preserve">משנה קודם קובעת, לגבי השבת אבדה: "החזירה וברחה, החזירה וברחה, אפילו ארבעה וחמישה פעמים </w:t>
      </w:r>
      <w:r>
        <w:rPr>
          <w:rtl/>
        </w:rPr>
        <w:t>–</w:t>
      </w:r>
      <w:r>
        <w:rPr>
          <w:rFonts w:hint="cs"/>
          <w:rtl/>
        </w:rPr>
        <w:t xml:space="preserve"> חייב להחזירה, שנאמר: השב תשיבם". עד כמה? משמע בגמרא שם (בבא מציעא לא ע"א), עד שיביא את האבדה למקום שמור. ומה הגבול כאן? עד שהחמור יתייצב ויוכל להמשיך בדרכו? ומה עם המטען העודף אם יש כזה? מן הסתם, אין זו אחריות </w:t>
      </w:r>
      <w:r w:rsidR="000630DA">
        <w:rPr>
          <w:rFonts w:hint="cs"/>
          <w:rtl/>
        </w:rPr>
        <w:t xml:space="preserve">של </w:t>
      </w:r>
      <w:r>
        <w:rPr>
          <w:rFonts w:hint="cs"/>
          <w:rtl/>
        </w:rPr>
        <w:t xml:space="preserve">מי שבא לסייע. </w:t>
      </w:r>
      <w:r w:rsidR="004369A0">
        <w:rPr>
          <w:rFonts w:hint="cs"/>
          <w:rtl/>
        </w:rPr>
        <w:t>ראו</w:t>
      </w:r>
      <w:r>
        <w:rPr>
          <w:rFonts w:hint="cs"/>
          <w:rtl/>
        </w:rPr>
        <w:t xml:space="preserve"> גם ב</w:t>
      </w:r>
      <w:r>
        <w:rPr>
          <w:rtl/>
        </w:rPr>
        <w:t xml:space="preserve">ירושלמי בבא מציעא ב </w:t>
      </w:r>
      <w:r>
        <w:rPr>
          <w:rFonts w:hint="cs"/>
          <w:rtl/>
        </w:rPr>
        <w:t>י שמבחין בין חמור "רבצן" ובין חמור שנאנס מכובד המשקל. ועכ"פ, הרי לנו עוד דוגמא לקרבה בין מצוות פריקה וטעינה ובין השבת אבדה. ו</w:t>
      </w:r>
      <w:r w:rsidR="004369A0">
        <w:rPr>
          <w:rFonts w:hint="cs"/>
          <w:rtl/>
        </w:rPr>
        <w:t>ראו</w:t>
      </w:r>
      <w:r>
        <w:rPr>
          <w:rFonts w:hint="cs"/>
          <w:rtl/>
        </w:rPr>
        <w:t xml:space="preserve"> בגמרא שם גם "שלח תשלח", "הוכח תוכיח" ועוד </w:t>
      </w:r>
      <w:r w:rsidR="00BD3A1E">
        <w:rPr>
          <w:rFonts w:hint="cs"/>
          <w:rtl/>
        </w:rPr>
        <w:t>מצוות שיש לקיימן "</w:t>
      </w:r>
      <w:r>
        <w:rPr>
          <w:rFonts w:hint="cs"/>
          <w:rtl/>
        </w:rPr>
        <w:t>אפילו מאה פעמים</w:t>
      </w:r>
      <w:r w:rsidR="00BD3A1E">
        <w:rPr>
          <w:rFonts w:hint="cs"/>
          <w:rtl/>
        </w:rPr>
        <w:t>"</w:t>
      </w:r>
      <w:r>
        <w:rPr>
          <w:rFonts w:hint="cs"/>
          <w:rtl/>
        </w:rPr>
        <w:t xml:space="preserve">. </w:t>
      </w:r>
    </w:p>
  </w:footnote>
  <w:footnote w:id="4">
    <w:p w14:paraId="2E2CD1B6" w14:textId="77777777" w:rsidR="00B50B45" w:rsidRDefault="00B50B45" w:rsidP="00C378B6">
      <w:pPr>
        <w:pStyle w:val="a3"/>
        <w:rPr>
          <w:rtl/>
        </w:rPr>
      </w:pPr>
      <w:r>
        <w:rPr>
          <w:rStyle w:val="a5"/>
        </w:rPr>
        <w:footnoteRef/>
      </w:r>
      <w:r>
        <w:rPr>
          <w:rtl/>
        </w:rPr>
        <w:t xml:space="preserve"> </w:t>
      </w:r>
      <w:r w:rsidR="00BD3A1E">
        <w:rPr>
          <w:rFonts w:hint="cs"/>
          <w:rtl/>
        </w:rPr>
        <w:t xml:space="preserve">המסייע ביחד עם המסתייע. אמנם, </w:t>
      </w:r>
      <w:r>
        <w:rPr>
          <w:rFonts w:hint="cs"/>
          <w:rtl/>
        </w:rPr>
        <w:t xml:space="preserve">אין זה פוטר את האדם מלסייע בהקלת המטען </w:t>
      </w:r>
      <w:r w:rsidR="00BD3A1E">
        <w:rPr>
          <w:rFonts w:hint="cs"/>
          <w:rtl/>
        </w:rPr>
        <w:t>או</w:t>
      </w:r>
      <w:r>
        <w:rPr>
          <w:rFonts w:hint="cs"/>
          <w:rtl/>
        </w:rPr>
        <w:t xml:space="preserve"> בהעמסתו מחדש, במקרה שהחמור נמצא ללא בעלים לידו, כפי ש</w:t>
      </w:r>
      <w:r w:rsidR="00E04037">
        <w:rPr>
          <w:rFonts w:hint="cs"/>
          <w:rtl/>
        </w:rPr>
        <w:t xml:space="preserve">נראה להלן בגמרא בבא </w:t>
      </w:r>
      <w:r>
        <w:rPr>
          <w:rFonts w:hint="cs"/>
          <w:rtl/>
        </w:rPr>
        <w:t xml:space="preserve">מציעא לא ע"א): </w:t>
      </w:r>
      <w:r>
        <w:rPr>
          <w:rFonts w:hint="cs"/>
          <w:rtl/>
          <w:lang w:eastAsia="en-US"/>
        </w:rPr>
        <w:t xml:space="preserve">"עזוב תעזוב עמו - </w:t>
      </w:r>
      <w:r w:rsidRPr="00B43774">
        <w:rPr>
          <w:rtl/>
          <w:lang w:eastAsia="en-US"/>
        </w:rPr>
        <w:t>אין לי אלא בעליו עמו, שאין בעליו עמו מנין? תלמוד לומר</w:t>
      </w:r>
      <w:r>
        <w:rPr>
          <w:rFonts w:hint="cs"/>
          <w:rtl/>
          <w:lang w:eastAsia="en-US"/>
        </w:rPr>
        <w:t>:</w:t>
      </w:r>
      <w:r w:rsidRPr="00B43774">
        <w:rPr>
          <w:rtl/>
          <w:lang w:eastAsia="en-US"/>
        </w:rPr>
        <w:t xml:space="preserve"> עז</w:t>
      </w:r>
      <w:r>
        <w:rPr>
          <w:rFonts w:hint="cs"/>
          <w:rtl/>
          <w:lang w:eastAsia="en-US"/>
        </w:rPr>
        <w:t>ו</w:t>
      </w:r>
      <w:r w:rsidRPr="00B43774">
        <w:rPr>
          <w:rtl/>
          <w:lang w:eastAsia="en-US"/>
        </w:rPr>
        <w:t>ב תעז</w:t>
      </w:r>
      <w:r>
        <w:rPr>
          <w:rFonts w:hint="cs"/>
          <w:rtl/>
          <w:lang w:eastAsia="en-US"/>
        </w:rPr>
        <w:t>ו</w:t>
      </w:r>
      <w:r w:rsidRPr="00B43774">
        <w:rPr>
          <w:rtl/>
          <w:lang w:eastAsia="en-US"/>
        </w:rPr>
        <w:t>ב, מכל מקום</w:t>
      </w:r>
      <w:r w:rsidR="00E04037">
        <w:rPr>
          <w:rFonts w:hint="cs"/>
          <w:rtl/>
          <w:lang w:eastAsia="en-US"/>
        </w:rPr>
        <w:t xml:space="preserve">", אבל כתוב גם "עמו" כנגד המקרה </w:t>
      </w:r>
      <w:r>
        <w:rPr>
          <w:rFonts w:hint="cs"/>
          <w:rtl/>
          <w:lang w:eastAsia="en-US"/>
        </w:rPr>
        <w:t>שהבעלים מתחכם לו ויושב בצד "ומזכה" את העוברים ושבים במצוות. האם ניתן ללמוד מכאן כלל גם לגבי מצוות אחרות שבין אדם לחברו</w:t>
      </w:r>
      <w:r w:rsidR="00C378B6" w:rsidRPr="00C378B6">
        <w:rPr>
          <w:rFonts w:hint="cs"/>
          <w:rtl/>
          <w:lang w:eastAsia="en-US"/>
        </w:rPr>
        <w:t xml:space="preserve"> </w:t>
      </w:r>
      <w:r w:rsidR="00C378B6">
        <w:rPr>
          <w:rFonts w:hint="cs"/>
          <w:rtl/>
          <w:lang w:eastAsia="en-US"/>
        </w:rPr>
        <w:t>שרק אם המסתייע מסייע</w:t>
      </w:r>
      <w:r w:rsidR="000630DA">
        <w:rPr>
          <w:rFonts w:hint="cs"/>
          <w:rtl/>
          <w:lang w:eastAsia="en-US"/>
        </w:rPr>
        <w:t xml:space="preserve">, </w:t>
      </w:r>
      <w:r w:rsidR="00C378B6">
        <w:rPr>
          <w:rFonts w:hint="cs"/>
          <w:rtl/>
          <w:lang w:eastAsia="en-US"/>
        </w:rPr>
        <w:t xml:space="preserve">כגון בצדקה שאדם נופל על הציבור ולא עושה מאמץ להתפרנס בעצמו? </w:t>
      </w:r>
      <w:r>
        <w:rPr>
          <w:rFonts w:hint="cs"/>
          <w:rtl/>
        </w:rPr>
        <w:t xml:space="preserve">עוד נראה לומר שסיוע לקשור דברים שנופלים מהחמור, ואין בעליו עמו, מה שנקרא "הקם תקים", הוא </w:t>
      </w:r>
      <w:r w:rsidR="00DE061E">
        <w:rPr>
          <w:rFonts w:hint="cs"/>
          <w:rtl/>
        </w:rPr>
        <w:t xml:space="preserve">גם </w:t>
      </w:r>
      <w:r w:rsidR="00C378B6">
        <w:rPr>
          <w:rFonts w:hint="cs"/>
          <w:rtl/>
        </w:rPr>
        <w:t xml:space="preserve">בגדר </w:t>
      </w:r>
      <w:r>
        <w:rPr>
          <w:rFonts w:hint="cs"/>
          <w:rtl/>
        </w:rPr>
        <w:t xml:space="preserve">השבת אבדה. וצריך עיון. </w:t>
      </w:r>
    </w:p>
  </w:footnote>
  <w:footnote w:id="5">
    <w:p w14:paraId="0875EC38" w14:textId="77777777" w:rsidR="00B50B45" w:rsidRDefault="00B50B45" w:rsidP="00475531">
      <w:pPr>
        <w:pStyle w:val="a3"/>
      </w:pPr>
      <w:r>
        <w:rPr>
          <w:rStyle w:val="a5"/>
        </w:rPr>
        <w:footnoteRef/>
      </w:r>
      <w:r>
        <w:rPr>
          <w:rtl/>
        </w:rPr>
        <w:t xml:space="preserve"> </w:t>
      </w:r>
      <w:r>
        <w:rPr>
          <w:rFonts w:hint="cs"/>
          <w:rtl/>
        </w:rPr>
        <w:t xml:space="preserve">את הקטע הזה במשנה מסבירה הגמרא ע"י הוספת המילה "בחינם" - </w:t>
      </w:r>
      <w:r>
        <w:rPr>
          <w:rtl/>
        </w:rPr>
        <w:t xml:space="preserve">מצוה מן התורה לפרוק </w:t>
      </w:r>
      <w:r>
        <w:rPr>
          <w:rFonts w:hint="cs"/>
          <w:rtl/>
        </w:rPr>
        <w:t xml:space="preserve">בחינם, </w:t>
      </w:r>
      <w:r>
        <w:rPr>
          <w:rtl/>
        </w:rPr>
        <w:t>אבל לא לטעון</w:t>
      </w:r>
      <w:r>
        <w:rPr>
          <w:rFonts w:hint="cs"/>
          <w:rtl/>
        </w:rPr>
        <w:t xml:space="preserve"> בחינם, כפי שמסבירה הגמרא שנראה להלן.</w:t>
      </w:r>
    </w:p>
  </w:footnote>
  <w:footnote w:id="6">
    <w:p w14:paraId="2EF3C8B2" w14:textId="77777777" w:rsidR="00B50B45" w:rsidRDefault="00B50B45">
      <w:pPr>
        <w:pStyle w:val="a3"/>
      </w:pPr>
      <w:r>
        <w:rPr>
          <w:rStyle w:val="a5"/>
        </w:rPr>
        <w:footnoteRef/>
      </w:r>
      <w:r>
        <w:rPr>
          <w:rtl/>
        </w:rPr>
        <w:t xml:space="preserve"> </w:t>
      </w:r>
      <w:r>
        <w:rPr>
          <w:rFonts w:hint="cs"/>
          <w:rtl/>
        </w:rPr>
        <w:t>בחינם.</w:t>
      </w:r>
    </w:p>
  </w:footnote>
  <w:footnote w:id="7">
    <w:p w14:paraId="5967142A" w14:textId="77777777" w:rsidR="00B50B45" w:rsidRDefault="00B50B45" w:rsidP="00DE061E">
      <w:pPr>
        <w:pStyle w:val="a3"/>
        <w:rPr>
          <w:rtl/>
        </w:rPr>
      </w:pPr>
      <w:r>
        <w:rPr>
          <w:rStyle w:val="a5"/>
        </w:rPr>
        <w:footnoteRef/>
      </w:r>
      <w:r>
        <w:rPr>
          <w:rtl/>
        </w:rPr>
        <w:t xml:space="preserve"> </w:t>
      </w:r>
      <w:r>
        <w:rPr>
          <w:rFonts w:hint="cs"/>
          <w:rtl/>
        </w:rPr>
        <w:t xml:space="preserve">נראה שחזרנו לטעם לעיל, שאחריות המסייע מוגבלת ואי אפשר לדרוש ממנו יתר על מה שהבעלים אחראי ואם הבעלים העמיסו על החמור (על המשאית) משא יתר, אין האחר אחראי על כך. מה גם שצריך לא רק לפרוק, אלא גם לחזור ולטעון. והיכן יעמיסו את המטען החורג? אלא שזו שיטתו של ר' יוסי הגלילי וחכמים חולקים עליו. למה? כי לצד ההתחשבנות עם האדם (הבעלים של החמור), יש גם את החשבון של החמור! אם הבעלים חטאו, החמור במה חטא? וזה יביא אותנו לנושא של צער בעלי חיים שנראה להלן. ובימינו, אפשר שחכמים יודו </w:t>
      </w:r>
      <w:proofErr w:type="spellStart"/>
      <w:r>
        <w:rPr>
          <w:rFonts w:hint="cs"/>
          <w:rtl/>
        </w:rPr>
        <w:t>לר</w:t>
      </w:r>
      <w:proofErr w:type="spellEnd"/>
      <w:r>
        <w:rPr>
          <w:rFonts w:hint="cs"/>
          <w:rtl/>
        </w:rPr>
        <w:t>' יוסי הגלילי לגבי העמסת יתר על משאית. זו פשיעה של הבעלים</w:t>
      </w:r>
      <w:r w:rsidR="00DE061E">
        <w:rPr>
          <w:rFonts w:hint="cs"/>
          <w:rtl/>
        </w:rPr>
        <w:t>,</w:t>
      </w:r>
      <w:r>
        <w:rPr>
          <w:rFonts w:hint="cs"/>
          <w:rtl/>
        </w:rPr>
        <w:t xml:space="preserve"> ו</w:t>
      </w:r>
      <w:r w:rsidR="00DE061E">
        <w:rPr>
          <w:rFonts w:hint="cs"/>
          <w:rtl/>
        </w:rPr>
        <w:t xml:space="preserve">האחר, </w:t>
      </w:r>
      <w:r>
        <w:rPr>
          <w:rFonts w:hint="cs"/>
          <w:rtl/>
        </w:rPr>
        <w:t xml:space="preserve">הציבור, אינו מחויב לסייע במקרה כזה. בוודאי לא לסכן עצמו בעצירה בשולי הכביש בשל חברה או נהג שהעמיסו על משאית בניגוד לכללים. </w:t>
      </w:r>
    </w:p>
  </w:footnote>
  <w:footnote w:id="8">
    <w:p w14:paraId="627D79FE" w14:textId="77777777" w:rsidR="00B50B45" w:rsidRDefault="00B50B45" w:rsidP="0049360A">
      <w:pPr>
        <w:pStyle w:val="a3"/>
        <w:rPr>
          <w:rtl/>
        </w:rPr>
      </w:pPr>
      <w:r>
        <w:rPr>
          <w:rStyle w:val="a5"/>
        </w:rPr>
        <w:footnoteRef/>
      </w:r>
      <w:r>
        <w:rPr>
          <w:rtl/>
        </w:rPr>
        <w:t xml:space="preserve"> </w:t>
      </w:r>
      <w:r>
        <w:rPr>
          <w:rFonts w:hint="cs"/>
          <w:rtl/>
        </w:rPr>
        <w:t>דיני מצוות פריקה וטעינה נדונים בגמרא בבא מציעא דפים לא-לג, בקטעים, ואנו נביא רק כמה ציטוטים ובדילוגים.</w:t>
      </w:r>
    </w:p>
  </w:footnote>
  <w:footnote w:id="9">
    <w:p w14:paraId="02BDE8A2" w14:textId="74D15C63" w:rsidR="00C378B6" w:rsidRDefault="00C378B6" w:rsidP="00A9329A">
      <w:pPr>
        <w:pStyle w:val="a3"/>
        <w:rPr>
          <w:rtl/>
        </w:rPr>
      </w:pPr>
      <w:r>
        <w:rPr>
          <w:rStyle w:val="a5"/>
        </w:rPr>
        <w:footnoteRef/>
      </w:r>
      <w:r>
        <w:rPr>
          <w:rtl/>
        </w:rPr>
        <w:t xml:space="preserve"> </w:t>
      </w:r>
      <w:r>
        <w:rPr>
          <w:rFonts w:hint="cs"/>
          <w:rtl/>
        </w:rPr>
        <w:t xml:space="preserve">הוא הדין שכבר הזכרנו בהערה 4 לעיל. כאן </w:t>
      </w:r>
      <w:r w:rsidR="00A9329A">
        <w:rPr>
          <w:rFonts w:hint="cs"/>
          <w:rtl/>
        </w:rPr>
        <w:t xml:space="preserve">מקבל </w:t>
      </w:r>
      <w:r>
        <w:rPr>
          <w:rFonts w:hint="cs"/>
          <w:rtl/>
        </w:rPr>
        <w:t>"עמו" משמעות חברתית כללית, גם אם הבעלים לא נוכח (הבהמה נשמטה ממנו, הוא הלך להזעיק עזרה וכו'), בשבילך הוא נוכח. כמו שהתורה אומרת במצוות צדקה "את העני עמך", היינו חלק ממך ומעמך ולאו דווקא נוכח פיסית. והדרשה במשנה לעיל כנגד מי שמצוי "עמך" ומתחכם, תידרש אף היא ואין סתירה. ונראה עוד, שגם ר' ישמעאל שבד"כ לא דורש כפילויות מילה</w:t>
      </w:r>
      <w:r w:rsidR="00F55A28">
        <w:rPr>
          <w:rFonts w:hint="cs"/>
          <w:rtl/>
        </w:rPr>
        <w:t xml:space="preserve"> ואומר: </w:t>
      </w:r>
      <w:r w:rsidR="001E4F87">
        <w:rPr>
          <w:rFonts w:hint="cs"/>
          <w:rtl/>
        </w:rPr>
        <w:t xml:space="preserve">הענק תעניק, </w:t>
      </w:r>
      <w:r w:rsidR="00F55A28">
        <w:rPr>
          <w:rFonts w:hint="cs"/>
          <w:rtl/>
        </w:rPr>
        <w:t xml:space="preserve">נזיר </w:t>
      </w:r>
      <w:proofErr w:type="spellStart"/>
      <w:r w:rsidR="00F55A28">
        <w:rPr>
          <w:rFonts w:hint="cs"/>
          <w:rtl/>
        </w:rPr>
        <w:t>להזיר</w:t>
      </w:r>
      <w:proofErr w:type="spellEnd"/>
      <w:r w:rsidR="00F55A28">
        <w:rPr>
          <w:rFonts w:hint="cs"/>
          <w:rtl/>
        </w:rPr>
        <w:t xml:space="preserve">, הישבע שבועה, </w:t>
      </w:r>
      <w:proofErr w:type="spellStart"/>
      <w:r w:rsidR="00F55A28">
        <w:rPr>
          <w:rFonts w:hint="cs"/>
          <w:rtl/>
        </w:rPr>
        <w:t>נכסוף</w:t>
      </w:r>
      <w:proofErr w:type="spellEnd"/>
      <w:r w:rsidR="00F55A28">
        <w:rPr>
          <w:rFonts w:hint="cs"/>
          <w:rtl/>
        </w:rPr>
        <w:t xml:space="preserve"> נכספת וכו' </w:t>
      </w:r>
      <w:r w:rsidR="00F55A28">
        <w:rPr>
          <w:rtl/>
        </w:rPr>
        <w:t>–</w:t>
      </w:r>
      <w:r w:rsidR="00F55A28">
        <w:rPr>
          <w:rFonts w:hint="cs"/>
          <w:rtl/>
        </w:rPr>
        <w:t xml:space="preserve"> דברה התורה כדרכה, יודה במקרה זה לדרשה על כפל המילים "עזוב תעזוב". </w:t>
      </w:r>
      <w:r w:rsidR="004369A0">
        <w:rPr>
          <w:rFonts w:hint="cs"/>
          <w:rtl/>
        </w:rPr>
        <w:t>ראו</w:t>
      </w:r>
      <w:r w:rsidR="00F55A28">
        <w:rPr>
          <w:rFonts w:hint="cs"/>
          <w:rtl/>
        </w:rPr>
        <w:t xml:space="preserve"> דברינו </w:t>
      </w:r>
      <w:hyperlink r:id="rId2" w:history="1">
        <w:r w:rsidR="00F55A28" w:rsidRPr="00F55A28">
          <w:rPr>
            <w:rStyle w:val="Hyperlink"/>
            <w:rFonts w:hint="cs"/>
            <w:rtl/>
          </w:rPr>
          <w:t>דברה תורה כלשון בני אדם</w:t>
        </w:r>
      </w:hyperlink>
      <w:r w:rsidR="00F55A28">
        <w:rPr>
          <w:rFonts w:hint="cs"/>
          <w:rtl/>
        </w:rPr>
        <w:t xml:space="preserve"> בפרשת נשא.</w:t>
      </w:r>
      <w:r>
        <w:rPr>
          <w:rFonts w:hint="cs"/>
          <w:rtl/>
        </w:rPr>
        <w:t xml:space="preserve">  </w:t>
      </w:r>
    </w:p>
  </w:footnote>
  <w:footnote w:id="10">
    <w:p w14:paraId="4A923CC8" w14:textId="0C4F5A3C" w:rsidR="00B50B45" w:rsidRDefault="00B50B45" w:rsidP="00A9329A">
      <w:pPr>
        <w:pStyle w:val="a3"/>
      </w:pPr>
      <w:r>
        <w:rPr>
          <w:rStyle w:val="a5"/>
        </w:rPr>
        <w:footnoteRef/>
      </w:r>
      <w:r>
        <w:rPr>
          <w:rtl/>
        </w:rPr>
        <w:t xml:space="preserve"> </w:t>
      </w:r>
      <w:r>
        <w:rPr>
          <w:rFonts w:hint="cs"/>
          <w:rtl/>
        </w:rPr>
        <w:t xml:space="preserve">זה יסוד הדין של ההבחנה בין פריקה (בפרשה שלנו) וטעינה (בפרשת כי תצא) והצורך של התורה לכתוב את שניהם (לצד מצוות השבת אבדה). חשיבות הפריקה היא הן בשל צער בעלי חיים והן בשל חסרון הכיס של דברים שנופלים מהחמור. אם הייתה התורה כותבת רק את הדין של פריקה בפרשתנו, לא היינו בהכרח לומדים גם על מצוות טעינה. </w:t>
      </w:r>
      <w:r w:rsidR="00E04037">
        <w:rPr>
          <w:rFonts w:hint="cs"/>
          <w:rtl/>
        </w:rPr>
        <w:t>וכל זה ב</w:t>
      </w:r>
      <w:r>
        <w:rPr>
          <w:rFonts w:hint="cs"/>
          <w:rtl/>
        </w:rPr>
        <w:t>שיטת חכמים</w:t>
      </w:r>
      <w:r w:rsidR="00E04037">
        <w:rPr>
          <w:rFonts w:hint="cs"/>
          <w:rtl/>
        </w:rPr>
        <w:t xml:space="preserve"> שם </w:t>
      </w:r>
      <w:r>
        <w:rPr>
          <w:rFonts w:hint="cs"/>
          <w:rtl/>
        </w:rPr>
        <w:t xml:space="preserve">שסיוע בטעינה אינו חייב להיות בחינם, גם אם יש בכך חסרון כיס </w:t>
      </w:r>
      <w:r w:rsidR="00F55A28">
        <w:rPr>
          <w:rFonts w:hint="cs"/>
          <w:rtl/>
        </w:rPr>
        <w:t xml:space="preserve">(לבעל החמור) </w:t>
      </w:r>
      <w:r>
        <w:rPr>
          <w:rFonts w:hint="cs"/>
          <w:rtl/>
        </w:rPr>
        <w:t>ואולי דווקא בשל כך (</w:t>
      </w:r>
      <w:r w:rsidR="004369A0">
        <w:rPr>
          <w:rFonts w:hint="cs"/>
          <w:rtl/>
        </w:rPr>
        <w:t>ראו</w:t>
      </w:r>
      <w:r>
        <w:rPr>
          <w:rFonts w:hint="cs"/>
          <w:rtl/>
        </w:rPr>
        <w:t xml:space="preserve"> </w:t>
      </w:r>
      <w:r w:rsidR="00F55A28">
        <w:rPr>
          <w:rFonts w:hint="cs"/>
          <w:rtl/>
        </w:rPr>
        <w:t>המשך ה</w:t>
      </w:r>
      <w:r>
        <w:rPr>
          <w:rFonts w:hint="cs"/>
          <w:rtl/>
        </w:rPr>
        <w:t xml:space="preserve">גמרא שם </w:t>
      </w:r>
      <w:r w:rsidR="00F55A28">
        <w:rPr>
          <w:rFonts w:hint="cs"/>
          <w:rtl/>
        </w:rPr>
        <w:t xml:space="preserve">בדף </w:t>
      </w:r>
      <w:r>
        <w:rPr>
          <w:rFonts w:hint="cs"/>
          <w:rtl/>
        </w:rPr>
        <w:t xml:space="preserve">לב ע"ב "אתו גנבי ושקלי") ומותר למסייע לדרוש תשלום בעד הסיוע. </w:t>
      </w:r>
      <w:r w:rsidR="0070211C">
        <w:rPr>
          <w:rFonts w:hint="cs"/>
          <w:rtl/>
        </w:rPr>
        <w:t xml:space="preserve">מצד שני, </w:t>
      </w:r>
      <w:r>
        <w:rPr>
          <w:rFonts w:hint="cs"/>
          <w:rtl/>
        </w:rPr>
        <w:t xml:space="preserve">אי </w:t>
      </w:r>
      <w:r w:rsidR="00A9329A">
        <w:rPr>
          <w:rFonts w:hint="cs"/>
          <w:rtl/>
        </w:rPr>
        <w:t>אפשר ללמוד את דין הפריקה מדין הטעינה ו</w:t>
      </w:r>
      <w:r>
        <w:rPr>
          <w:rFonts w:hint="cs"/>
          <w:rtl/>
        </w:rPr>
        <w:t xml:space="preserve">צריכה התורה לכתוב את דין הפריקה במפורש, כדי לומר שסיוע </w:t>
      </w:r>
      <w:r w:rsidR="00DE061E">
        <w:rPr>
          <w:rFonts w:hint="cs"/>
          <w:rtl/>
        </w:rPr>
        <w:t xml:space="preserve">של פריקה </w:t>
      </w:r>
      <w:r>
        <w:rPr>
          <w:rFonts w:hint="cs"/>
          <w:rtl/>
        </w:rPr>
        <w:t>יש לעשות בחינם</w:t>
      </w:r>
      <w:r w:rsidR="00F55A28">
        <w:rPr>
          <w:rFonts w:hint="cs"/>
          <w:rtl/>
        </w:rPr>
        <w:t>, בניגוד לדין הטעינה שמותר לדרוש בעבורו תשלום</w:t>
      </w:r>
      <w:r>
        <w:rPr>
          <w:rFonts w:hint="cs"/>
          <w:rtl/>
        </w:rPr>
        <w:t xml:space="preserve">. </w:t>
      </w:r>
      <w:r w:rsidR="00F55A28">
        <w:rPr>
          <w:rFonts w:hint="cs"/>
          <w:rtl/>
        </w:rPr>
        <w:t xml:space="preserve">וכל זה </w:t>
      </w:r>
      <w:r w:rsidR="00FC48BF">
        <w:rPr>
          <w:rFonts w:hint="cs"/>
          <w:rtl/>
        </w:rPr>
        <w:t xml:space="preserve">כאמור </w:t>
      </w:r>
      <w:r w:rsidR="00DE061E">
        <w:rPr>
          <w:rFonts w:hint="cs"/>
          <w:rtl/>
        </w:rPr>
        <w:t xml:space="preserve">לשיטת חכמים, </w:t>
      </w:r>
      <w:r w:rsidR="00A9329A">
        <w:rPr>
          <w:rFonts w:hint="cs"/>
          <w:rtl/>
        </w:rPr>
        <w:t>ש</w:t>
      </w:r>
      <w:r>
        <w:rPr>
          <w:rFonts w:hint="cs"/>
          <w:rtl/>
        </w:rPr>
        <w:t xml:space="preserve">אם לא היה הבדל זה בין פריקה בחינם וטעינה בשכר, ניתן היה </w:t>
      </w:r>
      <w:r w:rsidR="00A9329A">
        <w:rPr>
          <w:rFonts w:hint="cs"/>
          <w:rtl/>
        </w:rPr>
        <w:t xml:space="preserve">אכן </w:t>
      </w:r>
      <w:r>
        <w:rPr>
          <w:rFonts w:hint="cs"/>
          <w:rtl/>
        </w:rPr>
        <w:t>ללמוד את דין הפריקה בקל וחומר מטעינה (ומספיק היה הפסוק בספר דברים), משום שבפריקה יש גם צער בעלי חיים וגם חסרון כיס. קל וחומר זה מופיע בהמשך הגמרא בדף לב ע"א</w:t>
      </w:r>
      <w:r w:rsidR="00E04037">
        <w:rPr>
          <w:rFonts w:hint="cs"/>
          <w:rtl/>
        </w:rPr>
        <w:t xml:space="preserve">, שם מורחבת וחוזרת </w:t>
      </w:r>
      <w:proofErr w:type="spellStart"/>
      <w:r w:rsidR="00E04037">
        <w:rPr>
          <w:rFonts w:hint="cs"/>
          <w:rtl/>
        </w:rPr>
        <w:t>הסוגיה</w:t>
      </w:r>
      <w:proofErr w:type="spellEnd"/>
      <w:r w:rsidR="00E04037">
        <w:rPr>
          <w:rFonts w:hint="cs"/>
          <w:rtl/>
        </w:rPr>
        <w:t xml:space="preserve"> בדיון על המשנה שאומרת: </w:t>
      </w:r>
      <w:r w:rsidR="00F55A28">
        <w:rPr>
          <w:rFonts w:hint="cs"/>
          <w:rtl/>
        </w:rPr>
        <w:t>"</w:t>
      </w:r>
      <w:r w:rsidR="00F55A28">
        <w:rPr>
          <w:rtl/>
        </w:rPr>
        <w:t>מצוה מן התורה לפרוק אבל לא לטעון</w:t>
      </w:r>
      <w:r w:rsidR="00F55A28">
        <w:rPr>
          <w:rFonts w:hint="cs"/>
          <w:rtl/>
        </w:rPr>
        <w:t>". הרוצה להרחיב בנושא יעיין בשתי סוגיות אלה, בדף לא ע"א ובדף לב ע"א שם ואנו נסתפק במובאות הנ"ל</w:t>
      </w:r>
      <w:r>
        <w:rPr>
          <w:rFonts w:hint="cs"/>
          <w:rtl/>
        </w:rPr>
        <w:t xml:space="preserve">.   </w:t>
      </w:r>
    </w:p>
  </w:footnote>
  <w:footnote w:id="11">
    <w:p w14:paraId="6732ABC2" w14:textId="63628D33" w:rsidR="00B50B45" w:rsidRDefault="00B50B45" w:rsidP="00A9329A">
      <w:pPr>
        <w:pStyle w:val="a3"/>
        <w:rPr>
          <w:rtl/>
        </w:rPr>
      </w:pPr>
      <w:r>
        <w:rPr>
          <w:rStyle w:val="a5"/>
        </w:rPr>
        <w:footnoteRef/>
      </w:r>
      <w:r>
        <w:rPr>
          <w:rtl/>
        </w:rPr>
        <w:t xml:space="preserve"> </w:t>
      </w:r>
      <w:r>
        <w:rPr>
          <w:rFonts w:hint="cs"/>
          <w:rtl/>
        </w:rPr>
        <w:t xml:space="preserve">ר' שמעון בר יוחאי חולק </w:t>
      </w:r>
      <w:r w:rsidR="00A9329A">
        <w:rPr>
          <w:rFonts w:hint="cs"/>
          <w:rtl/>
        </w:rPr>
        <w:t xml:space="preserve">על חכמים </w:t>
      </w:r>
      <w:r>
        <w:rPr>
          <w:rFonts w:hint="cs"/>
          <w:rtl/>
        </w:rPr>
        <w:t>וסובר שגם טעינה צריכה להיות בחינם והצורך לכתוב את הדין פעמיים בתורה הוא משום שהפסוקים אינם מבוררים די הצורך</w:t>
      </w:r>
      <w:r w:rsidR="00432DBA">
        <w:rPr>
          <w:rFonts w:hint="cs"/>
          <w:rtl/>
        </w:rPr>
        <w:t xml:space="preserve"> (אולי בשל הקושי הלשוני שבפסוק שלנו שנעמוד עליו להלן בדברי הפרשנים)</w:t>
      </w:r>
      <w:r>
        <w:rPr>
          <w:rFonts w:hint="cs"/>
          <w:rtl/>
        </w:rPr>
        <w:t xml:space="preserve">. </w:t>
      </w:r>
      <w:r w:rsidR="004369A0">
        <w:rPr>
          <w:rFonts w:hint="cs"/>
          <w:rtl/>
        </w:rPr>
        <w:t>ראו</w:t>
      </w:r>
      <w:r>
        <w:rPr>
          <w:rFonts w:hint="cs"/>
          <w:rtl/>
        </w:rPr>
        <w:t xml:space="preserve"> </w:t>
      </w:r>
      <w:r w:rsidR="00F55A28">
        <w:rPr>
          <w:rFonts w:hint="cs"/>
          <w:rtl/>
        </w:rPr>
        <w:t xml:space="preserve">שוב </w:t>
      </w:r>
      <w:r>
        <w:rPr>
          <w:rFonts w:hint="cs"/>
          <w:rtl/>
        </w:rPr>
        <w:t xml:space="preserve">בהמשך הגמרא שם, בדף לב ע"א הוויכוח ביניהם לגבי המילים "נופלים בדרך" </w:t>
      </w:r>
      <w:r w:rsidR="00A9329A">
        <w:rPr>
          <w:rFonts w:hint="cs"/>
          <w:rtl/>
        </w:rPr>
        <w:t xml:space="preserve">(החפצים) </w:t>
      </w:r>
      <w:r>
        <w:rPr>
          <w:rFonts w:hint="cs"/>
          <w:rtl/>
        </w:rPr>
        <w:t>שלשיטת חכמים ברור שז</w:t>
      </w:r>
      <w:r w:rsidR="00E04037">
        <w:rPr>
          <w:rFonts w:hint="cs"/>
          <w:rtl/>
        </w:rPr>
        <w:t>ו</w:t>
      </w:r>
      <w:r>
        <w:rPr>
          <w:rFonts w:hint="cs"/>
          <w:rtl/>
        </w:rPr>
        <w:t xml:space="preserve"> טעינה וההפך מ"רובץ תחת משאו"</w:t>
      </w:r>
      <w:r w:rsidR="00E04037">
        <w:rPr>
          <w:rFonts w:hint="cs"/>
          <w:rtl/>
        </w:rPr>
        <w:t xml:space="preserve"> בפרשתנו שזו פריקה (החמור כורע תחת המשא)</w:t>
      </w:r>
      <w:r>
        <w:rPr>
          <w:rFonts w:hint="cs"/>
          <w:rtl/>
        </w:rPr>
        <w:t xml:space="preserve">, ולשיטת ר' שמעון "נופלים בדרך" יכול להתפרש גם כפריקה </w:t>
      </w:r>
      <w:r>
        <w:rPr>
          <w:rtl/>
        </w:rPr>
        <w:t>–</w:t>
      </w:r>
      <w:r>
        <w:rPr>
          <w:rFonts w:hint="cs"/>
          <w:rtl/>
        </w:rPr>
        <w:t xml:space="preserve"> החפצים מתחילים ליפול מהחמור ויש לסייע בפריקתם בצורה מסודרת. ובימינו, שהחמור הוא משאית, </w:t>
      </w:r>
      <w:r w:rsidR="00E04037">
        <w:rPr>
          <w:rFonts w:hint="cs"/>
          <w:rtl/>
        </w:rPr>
        <w:t xml:space="preserve">יורדת הסיבה של </w:t>
      </w:r>
      <w:r>
        <w:rPr>
          <w:rFonts w:hint="cs"/>
          <w:rtl/>
        </w:rPr>
        <w:t xml:space="preserve">צער בעלי חיים </w:t>
      </w:r>
      <w:r w:rsidR="00E04037">
        <w:rPr>
          <w:rFonts w:hint="cs"/>
          <w:rtl/>
        </w:rPr>
        <w:t>ולעומתה מתווספת סיבה חדשה של</w:t>
      </w:r>
      <w:r>
        <w:rPr>
          <w:rFonts w:hint="cs"/>
          <w:rtl/>
        </w:rPr>
        <w:t xml:space="preserve"> סכנה לציבור (חפצים נופלים מ</w:t>
      </w:r>
      <w:r w:rsidR="00E04037">
        <w:rPr>
          <w:rFonts w:hint="cs"/>
          <w:rtl/>
        </w:rPr>
        <w:t>ה</w:t>
      </w:r>
      <w:r>
        <w:rPr>
          <w:rFonts w:hint="cs"/>
          <w:rtl/>
        </w:rPr>
        <w:t xml:space="preserve">משאית </w:t>
      </w:r>
      <w:r w:rsidR="00E04037">
        <w:rPr>
          <w:rFonts w:hint="cs"/>
          <w:rtl/>
        </w:rPr>
        <w:t>על ה</w:t>
      </w:r>
      <w:r>
        <w:rPr>
          <w:rFonts w:hint="cs"/>
          <w:rtl/>
        </w:rPr>
        <w:t>כביש</w:t>
      </w:r>
      <w:r w:rsidR="00A9329A">
        <w:rPr>
          <w:rFonts w:hint="cs"/>
          <w:rtl/>
        </w:rPr>
        <w:t>, עצירה בשוליים</w:t>
      </w:r>
      <w:r>
        <w:rPr>
          <w:rFonts w:hint="cs"/>
          <w:rtl/>
        </w:rPr>
        <w:t>)</w:t>
      </w:r>
      <w:r w:rsidR="00AA2140">
        <w:rPr>
          <w:rFonts w:hint="cs"/>
          <w:rtl/>
        </w:rPr>
        <w:t xml:space="preserve"> ושאלה נכבדה היא להלכה בימינו מתי ובאילו נסיבות מצווה לעצור בדרך ולסייע לרכב שעמוס מדי או שנפלו ממנו חפצים. </w:t>
      </w:r>
      <w:r>
        <w:rPr>
          <w:rFonts w:hint="cs"/>
          <w:rtl/>
        </w:rPr>
        <w:t xml:space="preserve">  </w:t>
      </w:r>
    </w:p>
  </w:footnote>
  <w:footnote w:id="12">
    <w:p w14:paraId="1DF41FEC" w14:textId="7D3B5178" w:rsidR="00B50B45" w:rsidRDefault="00B50B45" w:rsidP="00286A45">
      <w:pPr>
        <w:pStyle w:val="a3"/>
        <w:rPr>
          <w:rtl/>
        </w:rPr>
      </w:pPr>
      <w:r>
        <w:rPr>
          <w:rStyle w:val="a5"/>
        </w:rPr>
        <w:footnoteRef/>
      </w:r>
      <w:r>
        <w:rPr>
          <w:rtl/>
        </w:rPr>
        <w:t xml:space="preserve"> </w:t>
      </w:r>
      <w:r>
        <w:rPr>
          <w:rFonts w:hint="cs"/>
          <w:rtl/>
        </w:rPr>
        <w:t xml:space="preserve">אחרי שלמדנו בתורה גם את מצוות פריקה וגם את מצוות טעינה, למה צריכה התורה לכתוב גם את דיני השבת אבדה? האם לא יכולנו להסיק מפריקה וטעינה גם להשבת אבדה. </w:t>
      </w:r>
      <w:r w:rsidR="004369A0">
        <w:rPr>
          <w:rFonts w:hint="cs"/>
          <w:rtl/>
        </w:rPr>
        <w:t>ראו</w:t>
      </w:r>
      <w:r>
        <w:rPr>
          <w:rFonts w:hint="cs"/>
          <w:rtl/>
        </w:rPr>
        <w:t xml:space="preserve"> לשון רש"י שם שכולם אזהרות על ממון ישראל.</w:t>
      </w:r>
    </w:p>
  </w:footnote>
  <w:footnote w:id="13">
    <w:p w14:paraId="39797089" w14:textId="77777777" w:rsidR="00B50B45" w:rsidRDefault="00B50B45">
      <w:pPr>
        <w:pStyle w:val="a3"/>
        <w:rPr>
          <w:rtl/>
        </w:rPr>
      </w:pPr>
      <w:r>
        <w:rPr>
          <w:rStyle w:val="a5"/>
        </w:rPr>
        <w:footnoteRef/>
      </w:r>
      <w:r>
        <w:rPr>
          <w:rtl/>
        </w:rPr>
        <w:t xml:space="preserve"> </w:t>
      </w:r>
      <w:r>
        <w:rPr>
          <w:rFonts w:hint="cs"/>
          <w:rtl/>
        </w:rPr>
        <w:t>בפריקה וטעינה יש צער גם לבעלים ("מ</w:t>
      </w:r>
      <w:r w:rsidR="007F50DF">
        <w:rPr>
          <w:rFonts w:hint="eastAsia"/>
          <w:rtl/>
        </w:rPr>
        <w:t>ָ</w:t>
      </w:r>
      <w:r>
        <w:rPr>
          <w:rFonts w:hint="cs"/>
          <w:rtl/>
        </w:rPr>
        <w:t>ר</w:t>
      </w:r>
      <w:r w:rsidR="007F50DF">
        <w:rPr>
          <w:rFonts w:hint="eastAsia"/>
          <w:rtl/>
        </w:rPr>
        <w:t>ָ</w:t>
      </w:r>
      <w:r>
        <w:rPr>
          <w:rFonts w:hint="cs"/>
          <w:rtl/>
        </w:rPr>
        <w:t>ה") וגם לבהמה ("דידה").</w:t>
      </w:r>
    </w:p>
  </w:footnote>
  <w:footnote w:id="14">
    <w:p w14:paraId="02DEFC68" w14:textId="77777777" w:rsidR="00B50B45" w:rsidRDefault="00B50B45" w:rsidP="00407B15">
      <w:pPr>
        <w:pStyle w:val="a3"/>
        <w:rPr>
          <w:rtl/>
        </w:rPr>
      </w:pPr>
      <w:r>
        <w:rPr>
          <w:rStyle w:val="a5"/>
        </w:rPr>
        <w:footnoteRef/>
      </w:r>
      <w:r>
        <w:rPr>
          <w:rtl/>
        </w:rPr>
        <w:t xml:space="preserve"> </w:t>
      </w:r>
      <w:r>
        <w:rPr>
          <w:rFonts w:hint="cs"/>
          <w:rtl/>
        </w:rPr>
        <w:t xml:space="preserve">באבדה </w:t>
      </w:r>
      <w:r w:rsidR="007F50DF">
        <w:rPr>
          <w:rFonts w:hint="cs"/>
          <w:rtl/>
        </w:rPr>
        <w:t xml:space="preserve">מאידך </w:t>
      </w:r>
      <w:r>
        <w:rPr>
          <w:rFonts w:hint="cs"/>
          <w:rtl/>
        </w:rPr>
        <w:t xml:space="preserve">יש רק צער לבעלים שאבדו חפץ או בעל חיים, אבל אין צער לבעל החיים ("שהיא רועה בדרך להנאתה", </w:t>
      </w:r>
      <w:proofErr w:type="spellStart"/>
      <w:r>
        <w:rPr>
          <w:rFonts w:hint="cs"/>
          <w:rtl/>
        </w:rPr>
        <w:t>שטיינזלץ</w:t>
      </w:r>
      <w:proofErr w:type="spellEnd"/>
      <w:r>
        <w:rPr>
          <w:rFonts w:hint="cs"/>
          <w:rtl/>
        </w:rPr>
        <w:t>, אולי נהנית מהחופש) ובוודאי שאין צער לחפץ (אולי לחיות מחמד). ולפיכך, לא היינו יודעים דין השבת אבדה</w:t>
      </w:r>
      <w:r w:rsidR="00407B15">
        <w:rPr>
          <w:rFonts w:hint="cs"/>
          <w:rtl/>
        </w:rPr>
        <w:t xml:space="preserve"> מפריקה וטעינה.</w:t>
      </w:r>
    </w:p>
  </w:footnote>
  <w:footnote w:id="15">
    <w:p w14:paraId="3F85E3F1" w14:textId="36FC9C79" w:rsidR="00B50B45" w:rsidRDefault="00B50B45" w:rsidP="00407B15">
      <w:pPr>
        <w:pStyle w:val="a3"/>
        <w:rPr>
          <w:rtl/>
        </w:rPr>
      </w:pPr>
      <w:r>
        <w:rPr>
          <w:rStyle w:val="a5"/>
        </w:rPr>
        <w:footnoteRef/>
      </w:r>
      <w:r>
        <w:rPr>
          <w:rtl/>
        </w:rPr>
        <w:t xml:space="preserve"> </w:t>
      </w:r>
      <w:r w:rsidR="00407B15">
        <w:rPr>
          <w:rFonts w:hint="cs"/>
          <w:rtl/>
        </w:rPr>
        <w:t xml:space="preserve">וההפך, </w:t>
      </w:r>
      <w:r>
        <w:rPr>
          <w:rFonts w:hint="cs"/>
          <w:rtl/>
        </w:rPr>
        <w:t>אם התורה הייתה כותבת רק את מצוות השבת אבדה, היינו סבורים ששם זה משום שהבעלים איננו</w:t>
      </w:r>
      <w:r w:rsidR="00432DBA" w:rsidRPr="00432DBA">
        <w:rPr>
          <w:rFonts w:hint="cs"/>
          <w:rtl/>
        </w:rPr>
        <w:t xml:space="preserve"> </w:t>
      </w:r>
      <w:r w:rsidR="00432DBA">
        <w:rPr>
          <w:rFonts w:hint="cs"/>
          <w:rtl/>
        </w:rPr>
        <w:t>(</w:t>
      </w:r>
      <w:r w:rsidR="004369A0">
        <w:rPr>
          <w:rFonts w:hint="cs"/>
          <w:rtl/>
        </w:rPr>
        <w:t>ראו</w:t>
      </w:r>
      <w:r w:rsidR="00432DBA">
        <w:rPr>
          <w:rFonts w:hint="cs"/>
          <w:rtl/>
        </w:rPr>
        <w:t xml:space="preserve"> שם בגמרא </w:t>
      </w:r>
      <w:r w:rsidR="007F50DF">
        <w:rPr>
          <w:rFonts w:hint="cs"/>
          <w:rtl/>
        </w:rPr>
        <w:t xml:space="preserve">דף </w:t>
      </w:r>
      <w:r w:rsidR="00432DBA">
        <w:rPr>
          <w:rFonts w:hint="cs"/>
          <w:rtl/>
        </w:rPr>
        <w:t xml:space="preserve">לא ע"א שהיעדר הבעלים מחייב אחריות יתר בהשבת אבדה). </w:t>
      </w:r>
      <w:r>
        <w:rPr>
          <w:rFonts w:hint="cs"/>
          <w:rtl/>
        </w:rPr>
        <w:t xml:space="preserve">אבל </w:t>
      </w:r>
      <w:r w:rsidR="00432DBA">
        <w:rPr>
          <w:rFonts w:hint="cs"/>
          <w:rtl/>
        </w:rPr>
        <w:t>בפריקה ובטעינה, פעמים רבות ש</w:t>
      </w:r>
      <w:r>
        <w:rPr>
          <w:rFonts w:hint="cs"/>
          <w:rtl/>
        </w:rPr>
        <w:t>הבעלים נמצא ליד החמור</w:t>
      </w:r>
      <w:r w:rsidR="00432DBA">
        <w:rPr>
          <w:rFonts w:hint="cs"/>
          <w:rtl/>
        </w:rPr>
        <w:t xml:space="preserve"> ואע"פ כן, ואולי דווקא בשל כך, תסייע לו! כ</w:t>
      </w:r>
      <w:r>
        <w:rPr>
          <w:rFonts w:hint="cs"/>
          <w:rtl/>
        </w:rPr>
        <w:t xml:space="preserve">כתוב: "עזוב תעזוב עמו" </w:t>
      </w:r>
      <w:r>
        <w:rPr>
          <w:rtl/>
        </w:rPr>
        <w:t>–</w:t>
      </w:r>
      <w:r>
        <w:rPr>
          <w:rFonts w:hint="cs"/>
          <w:rtl/>
        </w:rPr>
        <w:t xml:space="preserve"> הקם תקים עמו". </w:t>
      </w:r>
      <w:r w:rsidR="00432DBA">
        <w:rPr>
          <w:rFonts w:hint="cs"/>
          <w:rtl/>
        </w:rPr>
        <w:t xml:space="preserve">(ואח"כ גם אם החמור לבד, </w:t>
      </w:r>
      <w:r w:rsidR="004369A0">
        <w:rPr>
          <w:rFonts w:hint="cs"/>
          <w:rtl/>
        </w:rPr>
        <w:t>ראו</w:t>
      </w:r>
      <w:r>
        <w:rPr>
          <w:rFonts w:hint="cs"/>
          <w:rtl/>
        </w:rPr>
        <w:t xml:space="preserve"> שוב הער</w:t>
      </w:r>
      <w:r w:rsidR="007F50DF">
        <w:rPr>
          <w:rFonts w:hint="cs"/>
          <w:rtl/>
        </w:rPr>
        <w:t>ות 4, 9</w:t>
      </w:r>
      <w:r>
        <w:rPr>
          <w:rFonts w:hint="cs"/>
          <w:rtl/>
        </w:rPr>
        <w:t xml:space="preserve"> לעיל</w:t>
      </w:r>
      <w:r w:rsidR="00432DBA">
        <w:rPr>
          <w:rFonts w:hint="cs"/>
          <w:rtl/>
        </w:rPr>
        <w:t>)</w:t>
      </w:r>
      <w:r>
        <w:rPr>
          <w:rFonts w:hint="cs"/>
          <w:rtl/>
        </w:rPr>
        <w:t xml:space="preserve">. </w:t>
      </w:r>
      <w:r w:rsidR="00432DBA">
        <w:rPr>
          <w:rFonts w:hint="cs"/>
          <w:rtl/>
        </w:rPr>
        <w:t xml:space="preserve">במצוות פריקה וטעינה יש </w:t>
      </w:r>
      <w:r w:rsidR="00407B15">
        <w:rPr>
          <w:rFonts w:hint="cs"/>
          <w:rtl/>
        </w:rPr>
        <w:t xml:space="preserve">בד"כ </w:t>
      </w:r>
      <w:r w:rsidR="00432DBA">
        <w:rPr>
          <w:rFonts w:hint="cs"/>
          <w:rtl/>
        </w:rPr>
        <w:t xml:space="preserve">את המגע האנושי. </w:t>
      </w:r>
      <w:r>
        <w:rPr>
          <w:rFonts w:hint="cs"/>
          <w:rtl/>
        </w:rPr>
        <w:t>כך או כך, הרי לנו שוב ק</w:t>
      </w:r>
      <w:r w:rsidR="00407B15">
        <w:rPr>
          <w:rFonts w:hint="cs"/>
          <w:rtl/>
        </w:rPr>
        <w:t>י</w:t>
      </w:r>
      <w:r>
        <w:rPr>
          <w:rFonts w:hint="cs"/>
          <w:rtl/>
        </w:rPr>
        <w:t>רבה ברורה בין מצוות פריקה/טעינה ובין מצוות השבת אבדה</w:t>
      </w:r>
      <w:r w:rsidR="00432DBA">
        <w:rPr>
          <w:rFonts w:hint="cs"/>
          <w:rtl/>
        </w:rPr>
        <w:t>,</w:t>
      </w:r>
      <w:r>
        <w:rPr>
          <w:rFonts w:hint="cs"/>
          <w:rtl/>
        </w:rPr>
        <w:t xml:space="preserve"> עד כדי מחשבה של הגמרא שמספיק שהתורה תכתוב אחת מהן וממילא נסיק </w:t>
      </w:r>
      <w:r w:rsidR="00F16975">
        <w:rPr>
          <w:rFonts w:hint="cs"/>
          <w:rtl/>
        </w:rPr>
        <w:t xml:space="preserve">בעצמנו </w:t>
      </w:r>
      <w:r>
        <w:rPr>
          <w:rFonts w:hint="cs"/>
          <w:rtl/>
        </w:rPr>
        <w:t>ונבין את השנייה. ונראה שכך הוא אכן בפרטי הדינים. למשל, אם נחזור לעיל לדין של תשלום (בטעינה</w:t>
      </w:r>
      <w:r w:rsidR="00432DBA">
        <w:rPr>
          <w:rFonts w:hint="cs"/>
          <w:rtl/>
        </w:rPr>
        <w:t>,</w:t>
      </w:r>
      <w:r>
        <w:rPr>
          <w:rFonts w:hint="cs"/>
          <w:rtl/>
        </w:rPr>
        <w:t xml:space="preserve"> לפי שיטת חכמים), איך נקבע את גובה התשלום הראוי? </w:t>
      </w:r>
      <w:r w:rsidR="00432DBA">
        <w:rPr>
          <w:rFonts w:hint="cs"/>
          <w:rtl/>
        </w:rPr>
        <w:t>מן הסתם כ</w:t>
      </w:r>
      <w:r>
        <w:rPr>
          <w:rFonts w:hint="cs"/>
          <w:rtl/>
        </w:rPr>
        <w:t>הצעת המשנה לגבי השבת אבדה</w:t>
      </w:r>
      <w:r w:rsidRPr="007F66B5">
        <w:rPr>
          <w:rtl/>
        </w:rPr>
        <w:t xml:space="preserve"> </w:t>
      </w:r>
      <w:r>
        <w:rPr>
          <w:rFonts w:hint="cs"/>
          <w:rtl/>
        </w:rPr>
        <w:t>שהוא כשכר פועל בטל: "</w:t>
      </w:r>
      <w:r>
        <w:rPr>
          <w:rtl/>
        </w:rPr>
        <w:t>היה בטל מסלע</w:t>
      </w:r>
      <w:r>
        <w:rPr>
          <w:rFonts w:hint="cs"/>
          <w:rtl/>
        </w:rPr>
        <w:t>,</w:t>
      </w:r>
      <w:r>
        <w:rPr>
          <w:rtl/>
        </w:rPr>
        <w:t xml:space="preserve"> לא יאמר לו תן לי סלע</w:t>
      </w:r>
      <w:r>
        <w:rPr>
          <w:rFonts w:hint="cs"/>
          <w:rtl/>
        </w:rPr>
        <w:t>,</w:t>
      </w:r>
      <w:r>
        <w:rPr>
          <w:rtl/>
        </w:rPr>
        <w:t xml:space="preserve"> אלא נותן לו שכרו כפועל בטל</w:t>
      </w:r>
      <w:r>
        <w:rPr>
          <w:rFonts w:hint="cs"/>
          <w:rtl/>
        </w:rPr>
        <w:t>.</w:t>
      </w:r>
      <w:r>
        <w:rPr>
          <w:rtl/>
        </w:rPr>
        <w:t xml:space="preserve"> אם יש שם בית דין</w:t>
      </w:r>
      <w:r>
        <w:rPr>
          <w:rFonts w:hint="cs"/>
          <w:rtl/>
        </w:rPr>
        <w:t>,</w:t>
      </w:r>
      <w:r>
        <w:rPr>
          <w:rtl/>
        </w:rPr>
        <w:t xml:space="preserve"> מתנה בפני בית דין</w:t>
      </w:r>
      <w:r>
        <w:rPr>
          <w:rFonts w:hint="cs"/>
          <w:rtl/>
        </w:rPr>
        <w:t>.</w:t>
      </w:r>
      <w:r>
        <w:rPr>
          <w:rtl/>
        </w:rPr>
        <w:t xml:space="preserve"> אם אין שם בית דין</w:t>
      </w:r>
      <w:r>
        <w:rPr>
          <w:rFonts w:hint="cs"/>
          <w:rtl/>
        </w:rPr>
        <w:t>,</w:t>
      </w:r>
      <w:r>
        <w:rPr>
          <w:rtl/>
        </w:rPr>
        <w:t xml:space="preserve"> בפני מי יתנה</w:t>
      </w:r>
      <w:r>
        <w:rPr>
          <w:rFonts w:hint="cs"/>
          <w:rtl/>
        </w:rPr>
        <w:t>?</w:t>
      </w:r>
      <w:r>
        <w:rPr>
          <w:rtl/>
        </w:rPr>
        <w:t xml:space="preserve"> שלו קודם</w:t>
      </w:r>
      <w:r>
        <w:rPr>
          <w:rFonts w:hint="cs"/>
          <w:rtl/>
        </w:rPr>
        <w:t>" (</w:t>
      </w:r>
      <w:r>
        <w:rPr>
          <w:rtl/>
        </w:rPr>
        <w:t>בבא מציעא פרק ב</w:t>
      </w:r>
      <w:r>
        <w:rPr>
          <w:rFonts w:hint="cs"/>
          <w:rtl/>
        </w:rPr>
        <w:t xml:space="preserve"> משנה ט, </w:t>
      </w:r>
      <w:r w:rsidR="004369A0">
        <w:rPr>
          <w:rFonts w:hint="cs"/>
          <w:rtl/>
        </w:rPr>
        <w:t>ראו</w:t>
      </w:r>
      <w:r>
        <w:rPr>
          <w:rFonts w:hint="cs"/>
          <w:rtl/>
        </w:rPr>
        <w:t xml:space="preserve"> במפרשים שם).</w:t>
      </w:r>
      <w:r w:rsidR="008A3AF8">
        <w:rPr>
          <w:rFonts w:hint="cs"/>
          <w:rtl/>
        </w:rPr>
        <w:t xml:space="preserve"> וכבר זכינו גם להשלים דף על מצוות </w:t>
      </w:r>
      <w:hyperlink r:id="rId3" w:anchor="gsc.tab=0" w:history="1">
        <w:r w:rsidR="008A3AF8" w:rsidRPr="008A3AF8">
          <w:rPr>
            <w:rStyle w:val="Hyperlink"/>
            <w:rFonts w:hint="cs"/>
            <w:rtl/>
          </w:rPr>
          <w:t>השבת אבדה</w:t>
        </w:r>
      </w:hyperlink>
      <w:r w:rsidR="008A3AF8">
        <w:rPr>
          <w:rFonts w:hint="cs"/>
          <w:rtl/>
        </w:rPr>
        <w:t xml:space="preserve"> בפרשת כי תצא.</w:t>
      </w:r>
    </w:p>
  </w:footnote>
  <w:footnote w:id="16">
    <w:p w14:paraId="0E867D4E" w14:textId="21EB9604" w:rsidR="00B50B45" w:rsidRDefault="00B50B45" w:rsidP="00407B15">
      <w:pPr>
        <w:pStyle w:val="a3"/>
        <w:rPr>
          <w:rtl/>
        </w:rPr>
      </w:pPr>
      <w:r>
        <w:rPr>
          <w:rStyle w:val="a5"/>
        </w:rPr>
        <w:footnoteRef/>
      </w:r>
      <w:r>
        <w:rPr>
          <w:rtl/>
        </w:rPr>
        <w:t xml:space="preserve"> </w:t>
      </w:r>
      <w:r>
        <w:rPr>
          <w:rFonts w:hint="cs"/>
          <w:rtl/>
        </w:rPr>
        <w:t>לדברי חכמים שפריקה היא חמורה וניתן לל</w:t>
      </w:r>
      <w:r w:rsidR="00A2161A">
        <w:rPr>
          <w:rFonts w:hint="cs"/>
          <w:rtl/>
        </w:rPr>
        <w:t xml:space="preserve">מוד אותה </w:t>
      </w:r>
      <w:r>
        <w:rPr>
          <w:rFonts w:hint="cs"/>
          <w:rtl/>
        </w:rPr>
        <w:t>בעצם בקל וחומר מטעינה, וגם לדברי ר' שמעון שבעקרון יכול להסכים לקל וחומר הזה (</w:t>
      </w:r>
      <w:r w:rsidR="004369A0">
        <w:rPr>
          <w:rFonts w:hint="cs"/>
          <w:rtl/>
        </w:rPr>
        <w:t>ראו</w:t>
      </w:r>
      <w:r>
        <w:rPr>
          <w:rFonts w:hint="cs"/>
          <w:rtl/>
        </w:rPr>
        <w:t xml:space="preserve"> הסבר הגמרא שם מדוע), מבקשת הגמרא ל</w:t>
      </w:r>
      <w:r w:rsidR="00A2161A">
        <w:rPr>
          <w:rFonts w:hint="cs"/>
          <w:rtl/>
        </w:rPr>
        <w:t>הסיק</w:t>
      </w:r>
      <w:r>
        <w:rPr>
          <w:rFonts w:hint="cs"/>
          <w:rtl/>
        </w:rPr>
        <w:t xml:space="preserve"> שצער בעלי חיים הוא מדין תורה (ולא מדברי חכמים). </w:t>
      </w:r>
      <w:proofErr w:type="spellStart"/>
      <w:r w:rsidR="00A2161A">
        <w:rPr>
          <w:rFonts w:hint="cs"/>
          <w:rtl/>
        </w:rPr>
        <w:t>הסוגיה</w:t>
      </w:r>
      <w:proofErr w:type="spellEnd"/>
      <w:r w:rsidR="00A2161A">
        <w:rPr>
          <w:rFonts w:hint="cs"/>
          <w:rtl/>
        </w:rPr>
        <w:t xml:space="preserve"> שם היא מקור מרכזי לדין צער בעלי חיים. הגמרא שם מנסה שוב ושוב </w:t>
      </w:r>
      <w:r>
        <w:rPr>
          <w:rFonts w:hint="cs"/>
          <w:rtl/>
        </w:rPr>
        <w:t xml:space="preserve">להוכיח שצער בעלי חיים מדאורייתא, שלדעת חלק גדול מהפוסקים כך הוא אכן להלכה. </w:t>
      </w:r>
      <w:r w:rsidR="004369A0">
        <w:rPr>
          <w:rFonts w:hint="cs"/>
          <w:rtl/>
        </w:rPr>
        <w:t>ראו</w:t>
      </w:r>
      <w:r w:rsidR="00407B15">
        <w:rPr>
          <w:rFonts w:hint="cs"/>
          <w:rtl/>
        </w:rPr>
        <w:t xml:space="preserve"> </w:t>
      </w:r>
      <w:hyperlink r:id="rId4" w:history="1">
        <w:r w:rsidR="00407B15" w:rsidRPr="00407B15">
          <w:rPr>
            <w:rStyle w:val="Hyperlink"/>
            <w:rFonts w:hint="cs"/>
            <w:rtl/>
          </w:rPr>
          <w:t>מאמר של דר' אברהם שטיינברג</w:t>
        </w:r>
      </w:hyperlink>
      <w:r w:rsidR="00407B15">
        <w:rPr>
          <w:rFonts w:hint="cs"/>
          <w:rtl/>
        </w:rPr>
        <w:t xml:space="preserve"> בנושא זה.</w:t>
      </w:r>
    </w:p>
  </w:footnote>
  <w:footnote w:id="17">
    <w:p w14:paraId="5881E144" w14:textId="63514F21" w:rsidR="00B50B45" w:rsidRDefault="00B50B45" w:rsidP="00A3083F">
      <w:pPr>
        <w:pStyle w:val="a3"/>
      </w:pPr>
      <w:r>
        <w:rPr>
          <w:rStyle w:val="a5"/>
        </w:rPr>
        <w:footnoteRef/>
      </w:r>
      <w:r>
        <w:rPr>
          <w:rtl/>
        </w:rPr>
        <w:t xml:space="preserve"> </w:t>
      </w:r>
      <w:r>
        <w:rPr>
          <w:rFonts w:hint="cs"/>
          <w:rtl/>
        </w:rPr>
        <w:t xml:space="preserve">"חמור שונאך" נכתב מן הסתם לומר, אפילו הוא שונאך, למרות שהוא שונאך. ו"חמור אחיך" כשגרת לשון. בא הדרשן ואומר לא סתם נכתב כאן "שונא" ושם (בדברים) "אחיך", ללמדך שאם באופן תיאורטי ייקרה לפניך בעת ובעונה אחת שונא שצריך לעזור לו לטעון ואוהב שצריך לעזור לו לפרוק </w:t>
      </w:r>
      <w:r>
        <w:rPr>
          <w:rtl/>
        </w:rPr>
        <w:t>–</w:t>
      </w:r>
      <w:r>
        <w:rPr>
          <w:rFonts w:hint="cs"/>
          <w:rtl/>
        </w:rPr>
        <w:t xml:space="preserve"> לך תסייע לשנוא לטעון ואח"כ לאוהב לפרוק. והרי זה בדיוק ההפך ממה שכתוב בתורה! השונא כתוב בפריקה ואחיך בטעינה</w:t>
      </w:r>
      <w:r w:rsidR="00F21123">
        <w:rPr>
          <w:rFonts w:hint="cs"/>
          <w:rtl/>
        </w:rPr>
        <w:t>!</w:t>
      </w:r>
      <w:r>
        <w:rPr>
          <w:rFonts w:hint="cs"/>
          <w:rtl/>
        </w:rPr>
        <w:t xml:space="preserve"> ולא עוד אלא שלמדנו </w:t>
      </w:r>
      <w:r w:rsidR="00F21123">
        <w:rPr>
          <w:rFonts w:hint="cs"/>
          <w:rtl/>
        </w:rPr>
        <w:t xml:space="preserve">בקל וחומר </w:t>
      </w:r>
      <w:r>
        <w:rPr>
          <w:rFonts w:hint="cs"/>
          <w:rtl/>
        </w:rPr>
        <w:t>שפריקה ח</w:t>
      </w:r>
      <w:r w:rsidR="00F21123">
        <w:rPr>
          <w:rFonts w:hint="cs"/>
          <w:rtl/>
        </w:rPr>
        <w:t>מור</w:t>
      </w:r>
      <w:r>
        <w:rPr>
          <w:rFonts w:hint="cs"/>
          <w:rtl/>
        </w:rPr>
        <w:t>ה יותר</w:t>
      </w:r>
      <w:r w:rsidR="00F21123">
        <w:rPr>
          <w:rFonts w:hint="cs"/>
          <w:rtl/>
        </w:rPr>
        <w:t>!</w:t>
      </w:r>
      <w:r>
        <w:rPr>
          <w:rFonts w:hint="cs"/>
          <w:rtl/>
        </w:rPr>
        <w:t xml:space="preserve"> ולא עוד אלא שצער בעלי חיים מהתורה! כל זה טוב ויפה יאמר דרשן</w:t>
      </w:r>
      <w:r w:rsidR="00F21123">
        <w:rPr>
          <w:rFonts w:hint="cs"/>
          <w:rtl/>
        </w:rPr>
        <w:t xml:space="preserve"> הגדה</w:t>
      </w:r>
      <w:r>
        <w:rPr>
          <w:rFonts w:hint="cs"/>
          <w:rtl/>
        </w:rPr>
        <w:t>, כל הפסוקים ו</w:t>
      </w:r>
      <w:r w:rsidR="00F21123">
        <w:rPr>
          <w:rFonts w:hint="cs"/>
          <w:rtl/>
        </w:rPr>
        <w:t>דרשות ההלכה הם</w:t>
      </w:r>
      <w:r>
        <w:rPr>
          <w:rFonts w:hint="cs"/>
          <w:rtl/>
        </w:rPr>
        <w:t xml:space="preserve"> נגדי, ואע"פ כן</w:t>
      </w:r>
      <w:r w:rsidR="00F21123">
        <w:rPr>
          <w:rFonts w:hint="cs"/>
          <w:rtl/>
        </w:rPr>
        <w:t xml:space="preserve"> אני אומר לך</w:t>
      </w:r>
      <w:r>
        <w:rPr>
          <w:rFonts w:hint="cs"/>
          <w:rtl/>
        </w:rPr>
        <w:t xml:space="preserve">: לך תסייע לשונאך לטעון ואח"כ לאוהבך לפרוק. למה? </w:t>
      </w:r>
      <w:proofErr w:type="spellStart"/>
      <w:r>
        <w:rPr>
          <w:rFonts w:hint="cs"/>
          <w:rtl/>
        </w:rPr>
        <w:t>לכוף</w:t>
      </w:r>
      <w:proofErr w:type="spellEnd"/>
      <w:r>
        <w:rPr>
          <w:rFonts w:hint="cs"/>
          <w:rtl/>
        </w:rPr>
        <w:t xml:space="preserve"> את יצרך! אולי לא רק את היצר האישי-חברתי, אלא גם את היצר הלמדני. "לא נתנו המצוות אלא לצרף בהן את הבריות" (בראשית רבה מד א</w:t>
      </w:r>
      <w:r w:rsidR="00F21123">
        <w:rPr>
          <w:rFonts w:hint="cs"/>
          <w:rtl/>
        </w:rPr>
        <w:t xml:space="preserve">, ויקרא רבה </w:t>
      </w:r>
      <w:proofErr w:type="spellStart"/>
      <w:r w:rsidR="00F21123">
        <w:rPr>
          <w:rFonts w:hint="cs"/>
          <w:rtl/>
        </w:rPr>
        <w:t>יג</w:t>
      </w:r>
      <w:proofErr w:type="spellEnd"/>
      <w:r w:rsidR="00F21123">
        <w:rPr>
          <w:rFonts w:hint="cs"/>
          <w:rtl/>
        </w:rPr>
        <w:t xml:space="preserve"> ג, מכילתא </w:t>
      </w:r>
      <w:proofErr w:type="spellStart"/>
      <w:r w:rsidR="00F21123">
        <w:rPr>
          <w:rFonts w:hint="cs"/>
          <w:rtl/>
        </w:rPr>
        <w:t>דרשב"י</w:t>
      </w:r>
      <w:proofErr w:type="spellEnd"/>
      <w:r w:rsidR="00F21123">
        <w:rPr>
          <w:rFonts w:hint="cs"/>
          <w:rtl/>
        </w:rPr>
        <w:t xml:space="preserve"> </w:t>
      </w:r>
      <w:proofErr w:type="spellStart"/>
      <w:r w:rsidR="00F21123">
        <w:rPr>
          <w:rFonts w:hint="cs"/>
          <w:rtl/>
        </w:rPr>
        <w:t>יט</w:t>
      </w:r>
      <w:proofErr w:type="spellEnd"/>
      <w:r w:rsidR="00F21123">
        <w:rPr>
          <w:rFonts w:hint="cs"/>
          <w:rtl/>
        </w:rPr>
        <w:t xml:space="preserve"> </w:t>
      </w:r>
      <w:proofErr w:type="spellStart"/>
      <w:r w:rsidR="00F21123">
        <w:rPr>
          <w:rFonts w:hint="cs"/>
          <w:rtl/>
        </w:rPr>
        <w:t>יח</w:t>
      </w:r>
      <w:proofErr w:type="spellEnd"/>
      <w:r>
        <w:rPr>
          <w:rFonts w:hint="cs"/>
          <w:rtl/>
        </w:rPr>
        <w:t>).</w:t>
      </w:r>
      <w:r w:rsidR="00A3083F">
        <w:rPr>
          <w:rFonts w:hint="cs"/>
          <w:rtl/>
        </w:rPr>
        <w:t xml:space="preserve"> </w:t>
      </w:r>
      <w:r w:rsidR="004369A0">
        <w:rPr>
          <w:rFonts w:hint="cs"/>
          <w:rtl/>
        </w:rPr>
        <w:t>ראו</w:t>
      </w:r>
      <w:r w:rsidR="00A3083F">
        <w:rPr>
          <w:rFonts w:hint="cs"/>
          <w:rtl/>
        </w:rPr>
        <w:t xml:space="preserve"> גם </w:t>
      </w:r>
      <w:r w:rsidR="00A3083F">
        <w:rPr>
          <w:rtl/>
        </w:rPr>
        <w:t xml:space="preserve">עבודה זרה </w:t>
      </w:r>
      <w:proofErr w:type="spellStart"/>
      <w:r w:rsidR="00A3083F">
        <w:rPr>
          <w:rtl/>
        </w:rPr>
        <w:t>יז</w:t>
      </w:r>
      <w:proofErr w:type="spellEnd"/>
      <w:r w:rsidR="00A3083F">
        <w:rPr>
          <w:rtl/>
        </w:rPr>
        <w:t xml:space="preserve"> ע</w:t>
      </w:r>
      <w:r w:rsidR="00A3083F">
        <w:rPr>
          <w:rFonts w:hint="cs"/>
          <w:rtl/>
        </w:rPr>
        <w:t>"ב: "</w:t>
      </w:r>
      <w:proofErr w:type="spellStart"/>
      <w:r w:rsidR="00A3083F">
        <w:rPr>
          <w:rtl/>
        </w:rPr>
        <w:t>ניזיל</w:t>
      </w:r>
      <w:proofErr w:type="spellEnd"/>
      <w:r w:rsidR="00A3083F">
        <w:rPr>
          <w:rtl/>
        </w:rPr>
        <w:t xml:space="preserve"> </w:t>
      </w:r>
      <w:proofErr w:type="spellStart"/>
      <w:r w:rsidR="00A3083F">
        <w:rPr>
          <w:rtl/>
        </w:rPr>
        <w:t>אפיתחא</w:t>
      </w:r>
      <w:proofErr w:type="spellEnd"/>
      <w:r w:rsidR="00A3083F">
        <w:rPr>
          <w:rtl/>
        </w:rPr>
        <w:t xml:space="preserve"> דבי זונות </w:t>
      </w:r>
      <w:proofErr w:type="spellStart"/>
      <w:r w:rsidR="00A3083F">
        <w:rPr>
          <w:rtl/>
        </w:rPr>
        <w:t>ונכפייה</w:t>
      </w:r>
      <w:proofErr w:type="spellEnd"/>
      <w:r w:rsidR="00A3083F">
        <w:rPr>
          <w:rtl/>
        </w:rPr>
        <w:t xml:space="preserve"> </w:t>
      </w:r>
      <w:proofErr w:type="spellStart"/>
      <w:r w:rsidR="00A3083F">
        <w:rPr>
          <w:rtl/>
        </w:rPr>
        <w:t>ליצרין</w:t>
      </w:r>
      <w:proofErr w:type="spellEnd"/>
      <w:r w:rsidR="00A3083F">
        <w:rPr>
          <w:rFonts w:hint="cs"/>
          <w:rtl/>
        </w:rPr>
        <w:t>".</w:t>
      </w:r>
    </w:p>
  </w:footnote>
  <w:footnote w:id="18">
    <w:p w14:paraId="09ABD5EF" w14:textId="10C8B5D5" w:rsidR="00B50B45" w:rsidRDefault="00B50B45" w:rsidP="004B11CD">
      <w:pPr>
        <w:pStyle w:val="a3"/>
        <w:rPr>
          <w:rtl/>
        </w:rPr>
      </w:pPr>
      <w:r>
        <w:rPr>
          <w:rStyle w:val="a5"/>
        </w:rPr>
        <w:footnoteRef/>
      </w:r>
      <w:r>
        <w:rPr>
          <w:rtl/>
        </w:rPr>
        <w:t xml:space="preserve"> </w:t>
      </w:r>
      <w:r>
        <w:rPr>
          <w:rFonts w:hint="cs"/>
          <w:rtl/>
        </w:rPr>
        <w:t>שוב הדמיון בין השבת אבדה ומצוות פריקה/טעינה עד כדי כך שדרשה זו של "תנו רבנן" (שמקורה ב</w:t>
      </w:r>
      <w:r>
        <w:rPr>
          <w:rtl/>
        </w:rPr>
        <w:t xml:space="preserve">מכילתא דרבי ישמעאל משפטים - </w:t>
      </w:r>
      <w:proofErr w:type="spellStart"/>
      <w:r>
        <w:rPr>
          <w:rtl/>
        </w:rPr>
        <w:t>מסכתא</w:t>
      </w:r>
      <w:proofErr w:type="spellEnd"/>
      <w:r>
        <w:rPr>
          <w:rtl/>
        </w:rPr>
        <w:t xml:space="preserve"> </w:t>
      </w:r>
      <w:proofErr w:type="spellStart"/>
      <w:r>
        <w:rPr>
          <w:rtl/>
        </w:rPr>
        <w:t>דכספא</w:t>
      </w:r>
      <w:proofErr w:type="spellEnd"/>
      <w:r>
        <w:rPr>
          <w:rtl/>
        </w:rPr>
        <w:t xml:space="preserve"> פרשה כ</w:t>
      </w:r>
      <w:r>
        <w:rPr>
          <w:rFonts w:hint="cs"/>
          <w:rtl/>
        </w:rPr>
        <w:t>) מקשה מ"כי תפגע" שנאמר בהשבת אבדה (</w:t>
      </w:r>
      <w:r w:rsidR="004369A0">
        <w:rPr>
          <w:rFonts w:hint="cs"/>
          <w:rtl/>
        </w:rPr>
        <w:t>ראו</w:t>
      </w:r>
      <w:r>
        <w:rPr>
          <w:rFonts w:hint="cs"/>
          <w:rtl/>
        </w:rPr>
        <w:t xml:space="preserve"> </w:t>
      </w:r>
      <w:r w:rsidR="00F21123">
        <w:rPr>
          <w:rFonts w:hint="cs"/>
          <w:rtl/>
        </w:rPr>
        <w:t>הפסוק שהבאנו ב</w:t>
      </w:r>
      <w:r>
        <w:rPr>
          <w:rFonts w:hint="cs"/>
          <w:rtl/>
        </w:rPr>
        <w:t>הערה 1) על "כי תראה" של מצוות פריקה בפרשתנו: תפגע</w:t>
      </w:r>
      <w:r w:rsidR="00F21123">
        <w:rPr>
          <w:rFonts w:hint="cs"/>
          <w:rtl/>
        </w:rPr>
        <w:t xml:space="preserve">, היינו, רק אם תיתקל מקרוב, </w:t>
      </w:r>
      <w:r w:rsidR="004B11CD">
        <w:rPr>
          <w:rFonts w:hint="cs"/>
          <w:rtl/>
        </w:rPr>
        <w:t xml:space="preserve">אבל </w:t>
      </w:r>
      <w:r>
        <w:rPr>
          <w:rFonts w:hint="cs"/>
          <w:rtl/>
        </w:rPr>
        <w:t>תראה</w:t>
      </w:r>
      <w:r w:rsidR="00F21123">
        <w:rPr>
          <w:rFonts w:hint="cs"/>
          <w:rtl/>
        </w:rPr>
        <w:t>, היינו גם ממרחק</w:t>
      </w:r>
      <w:r>
        <w:rPr>
          <w:rFonts w:hint="cs"/>
          <w:rtl/>
        </w:rPr>
        <w:t xml:space="preserve">? והתירוץ הוא שיש מרחק שהוא ריס (כ-130 מטר, מרחק לא קטן) שבטווח שלו האדם חייב לסטות מדרכו ולסייע. </w:t>
      </w:r>
      <w:r w:rsidR="004369A0">
        <w:rPr>
          <w:rFonts w:hint="cs"/>
          <w:rtl/>
        </w:rPr>
        <w:t>ראו</w:t>
      </w:r>
      <w:r>
        <w:rPr>
          <w:rFonts w:hint="cs"/>
          <w:rtl/>
        </w:rPr>
        <w:t xml:space="preserve"> הסיפור בגמרא שם ל ע"ב על </w:t>
      </w:r>
      <w:proofErr w:type="spellStart"/>
      <w:r>
        <w:rPr>
          <w:rFonts w:hint="cs"/>
          <w:rtl/>
        </w:rPr>
        <w:t>אביי</w:t>
      </w:r>
      <w:proofErr w:type="spellEnd"/>
      <w:r>
        <w:rPr>
          <w:rFonts w:hint="cs"/>
          <w:rtl/>
        </w:rPr>
        <w:t xml:space="preserve"> שראה עיזים משוטטות ליד בית המדרש וזרק עליהם צרור להרחיקם, ורבה אומר לו שברגע זה התחייב בהשבתם לבעליהם. על רקע דרשה זו נעבור לדברי פרשני המקרא ונבין אולי גם את משמעות "וחדלת", שמא תחשוב להימנע מלעזור</w:t>
      </w:r>
      <w:r w:rsidR="004B11CD">
        <w:rPr>
          <w:rFonts w:hint="cs"/>
          <w:rtl/>
        </w:rPr>
        <w:t xml:space="preserve"> ולהתחיל למדוד </w:t>
      </w:r>
      <w:r w:rsidR="00F21123">
        <w:rPr>
          <w:rFonts w:hint="cs"/>
          <w:rtl/>
        </w:rPr>
        <w:t>באיזה מרחק אני</w:t>
      </w:r>
      <w:r w:rsidR="004B11CD">
        <w:rPr>
          <w:rFonts w:hint="cs"/>
          <w:rtl/>
        </w:rPr>
        <w:t xml:space="preserve"> נמצא</w:t>
      </w:r>
      <w:r w:rsidR="00F21123">
        <w:rPr>
          <w:rFonts w:hint="cs"/>
          <w:rtl/>
        </w:rPr>
        <w:t xml:space="preserve"> מהנזקק לעזרה?</w:t>
      </w:r>
      <w:r w:rsidR="00EF2DF2">
        <w:rPr>
          <w:rFonts w:hint="cs"/>
          <w:rtl/>
        </w:rPr>
        <w:t xml:space="preserve"> (אולי באמת טוב שימדוד ברגליו ואז ממילא יתקרב ויתחייב במצווה ...).</w:t>
      </w:r>
      <w:r w:rsidR="0075230F">
        <w:rPr>
          <w:rFonts w:hint="cs"/>
          <w:rtl/>
        </w:rPr>
        <w:t xml:space="preserve"> אבל לפני הפרשנים, עוד מדרש אחד.</w:t>
      </w:r>
    </w:p>
  </w:footnote>
  <w:footnote w:id="19">
    <w:p w14:paraId="203AD857" w14:textId="52C8F165" w:rsidR="00B705F1" w:rsidRDefault="00B705F1" w:rsidP="00DB79B5">
      <w:pPr>
        <w:pStyle w:val="a3"/>
        <w:rPr>
          <w:rtl/>
        </w:rPr>
      </w:pPr>
      <w:r>
        <w:rPr>
          <w:rStyle w:val="a5"/>
        </w:rPr>
        <w:footnoteRef/>
      </w:r>
      <w:r>
        <w:rPr>
          <w:rtl/>
        </w:rPr>
        <w:t xml:space="preserve"> </w:t>
      </w:r>
      <w:r>
        <w:rPr>
          <w:rFonts w:hint="cs"/>
          <w:rtl/>
        </w:rPr>
        <w:t xml:space="preserve">נראה שהתהפכו </w:t>
      </w:r>
      <w:r w:rsidR="00DB79B5">
        <w:rPr>
          <w:rFonts w:hint="cs"/>
          <w:rtl/>
        </w:rPr>
        <w:t xml:space="preserve">כאן </w:t>
      </w:r>
      <w:r>
        <w:rPr>
          <w:rFonts w:hint="cs"/>
          <w:rtl/>
        </w:rPr>
        <w:t>היוצרות</w:t>
      </w:r>
      <w:r w:rsidR="0075230F">
        <w:rPr>
          <w:rFonts w:hint="cs"/>
          <w:rtl/>
        </w:rPr>
        <w:t xml:space="preserve"> (החומשים)</w:t>
      </w:r>
      <w:r>
        <w:rPr>
          <w:rFonts w:hint="cs"/>
          <w:rtl/>
        </w:rPr>
        <w:t xml:space="preserve">, קודם מצוות טעינה </w:t>
      </w:r>
      <w:r w:rsidR="00DB79B5">
        <w:rPr>
          <w:rFonts w:hint="cs"/>
          <w:rtl/>
        </w:rPr>
        <w:t>ש</w:t>
      </w:r>
      <w:r>
        <w:rPr>
          <w:rFonts w:hint="cs"/>
          <w:rtl/>
        </w:rPr>
        <w:t>בספר דברים, זה ברור</w:t>
      </w:r>
      <w:r w:rsidR="00DB79B5">
        <w:rPr>
          <w:rFonts w:hint="cs"/>
          <w:rtl/>
        </w:rPr>
        <w:t xml:space="preserve"> ומובן</w:t>
      </w:r>
      <w:r>
        <w:rPr>
          <w:rFonts w:hint="cs"/>
          <w:rtl/>
        </w:rPr>
        <w:t xml:space="preserve">. למה צריך גם את "עזוב תעזוב" של ספר שמות? לרבות את הפריקה. אבל עדיין, פריקה </w:t>
      </w:r>
      <w:r>
        <w:rPr>
          <w:rtl/>
        </w:rPr>
        <w:t>–</w:t>
      </w:r>
      <w:r>
        <w:rPr>
          <w:rFonts w:hint="cs"/>
          <w:rtl/>
        </w:rPr>
        <w:t xml:space="preserve"> שמות, טעינה </w:t>
      </w:r>
      <w:r>
        <w:rPr>
          <w:rtl/>
        </w:rPr>
        <w:t>–</w:t>
      </w:r>
      <w:r>
        <w:rPr>
          <w:rFonts w:hint="cs"/>
          <w:rtl/>
        </w:rPr>
        <w:t xml:space="preserve"> דברים.</w:t>
      </w:r>
    </w:p>
  </w:footnote>
  <w:footnote w:id="20">
    <w:p w14:paraId="0C8A4305" w14:textId="0698A003" w:rsidR="00261446" w:rsidRDefault="00261446" w:rsidP="00DB79B5">
      <w:pPr>
        <w:pStyle w:val="a3"/>
        <w:rPr>
          <w:rtl/>
        </w:rPr>
      </w:pPr>
      <w:r>
        <w:rPr>
          <w:rStyle w:val="a5"/>
        </w:rPr>
        <w:footnoteRef/>
      </w:r>
      <w:r>
        <w:rPr>
          <w:rtl/>
        </w:rPr>
        <w:t xml:space="preserve"> </w:t>
      </w:r>
      <w:r>
        <w:rPr>
          <w:rFonts w:hint="cs"/>
          <w:rtl/>
        </w:rPr>
        <w:t xml:space="preserve">פה באמת התהפכו היוצרות! בשיטת ר' יאשיה שני הפסוקים בתורה, בספר שמות ובספר דברים, מדברים בפריקה! ודין טעינה, נלמד בקל וחומר. בדיוק ההפך מהקל וחומר של חכמים שראינו בהערות </w:t>
      </w:r>
      <w:r w:rsidR="00DB79B5">
        <w:rPr>
          <w:rFonts w:hint="cs"/>
          <w:rtl/>
        </w:rPr>
        <w:t>10</w:t>
      </w:r>
      <w:r>
        <w:rPr>
          <w:rFonts w:hint="cs"/>
          <w:rtl/>
        </w:rPr>
        <w:t xml:space="preserve"> ו- </w:t>
      </w:r>
      <w:r w:rsidR="00DB79B5">
        <w:rPr>
          <w:rFonts w:hint="cs"/>
          <w:rtl/>
        </w:rPr>
        <w:t>16</w:t>
      </w:r>
      <w:r>
        <w:rPr>
          <w:rFonts w:hint="cs"/>
          <w:rtl/>
        </w:rPr>
        <w:t xml:space="preserve">. כל זה, משום שר' יאשיה מדבר על אדם שנושא משא, לא על חמור או שור! </w:t>
      </w:r>
      <w:r w:rsidR="004369A0">
        <w:rPr>
          <w:rFonts w:hint="cs"/>
          <w:rtl/>
        </w:rPr>
        <w:t>ראו</w:t>
      </w:r>
      <w:r>
        <w:rPr>
          <w:rFonts w:hint="cs"/>
          <w:rtl/>
        </w:rPr>
        <w:t xml:space="preserve"> בהמשך המכילתא שם: "</w:t>
      </w:r>
      <w:r w:rsidRPr="00B705F1">
        <w:rPr>
          <w:rtl/>
        </w:rPr>
        <w:t>אין לי אלא פריקה וטעינה, בהמה עצמה מנין</w:t>
      </w:r>
      <w:r>
        <w:rPr>
          <w:rFonts w:hint="cs"/>
          <w:rtl/>
        </w:rPr>
        <w:t>?</w:t>
      </w:r>
      <w:r w:rsidRPr="00B705F1">
        <w:rPr>
          <w:rtl/>
        </w:rPr>
        <w:t xml:space="preserve"> ת"ל</w:t>
      </w:r>
      <w:r>
        <w:rPr>
          <w:rFonts w:hint="cs"/>
          <w:rtl/>
        </w:rPr>
        <w:t>:</w:t>
      </w:r>
      <w:r w:rsidRPr="00B705F1">
        <w:rPr>
          <w:rtl/>
        </w:rPr>
        <w:t xml:space="preserve"> הקם תקים עמו</w:t>
      </w:r>
      <w:r>
        <w:rPr>
          <w:rFonts w:hint="cs"/>
          <w:rtl/>
        </w:rPr>
        <w:t>".</w:t>
      </w:r>
      <w:r w:rsidR="00DB79B5">
        <w:rPr>
          <w:rFonts w:hint="cs"/>
          <w:rtl/>
        </w:rPr>
        <w:t xml:space="preserve"> היינו, מצווה להקים,</w:t>
      </w:r>
      <w:r>
        <w:rPr>
          <w:rFonts w:hint="cs"/>
          <w:rtl/>
        </w:rPr>
        <w:t xml:space="preserve"> גם מה ש</w:t>
      </w:r>
      <w:r w:rsidR="00DB79B5">
        <w:rPr>
          <w:rFonts w:hint="cs"/>
          <w:rtl/>
        </w:rPr>
        <w:t>"</w:t>
      </w:r>
      <w:r>
        <w:rPr>
          <w:rFonts w:hint="cs"/>
          <w:rtl/>
        </w:rPr>
        <w:t>עמו</w:t>
      </w:r>
      <w:r w:rsidR="00DB79B5">
        <w:rPr>
          <w:rFonts w:hint="cs"/>
          <w:rtl/>
        </w:rPr>
        <w:t>"</w:t>
      </w:r>
      <w:r>
        <w:rPr>
          <w:rFonts w:hint="cs"/>
          <w:rtl/>
        </w:rPr>
        <w:t xml:space="preserve"> ורכושו, לא רק </w:t>
      </w:r>
      <w:r w:rsidR="00DB79B5">
        <w:rPr>
          <w:rFonts w:hint="cs"/>
          <w:rtl/>
        </w:rPr>
        <w:t xml:space="preserve">את </w:t>
      </w:r>
      <w:r>
        <w:rPr>
          <w:rFonts w:hint="cs"/>
          <w:rtl/>
        </w:rPr>
        <w:t xml:space="preserve">האדם עצמו. בל נשכח את האדם שנושא משא! ולפיכך הקל וחומר </w:t>
      </w:r>
      <w:r w:rsidR="00DB79B5">
        <w:rPr>
          <w:rFonts w:hint="cs"/>
          <w:rtl/>
        </w:rPr>
        <w:t xml:space="preserve">הוא </w:t>
      </w:r>
      <w:r>
        <w:rPr>
          <w:rFonts w:hint="cs"/>
          <w:rtl/>
        </w:rPr>
        <w:t>הפוך. באדם שיודע לפרוק בעצמו, הקל הוא פריקה והחומר הוא טעינה. ואצל בעל חיים, בדיוק ההפך! טעינה זה הקל, ופריקה, משום צער בעלי חיים וחסרון כיס, ה</w:t>
      </w:r>
      <w:r w:rsidR="00F21123">
        <w:rPr>
          <w:rFonts w:hint="cs"/>
          <w:rtl/>
        </w:rPr>
        <w:t>י</w:t>
      </w:r>
      <w:r>
        <w:rPr>
          <w:rFonts w:hint="cs"/>
          <w:rtl/>
        </w:rPr>
        <w:t>א החמור</w:t>
      </w:r>
      <w:r w:rsidR="00F21123">
        <w:rPr>
          <w:rFonts w:hint="cs"/>
          <w:rtl/>
        </w:rPr>
        <w:t>ה</w:t>
      </w:r>
      <w:r>
        <w:rPr>
          <w:rFonts w:hint="cs"/>
          <w:rtl/>
        </w:rPr>
        <w:t>.</w:t>
      </w:r>
    </w:p>
  </w:footnote>
  <w:footnote w:id="21">
    <w:p w14:paraId="2F39E03F" w14:textId="74DFAB01" w:rsidR="001C4A69" w:rsidRDefault="001C4A69" w:rsidP="00F21123">
      <w:pPr>
        <w:pStyle w:val="a3"/>
      </w:pPr>
      <w:r>
        <w:rPr>
          <w:rStyle w:val="a5"/>
        </w:rPr>
        <w:footnoteRef/>
      </w:r>
      <w:r>
        <w:rPr>
          <w:rtl/>
        </w:rPr>
        <w:t xml:space="preserve"> </w:t>
      </w:r>
      <w:r w:rsidR="004369A0">
        <w:rPr>
          <w:rFonts w:hint="cs"/>
          <w:rtl/>
        </w:rPr>
        <w:t>ראו</w:t>
      </w:r>
      <w:r>
        <w:rPr>
          <w:rFonts w:hint="cs"/>
          <w:rtl/>
        </w:rPr>
        <w:t xml:space="preserve"> סדר המצוות בספר המצוות לרמב"ם שהוא מונה שלוש מצוות בעניין</w:t>
      </w:r>
      <w:r w:rsidR="00EA7C65">
        <w:rPr>
          <w:rFonts w:hint="cs"/>
          <w:rtl/>
        </w:rPr>
        <w:t>, שתי מצ</w:t>
      </w:r>
      <w:r w:rsidR="00F21123">
        <w:rPr>
          <w:rFonts w:hint="cs"/>
          <w:rtl/>
        </w:rPr>
        <w:t>ו</w:t>
      </w:r>
      <w:r w:rsidR="00EA7C65">
        <w:rPr>
          <w:rFonts w:hint="cs"/>
          <w:rtl/>
        </w:rPr>
        <w:t>ות עשה ואחת לא תעשה</w:t>
      </w:r>
      <w:r>
        <w:rPr>
          <w:rFonts w:hint="cs"/>
          <w:rtl/>
        </w:rPr>
        <w:t>: "</w:t>
      </w:r>
      <w:proofErr w:type="spellStart"/>
      <w:r>
        <w:rPr>
          <w:rtl/>
        </w:rPr>
        <w:t>והמצוה</w:t>
      </w:r>
      <w:proofErr w:type="spellEnd"/>
      <w:r>
        <w:rPr>
          <w:rtl/>
        </w:rPr>
        <w:t xml:space="preserve"> </w:t>
      </w:r>
      <w:proofErr w:type="spellStart"/>
      <w:r>
        <w:rPr>
          <w:rtl/>
        </w:rPr>
        <w:t>הר"ב</w:t>
      </w:r>
      <w:proofErr w:type="spellEnd"/>
      <w:r>
        <w:rPr>
          <w:rtl/>
        </w:rPr>
        <w:t xml:space="preserve"> היא </w:t>
      </w:r>
      <w:proofErr w:type="spellStart"/>
      <w:r>
        <w:rPr>
          <w:rtl/>
        </w:rPr>
        <w:t>שצונו</w:t>
      </w:r>
      <w:proofErr w:type="spellEnd"/>
      <w:r>
        <w:rPr>
          <w:rtl/>
        </w:rPr>
        <w:t xml:space="preserve"> להוריד המשא מעל הבהמה שנתייגעה במשאה בדרך והוא אמרו יתעלה</w:t>
      </w:r>
      <w:r>
        <w:rPr>
          <w:rFonts w:hint="cs"/>
          <w:rtl/>
        </w:rPr>
        <w:t xml:space="preserve">: </w:t>
      </w:r>
      <w:r>
        <w:rPr>
          <w:rtl/>
        </w:rPr>
        <w:t>כי תראה חמור שונאך וכו' עזוב תעזוב עמו</w:t>
      </w:r>
      <w:r>
        <w:rPr>
          <w:rFonts w:hint="cs"/>
          <w:rtl/>
        </w:rPr>
        <w:t>"</w:t>
      </w:r>
      <w:r>
        <w:rPr>
          <w:rtl/>
        </w:rPr>
        <w:t>.</w:t>
      </w:r>
      <w:r>
        <w:rPr>
          <w:rFonts w:hint="cs"/>
          <w:rtl/>
        </w:rPr>
        <w:t xml:space="preserve"> "</w:t>
      </w:r>
      <w:proofErr w:type="spellStart"/>
      <w:r>
        <w:rPr>
          <w:rtl/>
        </w:rPr>
        <w:t>והמצוה</w:t>
      </w:r>
      <w:proofErr w:type="spellEnd"/>
      <w:r>
        <w:rPr>
          <w:rtl/>
        </w:rPr>
        <w:t xml:space="preserve"> הר"ג היא </w:t>
      </w:r>
      <w:proofErr w:type="spellStart"/>
      <w:r>
        <w:rPr>
          <w:rtl/>
        </w:rPr>
        <w:t>שצונו</w:t>
      </w:r>
      <w:proofErr w:type="spellEnd"/>
      <w:r>
        <w:rPr>
          <w:rtl/>
        </w:rPr>
        <w:t xml:space="preserve"> להקים המשא על הבהמה או על האדם כשיהיה לבדו</w:t>
      </w:r>
      <w:r>
        <w:rPr>
          <w:rFonts w:hint="cs"/>
          <w:rtl/>
        </w:rPr>
        <w:t>,</w:t>
      </w:r>
      <w:r>
        <w:rPr>
          <w:rtl/>
        </w:rPr>
        <w:t xml:space="preserve"> אחר שנורידהו ממנו או אחר שהורידוהו </w:t>
      </w:r>
      <w:proofErr w:type="spellStart"/>
      <w:r>
        <w:rPr>
          <w:rtl/>
        </w:rPr>
        <w:t>זולתינו</w:t>
      </w:r>
      <w:proofErr w:type="spellEnd"/>
      <w:r>
        <w:rPr>
          <w:rFonts w:hint="cs"/>
          <w:rtl/>
        </w:rPr>
        <w:t>"</w:t>
      </w:r>
      <w:r>
        <w:rPr>
          <w:rtl/>
        </w:rPr>
        <w:t>.</w:t>
      </w:r>
      <w:r w:rsidR="00EA7C65">
        <w:rPr>
          <w:rFonts w:hint="cs"/>
          <w:rtl/>
        </w:rPr>
        <w:t xml:space="preserve"> </w:t>
      </w:r>
      <w:r w:rsidR="00387AD5">
        <w:rPr>
          <w:rFonts w:hint="cs"/>
          <w:rtl/>
        </w:rPr>
        <w:t xml:space="preserve">(וסמוך לה מצווה ר"ד להשיב האבדה). </w:t>
      </w:r>
      <w:r w:rsidR="00EA7C65">
        <w:rPr>
          <w:rFonts w:hint="cs"/>
          <w:rtl/>
        </w:rPr>
        <w:t>"</w:t>
      </w:r>
      <w:proofErr w:type="spellStart"/>
      <w:r w:rsidR="00EA7C65">
        <w:rPr>
          <w:rtl/>
        </w:rPr>
        <w:t>והמצוה</w:t>
      </w:r>
      <w:proofErr w:type="spellEnd"/>
      <w:r w:rsidR="00EA7C65">
        <w:rPr>
          <w:rtl/>
        </w:rPr>
        <w:t xml:space="preserve"> </w:t>
      </w:r>
      <w:proofErr w:type="spellStart"/>
      <w:r w:rsidR="00EA7C65">
        <w:rPr>
          <w:rtl/>
        </w:rPr>
        <w:t>הר"ע</w:t>
      </w:r>
      <w:proofErr w:type="spellEnd"/>
      <w:r w:rsidR="00EA7C65">
        <w:rPr>
          <w:rtl/>
        </w:rPr>
        <w:t xml:space="preserve"> היא שהזהירנו מהניח הנבוך במשאו ולחוץ בדרך</w:t>
      </w:r>
      <w:r w:rsidR="00EA7C65">
        <w:rPr>
          <w:rFonts w:hint="cs"/>
          <w:rtl/>
        </w:rPr>
        <w:t>,</w:t>
      </w:r>
      <w:r w:rsidR="00EA7C65">
        <w:rPr>
          <w:rtl/>
        </w:rPr>
        <w:t xml:space="preserve"> אבל נעזור אותו ונפרק ממנו עד שיתוקן לשאת אותו ונגביה עמו משאו אם על גבו או על בהמתו</w:t>
      </w:r>
      <w:r w:rsidR="00EA7C65">
        <w:rPr>
          <w:rFonts w:hint="cs"/>
          <w:rtl/>
        </w:rPr>
        <w:t>.</w:t>
      </w:r>
      <w:r w:rsidR="00EA7C65">
        <w:rPr>
          <w:rtl/>
        </w:rPr>
        <w:t xml:space="preserve"> כמו שהתבאר במשפטי מצוה זו והוא אמרו (משפטי</w:t>
      </w:r>
      <w:r w:rsidR="00F21123">
        <w:rPr>
          <w:rFonts w:hint="cs"/>
          <w:rtl/>
        </w:rPr>
        <w:t>ם</w:t>
      </w:r>
      <w:r w:rsidR="00EA7C65">
        <w:rPr>
          <w:rtl/>
        </w:rPr>
        <w:t xml:space="preserve"> </w:t>
      </w:r>
      <w:proofErr w:type="spellStart"/>
      <w:r w:rsidR="00EA7C65">
        <w:rPr>
          <w:rtl/>
        </w:rPr>
        <w:t>כג</w:t>
      </w:r>
      <w:proofErr w:type="spellEnd"/>
      <w:r w:rsidR="00EA7C65">
        <w:rPr>
          <w:rtl/>
        </w:rPr>
        <w:t>) וחדלת מעזוב לו עזוב תעזוב עמו</w:t>
      </w:r>
      <w:r w:rsidR="00EA7C65">
        <w:rPr>
          <w:rFonts w:hint="cs"/>
          <w:rtl/>
        </w:rPr>
        <w:t>"</w:t>
      </w:r>
      <w:r w:rsidR="00EA7C65">
        <w:rPr>
          <w:rtl/>
        </w:rPr>
        <w:t>.</w:t>
      </w:r>
      <w:r w:rsidR="00EA7C65">
        <w:rPr>
          <w:rFonts w:hint="cs"/>
          <w:rtl/>
        </w:rPr>
        <w:t xml:space="preserve"> שי</w:t>
      </w:r>
      <w:r w:rsidR="008C1177">
        <w:rPr>
          <w:rFonts w:hint="cs"/>
          <w:rtl/>
        </w:rPr>
        <w:t>מו</w:t>
      </w:r>
      <w:r w:rsidR="00EA7C65">
        <w:rPr>
          <w:rFonts w:hint="cs"/>
          <w:rtl/>
        </w:rPr>
        <w:t xml:space="preserve"> לב איך בשתי המצוות האחרונות הוא מזכיר גם </w:t>
      </w:r>
      <w:r w:rsidR="00DB79B5">
        <w:rPr>
          <w:rFonts w:hint="cs"/>
          <w:rtl/>
        </w:rPr>
        <w:t>את ה</w:t>
      </w:r>
      <w:r w:rsidR="00EA7C65">
        <w:rPr>
          <w:rFonts w:hint="cs"/>
          <w:rtl/>
        </w:rPr>
        <w:t>אדם שנושא משאות ולא רק בעלי חיים</w:t>
      </w:r>
      <w:r w:rsidR="00B705F1">
        <w:rPr>
          <w:rFonts w:hint="cs"/>
          <w:rtl/>
        </w:rPr>
        <w:t>, אולי בעקבות המכילתא.</w:t>
      </w:r>
      <w:r w:rsidR="008C1177">
        <w:rPr>
          <w:rFonts w:hint="cs"/>
          <w:rtl/>
        </w:rPr>
        <w:t xml:space="preserve"> מצוות טעינה משותפת לאדם ולבהמה, בעוד שמצוות פריקה נפרדת: אחת לאדם ואחת לבהמה. </w:t>
      </w:r>
    </w:p>
  </w:footnote>
  <w:footnote w:id="22">
    <w:p w14:paraId="5A5CAB06" w14:textId="768877FE" w:rsidR="00A3083F" w:rsidRDefault="00A3083F" w:rsidP="00DB79B5">
      <w:pPr>
        <w:pStyle w:val="a3"/>
        <w:rPr>
          <w:rtl/>
        </w:rPr>
      </w:pPr>
      <w:r>
        <w:rPr>
          <w:rStyle w:val="a5"/>
        </w:rPr>
        <w:footnoteRef/>
      </w:r>
      <w:r>
        <w:rPr>
          <w:rtl/>
        </w:rPr>
        <w:t xml:space="preserve"> </w:t>
      </w:r>
      <w:r>
        <w:rPr>
          <w:rFonts w:hint="cs"/>
          <w:rtl/>
        </w:rPr>
        <w:t xml:space="preserve">אחרי כל הדיונים על פריקה וטעינה, מה חמור ומה קל </w:t>
      </w:r>
      <w:proofErr w:type="spellStart"/>
      <w:r>
        <w:rPr>
          <w:rFonts w:hint="cs"/>
          <w:rtl/>
        </w:rPr>
        <w:t>וכו</w:t>
      </w:r>
      <w:proofErr w:type="spellEnd"/>
      <w:r>
        <w:rPr>
          <w:rFonts w:hint="cs"/>
          <w:rtl/>
        </w:rPr>
        <w:t xml:space="preserve">', </w:t>
      </w:r>
      <w:r w:rsidR="00EE15C3">
        <w:rPr>
          <w:rFonts w:hint="cs"/>
          <w:rtl/>
        </w:rPr>
        <w:t xml:space="preserve">יוצר </w:t>
      </w:r>
      <w:r>
        <w:rPr>
          <w:rFonts w:hint="cs"/>
          <w:rtl/>
        </w:rPr>
        <w:t>הרמב"ם</w:t>
      </w:r>
      <w:r w:rsidR="00EE15C3">
        <w:rPr>
          <w:rFonts w:hint="cs"/>
          <w:rtl/>
        </w:rPr>
        <w:t xml:space="preserve">, </w:t>
      </w:r>
      <w:r>
        <w:rPr>
          <w:rFonts w:hint="cs"/>
          <w:rtl/>
        </w:rPr>
        <w:t>בלשונו הצחה והבהירה</w:t>
      </w:r>
      <w:r w:rsidR="00EE15C3">
        <w:rPr>
          <w:rFonts w:hint="cs"/>
          <w:rtl/>
        </w:rPr>
        <w:t>, חיבור פשוט וטבעי ביניהם. אי אפשר רק לפרוק בלי להשלים את המצווה ולסייע בטעינה מחדש!</w:t>
      </w:r>
      <w:r>
        <w:rPr>
          <w:rFonts w:hint="cs"/>
          <w:rtl/>
        </w:rPr>
        <w:t xml:space="preserve"> </w:t>
      </w:r>
      <w:r w:rsidR="00EE15C3">
        <w:rPr>
          <w:rFonts w:hint="cs"/>
          <w:rtl/>
        </w:rPr>
        <w:t xml:space="preserve">תסייע לפרוק ותסתלק? </w:t>
      </w:r>
      <w:r w:rsidR="00DB79B5">
        <w:rPr>
          <w:rFonts w:hint="cs"/>
          <w:rtl/>
        </w:rPr>
        <w:t>ת</w:t>
      </w:r>
      <w:r w:rsidR="00EE15C3">
        <w:rPr>
          <w:rFonts w:hint="cs"/>
          <w:rtl/>
        </w:rPr>
        <w:t>קיי</w:t>
      </w:r>
      <w:r w:rsidR="00DB79B5">
        <w:rPr>
          <w:rFonts w:hint="cs"/>
          <w:rtl/>
        </w:rPr>
        <w:t>ם</w:t>
      </w:r>
      <w:r w:rsidR="00EE15C3">
        <w:rPr>
          <w:rFonts w:hint="cs"/>
          <w:rtl/>
        </w:rPr>
        <w:t xml:space="preserve"> מצווה אחת ו</w:t>
      </w:r>
      <w:r w:rsidR="00DB79B5">
        <w:rPr>
          <w:rFonts w:hint="cs"/>
          <w:rtl/>
        </w:rPr>
        <w:t xml:space="preserve">את </w:t>
      </w:r>
      <w:r w:rsidR="00EE15C3">
        <w:rPr>
          <w:rFonts w:hint="cs"/>
          <w:rtl/>
        </w:rPr>
        <w:t>השנייה אי"ה בפעם אחרת? מישהו אחר</w:t>
      </w:r>
      <w:r w:rsidR="00DB79B5">
        <w:rPr>
          <w:rFonts w:hint="cs"/>
          <w:rtl/>
        </w:rPr>
        <w:t xml:space="preserve"> יקיים אותה</w:t>
      </w:r>
      <w:r w:rsidR="00EE15C3">
        <w:rPr>
          <w:rFonts w:hint="cs"/>
          <w:rtl/>
        </w:rPr>
        <w:t>? לא</w:t>
      </w:r>
      <w:r w:rsidR="008C1177">
        <w:rPr>
          <w:rFonts w:hint="cs"/>
          <w:rtl/>
        </w:rPr>
        <w:t xml:space="preserve"> כך</w:t>
      </w:r>
      <w:r w:rsidR="00EE15C3">
        <w:rPr>
          <w:rFonts w:hint="cs"/>
          <w:rtl/>
        </w:rPr>
        <w:t xml:space="preserve">, פרקת, הרגעת, השבת רוח </w:t>
      </w:r>
      <w:r w:rsidR="00EE15C3">
        <w:rPr>
          <w:rtl/>
        </w:rPr>
        <w:t>–</w:t>
      </w:r>
      <w:r w:rsidR="00EE15C3">
        <w:rPr>
          <w:rFonts w:hint="cs"/>
          <w:rtl/>
        </w:rPr>
        <w:t xml:space="preserve"> עמוד וסייע לטעון וודא שהאדם או הבהמה ממשיכים בדרכם. התורה תחשיב לך זאת כשתי מצוות (וגם הימנעות מלא תעשה) </w:t>
      </w:r>
      <w:r w:rsidR="00EE15C3">
        <w:rPr>
          <w:rtl/>
        </w:rPr>
        <w:t>–</w:t>
      </w:r>
      <w:r w:rsidR="00EE15C3">
        <w:rPr>
          <w:rFonts w:hint="cs"/>
          <w:rtl/>
        </w:rPr>
        <w:t xml:space="preserve"> אבל באמת, זו מצווה מתמשכת אחת! מצוות טעינה, תיתכן לעצמה, אבל לא פריקה. ר' יאשיה צודק שאם התורה מצווה על פריקה, וודאי שיש ציווי גם על טעינה. אבל לא מקל וחומר, כי אם מרצף של מעשה שלא ניתן לעצור באמצעו.</w:t>
      </w:r>
      <w:r w:rsidR="00DB79B5">
        <w:rPr>
          <w:rFonts w:hint="cs"/>
          <w:rtl/>
        </w:rPr>
        <w:t xml:space="preserve"> נראה שהרמב"ם כאן מחדש חידוש מעשי-אנושי מעניין.</w:t>
      </w:r>
      <w:r>
        <w:rPr>
          <w:rFonts w:hint="cs"/>
          <w:rtl/>
        </w:rPr>
        <w:t xml:space="preserve"> </w:t>
      </w:r>
    </w:p>
  </w:footnote>
  <w:footnote w:id="23">
    <w:p w14:paraId="3019F2BA" w14:textId="77777777" w:rsidR="00EA7C65" w:rsidRDefault="00EA7C65" w:rsidP="00EF2DF2">
      <w:pPr>
        <w:pStyle w:val="a3"/>
        <w:rPr>
          <w:rtl/>
        </w:rPr>
      </w:pPr>
      <w:r>
        <w:rPr>
          <w:rStyle w:val="a5"/>
        </w:rPr>
        <w:footnoteRef/>
      </w:r>
      <w:r>
        <w:rPr>
          <w:rtl/>
        </w:rPr>
        <w:t xml:space="preserve"> </w:t>
      </w:r>
      <w:r>
        <w:rPr>
          <w:rFonts w:hint="cs"/>
          <w:rtl/>
        </w:rPr>
        <w:t xml:space="preserve">בהערה </w:t>
      </w:r>
      <w:r w:rsidR="00EF2DF2">
        <w:rPr>
          <w:rFonts w:hint="cs"/>
          <w:rtl/>
        </w:rPr>
        <w:t xml:space="preserve">21 </w:t>
      </w:r>
      <w:r>
        <w:rPr>
          <w:rFonts w:hint="cs"/>
          <w:rtl/>
        </w:rPr>
        <w:t>ראינו שהרמב"ם לומד את מצוות הלא תעשה מ</w:t>
      </w:r>
      <w:r w:rsidR="00EF2DF2">
        <w:rPr>
          <w:rFonts w:hint="cs"/>
          <w:rtl/>
        </w:rPr>
        <w:t xml:space="preserve">המילה </w:t>
      </w:r>
      <w:r>
        <w:rPr>
          <w:rFonts w:hint="cs"/>
          <w:rtl/>
        </w:rPr>
        <w:t>"וחדלת"</w:t>
      </w:r>
      <w:r w:rsidR="00EF2DF2">
        <w:rPr>
          <w:rFonts w:hint="cs"/>
          <w:rtl/>
        </w:rPr>
        <w:t xml:space="preserve"> שבפסוק בספר שמות </w:t>
      </w:r>
      <w:r w:rsidR="00EF2DF2">
        <w:rPr>
          <w:rtl/>
        </w:rPr>
        <w:t>–</w:t>
      </w:r>
      <w:r w:rsidR="00EF2DF2">
        <w:rPr>
          <w:rFonts w:hint="cs"/>
          <w:rtl/>
        </w:rPr>
        <w:t xml:space="preserve"> שלא </w:t>
      </w:r>
      <w:proofErr w:type="spellStart"/>
      <w:r w:rsidR="00EF2DF2">
        <w:rPr>
          <w:rFonts w:hint="cs"/>
          <w:rtl/>
        </w:rPr>
        <w:t>תחדול</w:t>
      </w:r>
      <w:proofErr w:type="spellEnd"/>
      <w:r>
        <w:rPr>
          <w:rFonts w:hint="cs"/>
          <w:rtl/>
        </w:rPr>
        <w:t xml:space="preserve">, אבל כאן, ביד החזקה, </w:t>
      </w:r>
      <w:r w:rsidR="00EF2DF2">
        <w:rPr>
          <w:rFonts w:hint="cs"/>
          <w:rtl/>
        </w:rPr>
        <w:t xml:space="preserve">הלימוד הוא </w:t>
      </w:r>
      <w:r>
        <w:rPr>
          <w:rFonts w:hint="cs"/>
          <w:rtl/>
        </w:rPr>
        <w:t>מ"לא תראה" שבפסוק בספר דברים.</w:t>
      </w:r>
      <w:r w:rsidR="00EF2DF2">
        <w:rPr>
          <w:rFonts w:hint="cs"/>
          <w:rtl/>
        </w:rPr>
        <w:t xml:space="preserve"> מצוות הלא תעשה של התעלמות מצויה בשני הפסוקים.</w:t>
      </w:r>
    </w:p>
  </w:footnote>
  <w:footnote w:id="24">
    <w:p w14:paraId="6E819279" w14:textId="1B59CF8B" w:rsidR="00EA7C65" w:rsidRDefault="00EA7C65" w:rsidP="00437ED0">
      <w:pPr>
        <w:pStyle w:val="a3"/>
        <w:rPr>
          <w:rtl/>
        </w:rPr>
      </w:pPr>
      <w:r>
        <w:rPr>
          <w:rStyle w:val="a5"/>
        </w:rPr>
        <w:footnoteRef/>
      </w:r>
      <w:r>
        <w:rPr>
          <w:rtl/>
        </w:rPr>
        <w:t xml:space="preserve"> </w:t>
      </w:r>
      <w:r>
        <w:rPr>
          <w:rFonts w:hint="cs"/>
          <w:rtl/>
        </w:rPr>
        <w:t xml:space="preserve">מידת החסידות כאן היא לסייע למישהו שאולי לא כ"כ "רובץ תחת משאו", שהרי </w:t>
      </w:r>
      <w:r w:rsidR="00F21123">
        <w:rPr>
          <w:rFonts w:hint="cs"/>
          <w:rtl/>
        </w:rPr>
        <w:t>מדובר בתבן וקנים ו</w:t>
      </w:r>
      <w:r>
        <w:rPr>
          <w:rFonts w:hint="cs"/>
          <w:rtl/>
        </w:rPr>
        <w:t xml:space="preserve">הוא במקומו </w:t>
      </w:r>
      <w:r w:rsidR="00F21123">
        <w:rPr>
          <w:rFonts w:hint="cs"/>
          <w:rtl/>
        </w:rPr>
        <w:t xml:space="preserve">אולי </w:t>
      </w:r>
      <w:r>
        <w:rPr>
          <w:rFonts w:hint="cs"/>
          <w:rtl/>
        </w:rPr>
        <w:t>היה ממשיך במשא</w:t>
      </w:r>
      <w:r w:rsidR="00F21123">
        <w:rPr>
          <w:rFonts w:hint="cs"/>
          <w:rtl/>
        </w:rPr>
        <w:t xml:space="preserve"> ובמסע</w:t>
      </w:r>
      <w:r>
        <w:rPr>
          <w:rFonts w:hint="cs"/>
          <w:rtl/>
        </w:rPr>
        <w:t xml:space="preserve">. פרק זה ברמב"ם מסכם את רוב דיני מצוות פריקה וטעינה </w:t>
      </w:r>
      <w:r w:rsidR="00F21123">
        <w:rPr>
          <w:rFonts w:hint="cs"/>
          <w:rtl/>
        </w:rPr>
        <w:t>וראוי לקריאה ולימוד</w:t>
      </w:r>
      <w:r w:rsidR="00A3083F">
        <w:rPr>
          <w:rFonts w:hint="cs"/>
          <w:rtl/>
        </w:rPr>
        <w:t xml:space="preserve"> על השולחן.</w:t>
      </w:r>
      <w:r w:rsidR="00F21123">
        <w:rPr>
          <w:rFonts w:hint="cs"/>
          <w:rtl/>
        </w:rPr>
        <w:t xml:space="preserve"> ויש לשים לב להפרדה שעושה הרמב"ם. למרות שבגמרא ראינו שוב ושוב את הקרבה בין הלכות השבת אבדה והלכות פריקה וטעינה, הרמב"ם מפריד</w:t>
      </w:r>
      <w:r w:rsidR="00033B77">
        <w:rPr>
          <w:rFonts w:hint="cs"/>
          <w:rtl/>
        </w:rPr>
        <w:t xml:space="preserve"> ביניהם</w:t>
      </w:r>
      <w:r w:rsidR="00F21123">
        <w:rPr>
          <w:rFonts w:hint="cs"/>
          <w:rtl/>
        </w:rPr>
        <w:t>. את דיני השבת אבדה הוא ממקם יחד עם הלכות גזלה, בעוד שאת דיני פריקה וטעינה הוא ממקם תחת הלכות רוצח ושמירת הנפש</w:t>
      </w:r>
      <w:r w:rsidR="00387AD5">
        <w:rPr>
          <w:rFonts w:hint="cs"/>
          <w:rtl/>
        </w:rPr>
        <w:t xml:space="preserve"> (יחד עם מצוות מעקה ומצוות </w:t>
      </w:r>
      <w:hyperlink r:id="rId5" w:anchor="gsc.tab=0" w:history="1">
        <w:r w:rsidR="00387AD5" w:rsidRPr="008C1177">
          <w:rPr>
            <w:rStyle w:val="Hyperlink"/>
            <w:rFonts w:hint="cs"/>
            <w:rtl/>
          </w:rPr>
          <w:t xml:space="preserve">לא </w:t>
        </w:r>
        <w:r w:rsidR="008C1177" w:rsidRPr="008C1177">
          <w:rPr>
            <w:rStyle w:val="Hyperlink"/>
            <w:rFonts w:hint="cs"/>
            <w:rtl/>
          </w:rPr>
          <w:t>תיתן מכשול</w:t>
        </w:r>
      </w:hyperlink>
      <w:r w:rsidR="00387AD5">
        <w:rPr>
          <w:rFonts w:hint="cs"/>
          <w:rtl/>
        </w:rPr>
        <w:t>)</w:t>
      </w:r>
      <w:r w:rsidR="00F21123">
        <w:rPr>
          <w:rFonts w:hint="cs"/>
          <w:rtl/>
        </w:rPr>
        <w:t xml:space="preserve">! ודבר זה אומר דרשני. </w:t>
      </w:r>
      <w:r w:rsidR="00B705F1">
        <w:rPr>
          <w:rFonts w:hint="cs"/>
          <w:rtl/>
        </w:rPr>
        <w:t xml:space="preserve">בכל הכבוד לדיון בגמרא לגבי הבהמה וצער בעלי חיים, </w:t>
      </w:r>
      <w:r w:rsidR="00033B77">
        <w:rPr>
          <w:rFonts w:hint="cs"/>
          <w:rtl/>
        </w:rPr>
        <w:t xml:space="preserve">ולמרות שהוא עצמו בספר המצוות מונה שתי מצוות: לאדם ולבהמה, </w:t>
      </w:r>
      <w:r w:rsidR="00B705F1">
        <w:rPr>
          <w:rFonts w:hint="cs"/>
          <w:rtl/>
        </w:rPr>
        <w:t xml:space="preserve">הרמב"ם רואה באדם את המרכז. </w:t>
      </w:r>
      <w:r w:rsidR="00033B77">
        <w:rPr>
          <w:rFonts w:hint="cs"/>
          <w:rtl/>
        </w:rPr>
        <w:t>הסיוע הוא לבעל הבהמה יותר מאשר לבהמה</w:t>
      </w:r>
      <w:r w:rsidR="00437ED0">
        <w:rPr>
          <w:rFonts w:hint="cs"/>
          <w:rtl/>
        </w:rPr>
        <w:t>: "אדם ובהמה תושיע"</w:t>
      </w:r>
      <w:r w:rsidR="00033B77">
        <w:rPr>
          <w:rFonts w:hint="cs"/>
          <w:rtl/>
        </w:rPr>
        <w:t>. גם במקרה של הבהמה הנאנקת תחת משאה, האדם מצוי לצידה והוא בהול על ממונו ועשוי להישאר שם גם כשיחשיך היום ויבוא לידי סכנה. "</w:t>
      </w:r>
      <w:r w:rsidR="00033B77">
        <w:rPr>
          <w:rtl/>
        </w:rPr>
        <w:t>ולא יפרוק ויניחנו נבהל וילך</w:t>
      </w:r>
      <w:r w:rsidR="00033B77">
        <w:rPr>
          <w:rFonts w:hint="cs"/>
          <w:rtl/>
        </w:rPr>
        <w:t>", אומר הרמב"ם.</w:t>
      </w:r>
      <w:r w:rsidR="00437ED0">
        <w:rPr>
          <w:rFonts w:hint="cs"/>
          <w:rtl/>
        </w:rPr>
        <w:t xml:space="preserve"> אבל אין הוא מתעלם בהמשך הפרק שם מהמקרה של בהמה שנמצאת ללא בעלים: "</w:t>
      </w:r>
      <w:r w:rsidR="00437ED0">
        <w:rPr>
          <w:rtl/>
        </w:rPr>
        <w:t xml:space="preserve">מצא בהמת </w:t>
      </w:r>
      <w:proofErr w:type="spellStart"/>
      <w:r w:rsidR="00437ED0">
        <w:rPr>
          <w:rtl/>
        </w:rPr>
        <w:t>חבירו</w:t>
      </w:r>
      <w:proofErr w:type="spellEnd"/>
      <w:r w:rsidR="00437ED0">
        <w:rPr>
          <w:rtl/>
        </w:rPr>
        <w:t xml:space="preserve"> רבוצה אף על פי שאין הבעלים עמה מצוה לפרוק מעליה ולטעון עליה</w:t>
      </w:r>
      <w:r w:rsidR="00437ED0">
        <w:rPr>
          <w:rFonts w:hint="cs"/>
          <w:rtl/>
        </w:rPr>
        <w:t>,</w:t>
      </w:r>
      <w:r w:rsidR="00437ED0">
        <w:rPr>
          <w:rtl/>
        </w:rPr>
        <w:t xml:space="preserve"> שנ</w:t>
      </w:r>
      <w:r w:rsidR="00437ED0">
        <w:rPr>
          <w:rFonts w:hint="cs"/>
          <w:rtl/>
        </w:rPr>
        <w:t xml:space="preserve">אמר: </w:t>
      </w:r>
      <w:r w:rsidR="00437ED0">
        <w:rPr>
          <w:rtl/>
        </w:rPr>
        <w:t>עזוב תעזוב הקם תקים מכל מקום</w:t>
      </w:r>
      <w:r w:rsidR="00437ED0">
        <w:rPr>
          <w:rFonts w:hint="cs"/>
          <w:rtl/>
        </w:rPr>
        <w:t xml:space="preserve">". </w:t>
      </w:r>
      <w:r w:rsidR="004369A0">
        <w:rPr>
          <w:rFonts w:hint="cs"/>
          <w:rtl/>
        </w:rPr>
        <w:t>ראו</w:t>
      </w:r>
      <w:r w:rsidR="00437ED0">
        <w:rPr>
          <w:rFonts w:hint="cs"/>
          <w:rtl/>
        </w:rPr>
        <w:t xml:space="preserve"> שם גם המקרה: "</w:t>
      </w:r>
      <w:r w:rsidR="00437ED0">
        <w:rPr>
          <w:rtl/>
        </w:rPr>
        <w:t>אם היה בעל הבהמה זקן או חולה חייב לפרוק ולטעון לבדו</w:t>
      </w:r>
      <w:r w:rsidR="00437ED0">
        <w:rPr>
          <w:rFonts w:hint="cs"/>
          <w:rtl/>
        </w:rPr>
        <w:t>"</w:t>
      </w:r>
      <w:r w:rsidR="00437ED0">
        <w:rPr>
          <w:rtl/>
        </w:rPr>
        <w:t>.</w:t>
      </w:r>
      <w:r w:rsidR="0038709F">
        <w:rPr>
          <w:rFonts w:hint="cs"/>
          <w:rtl/>
        </w:rPr>
        <w:t xml:space="preserve"> ובאשר לנשיא או אדם מכובד אחר, נראה שהקדמנו את המאוחר ועל כך במקור הבא.</w:t>
      </w:r>
    </w:p>
  </w:footnote>
  <w:footnote w:id="25">
    <w:p w14:paraId="7BDD220A" w14:textId="4C3DF850" w:rsidR="00B50B45" w:rsidRDefault="00B50B45" w:rsidP="00C07A0A">
      <w:pPr>
        <w:pStyle w:val="a3"/>
      </w:pPr>
      <w:r>
        <w:rPr>
          <w:rStyle w:val="a5"/>
        </w:rPr>
        <w:footnoteRef/>
      </w:r>
      <w:r>
        <w:rPr>
          <w:rtl/>
        </w:rPr>
        <w:t xml:space="preserve"> </w:t>
      </w:r>
      <w:r>
        <w:rPr>
          <w:rFonts w:hint="cs"/>
          <w:rtl/>
        </w:rPr>
        <w:t xml:space="preserve">הביטוי "וכה פתרונו" </w:t>
      </w:r>
      <w:r w:rsidR="00C07A0A">
        <w:rPr>
          <w:rFonts w:hint="cs"/>
          <w:rtl/>
        </w:rPr>
        <w:t xml:space="preserve">הלקוח מיוסף בתורה </w:t>
      </w:r>
      <w:r w:rsidR="0038709F">
        <w:rPr>
          <w:rFonts w:hint="cs"/>
          <w:rtl/>
        </w:rPr>
        <w:t xml:space="preserve">("זה פתרונו" בחלום שר המשקים, ראשית מ </w:t>
      </w:r>
      <w:proofErr w:type="spellStart"/>
      <w:r w:rsidR="0038709F">
        <w:rPr>
          <w:rFonts w:hint="cs"/>
          <w:rtl/>
        </w:rPr>
        <w:t>יב</w:t>
      </w:r>
      <w:proofErr w:type="spellEnd"/>
      <w:r w:rsidR="0038709F">
        <w:rPr>
          <w:rFonts w:hint="cs"/>
          <w:rtl/>
        </w:rPr>
        <w:t xml:space="preserve">) </w:t>
      </w:r>
      <w:r>
        <w:rPr>
          <w:rFonts w:hint="cs"/>
          <w:rtl/>
        </w:rPr>
        <w:t>ייחודי לרש"י ולא מצאנוהו אצל פרש</w:t>
      </w:r>
      <w:r w:rsidR="0038709F">
        <w:rPr>
          <w:rFonts w:hint="cs"/>
          <w:rtl/>
        </w:rPr>
        <w:t>נים</w:t>
      </w:r>
      <w:r>
        <w:rPr>
          <w:rFonts w:hint="cs"/>
          <w:rtl/>
        </w:rPr>
        <w:t xml:space="preserve"> אחר</w:t>
      </w:r>
      <w:r w:rsidR="0038709F">
        <w:rPr>
          <w:rFonts w:hint="cs"/>
          <w:rtl/>
        </w:rPr>
        <w:t>ים</w:t>
      </w:r>
      <w:r>
        <w:rPr>
          <w:rFonts w:hint="cs"/>
          <w:rtl/>
        </w:rPr>
        <w:t xml:space="preserve"> (חוץ ממפרשי רש"י ופעם אחת </w:t>
      </w:r>
      <w:proofErr w:type="spellStart"/>
      <w:r>
        <w:rPr>
          <w:rFonts w:hint="cs"/>
          <w:rtl/>
        </w:rPr>
        <w:t>בריב"א</w:t>
      </w:r>
      <w:proofErr w:type="spellEnd"/>
      <w:r>
        <w:rPr>
          <w:rFonts w:hint="cs"/>
          <w:rtl/>
        </w:rPr>
        <w:t xml:space="preserve"> ופעם אחת בשיבולי הלקט). </w:t>
      </w:r>
      <w:r w:rsidR="004369A0">
        <w:rPr>
          <w:rFonts w:hint="cs"/>
          <w:rtl/>
        </w:rPr>
        <w:t>ראו</w:t>
      </w:r>
      <w:r>
        <w:rPr>
          <w:rFonts w:hint="cs"/>
          <w:rtl/>
        </w:rPr>
        <w:t xml:space="preserve"> למשל פירושו ל</w:t>
      </w:r>
      <w:r>
        <w:rPr>
          <w:rtl/>
        </w:rPr>
        <w:t xml:space="preserve">שמות </w:t>
      </w:r>
      <w:proofErr w:type="spellStart"/>
      <w:r>
        <w:rPr>
          <w:rtl/>
        </w:rPr>
        <w:t>כז</w:t>
      </w:r>
      <w:proofErr w:type="spellEnd"/>
      <w:r>
        <w:rPr>
          <w:rtl/>
        </w:rPr>
        <w:t xml:space="preserve"> ד </w:t>
      </w:r>
      <w:r>
        <w:rPr>
          <w:rFonts w:hint="cs"/>
          <w:rtl/>
        </w:rPr>
        <w:t>במעשה מזבח הנחושת: "</w:t>
      </w:r>
      <w:r>
        <w:rPr>
          <w:rtl/>
        </w:rPr>
        <w:t xml:space="preserve">וְעָשִׂיתָ לּוֹ מִכְבָּר מַעֲשֵׂה רֶשֶׁת </w:t>
      </w:r>
      <w:proofErr w:type="spellStart"/>
      <w:r>
        <w:rPr>
          <w:rtl/>
        </w:rPr>
        <w:t>נְחֹשֶׁת</w:t>
      </w:r>
      <w:proofErr w:type="spellEnd"/>
      <w:r>
        <w:rPr>
          <w:rFonts w:hint="cs"/>
          <w:rtl/>
        </w:rPr>
        <w:t>", כשהוא מזיז את המילה נחושת שבפסוק: "</w:t>
      </w:r>
      <w:r>
        <w:rPr>
          <w:rtl/>
        </w:rPr>
        <w:t>מכבר - לשון כברה</w:t>
      </w:r>
      <w:r>
        <w:rPr>
          <w:rFonts w:hint="cs"/>
          <w:rtl/>
        </w:rPr>
        <w:t xml:space="preserve"> ... </w:t>
      </w:r>
      <w:r>
        <w:rPr>
          <w:rtl/>
        </w:rPr>
        <w:t xml:space="preserve">כמין לבוש עשוי לו למזבח, עשוי חורין </w:t>
      </w:r>
      <w:proofErr w:type="spellStart"/>
      <w:r>
        <w:rPr>
          <w:rtl/>
        </w:rPr>
        <w:t>חורין</w:t>
      </w:r>
      <w:proofErr w:type="spellEnd"/>
      <w:r>
        <w:rPr>
          <w:rtl/>
        </w:rPr>
        <w:t xml:space="preserve"> כמין רשת. ומקרא זה מסורס וכה פתרונו</w:t>
      </w:r>
      <w:r>
        <w:rPr>
          <w:rFonts w:hint="cs"/>
          <w:rtl/>
        </w:rPr>
        <w:t>:</w:t>
      </w:r>
      <w:r>
        <w:rPr>
          <w:rtl/>
        </w:rPr>
        <w:t xml:space="preserve"> ועשית לו מכבר נח</w:t>
      </w:r>
      <w:r>
        <w:rPr>
          <w:rFonts w:hint="cs"/>
          <w:rtl/>
        </w:rPr>
        <w:t>ו</w:t>
      </w:r>
      <w:r>
        <w:rPr>
          <w:rtl/>
        </w:rPr>
        <w:t>שת מעשה רשת</w:t>
      </w:r>
      <w:r>
        <w:rPr>
          <w:rFonts w:hint="cs"/>
          <w:rtl/>
        </w:rPr>
        <w:t xml:space="preserve">". ובמקומות אחרים, </w:t>
      </w:r>
      <w:r w:rsidR="00865680">
        <w:rPr>
          <w:rFonts w:hint="cs"/>
          <w:rtl/>
        </w:rPr>
        <w:t xml:space="preserve">גם </w:t>
      </w:r>
      <w:r>
        <w:rPr>
          <w:rFonts w:hint="cs"/>
          <w:rtl/>
        </w:rPr>
        <w:t xml:space="preserve">כאשר רש"י </w:t>
      </w:r>
      <w:r w:rsidR="00865680">
        <w:rPr>
          <w:rFonts w:hint="cs"/>
          <w:rtl/>
        </w:rPr>
        <w:t xml:space="preserve">מסכים עם התרגום או </w:t>
      </w:r>
      <w:r>
        <w:rPr>
          <w:rFonts w:hint="cs"/>
          <w:rtl/>
        </w:rPr>
        <w:t>פירושים אחרים ומ</w:t>
      </w:r>
      <w:r w:rsidR="00865680">
        <w:rPr>
          <w:rFonts w:hint="cs"/>
          <w:rtl/>
        </w:rPr>
        <w:t xml:space="preserve">סביר אותם: עם מנחם בישעיהו </w:t>
      </w:r>
      <w:proofErr w:type="spellStart"/>
      <w:r w:rsidR="00865680">
        <w:rPr>
          <w:rFonts w:hint="cs"/>
          <w:rtl/>
        </w:rPr>
        <w:t>מז</w:t>
      </w:r>
      <w:proofErr w:type="spellEnd"/>
      <w:r w:rsidR="00865680">
        <w:rPr>
          <w:rFonts w:hint="cs"/>
          <w:rtl/>
        </w:rPr>
        <w:t xml:space="preserve"> </w:t>
      </w:r>
      <w:proofErr w:type="spellStart"/>
      <w:r w:rsidR="00865680">
        <w:rPr>
          <w:rFonts w:hint="cs"/>
          <w:rtl/>
        </w:rPr>
        <w:t>יג</w:t>
      </w:r>
      <w:proofErr w:type="spellEnd"/>
      <w:r w:rsidR="00865680">
        <w:rPr>
          <w:rFonts w:hint="cs"/>
          <w:rtl/>
        </w:rPr>
        <w:t xml:space="preserve">, </w:t>
      </w:r>
      <w:r w:rsidR="00C07A0A">
        <w:rPr>
          <w:rFonts w:hint="cs"/>
          <w:rtl/>
        </w:rPr>
        <w:t xml:space="preserve">עם </w:t>
      </w:r>
      <w:proofErr w:type="spellStart"/>
      <w:r w:rsidR="00C07A0A">
        <w:rPr>
          <w:rFonts w:hint="cs"/>
          <w:rtl/>
        </w:rPr>
        <w:t>דונש</w:t>
      </w:r>
      <w:proofErr w:type="spellEnd"/>
      <w:r w:rsidR="00C07A0A">
        <w:rPr>
          <w:rFonts w:hint="cs"/>
          <w:rtl/>
        </w:rPr>
        <w:t xml:space="preserve"> ירמיהו כ י, עם התרגום יחזקאל </w:t>
      </w:r>
      <w:proofErr w:type="spellStart"/>
      <w:r w:rsidR="00C07A0A">
        <w:rPr>
          <w:rFonts w:hint="cs"/>
          <w:rtl/>
        </w:rPr>
        <w:t>יז</w:t>
      </w:r>
      <w:proofErr w:type="spellEnd"/>
      <w:r w:rsidR="00C07A0A">
        <w:rPr>
          <w:rFonts w:hint="cs"/>
          <w:rtl/>
        </w:rPr>
        <w:t xml:space="preserve"> </w:t>
      </w:r>
      <w:proofErr w:type="spellStart"/>
      <w:r w:rsidR="00C07A0A">
        <w:rPr>
          <w:rFonts w:hint="cs"/>
          <w:rtl/>
        </w:rPr>
        <w:t>כא</w:t>
      </w:r>
      <w:proofErr w:type="spellEnd"/>
      <w:r w:rsidR="00C07A0A">
        <w:rPr>
          <w:rFonts w:hint="cs"/>
          <w:rtl/>
        </w:rPr>
        <w:t xml:space="preserve"> ועוד.</w:t>
      </w:r>
    </w:p>
  </w:footnote>
  <w:footnote w:id="26">
    <w:p w14:paraId="6D6FE406" w14:textId="3D3134BB" w:rsidR="00B50B45" w:rsidRDefault="00B50B45" w:rsidP="00B50B45">
      <w:pPr>
        <w:pStyle w:val="a3"/>
        <w:rPr>
          <w:rtl/>
        </w:rPr>
      </w:pPr>
      <w:r>
        <w:rPr>
          <w:rStyle w:val="a5"/>
        </w:rPr>
        <w:footnoteRef/>
      </w:r>
      <w:r>
        <w:rPr>
          <w:rtl/>
        </w:rPr>
        <w:t xml:space="preserve"> </w:t>
      </w:r>
      <w:r w:rsidR="004369A0">
        <w:rPr>
          <w:rFonts w:hint="cs"/>
          <w:rtl/>
        </w:rPr>
        <w:t>ראו</w:t>
      </w:r>
      <w:r>
        <w:rPr>
          <w:rFonts w:hint="cs"/>
          <w:rtl/>
        </w:rPr>
        <w:t xml:space="preserve"> </w:t>
      </w:r>
      <w:r>
        <w:rPr>
          <w:rtl/>
        </w:rPr>
        <w:t xml:space="preserve">דברים לב </w:t>
      </w:r>
      <w:r>
        <w:rPr>
          <w:rFonts w:hint="cs"/>
          <w:rtl/>
        </w:rPr>
        <w:t>לו בשירת האזינו: "</w:t>
      </w:r>
      <w:r>
        <w:rPr>
          <w:rtl/>
        </w:rPr>
        <w:t xml:space="preserve">כִּי יִרְאֶה </w:t>
      </w:r>
      <w:proofErr w:type="spellStart"/>
      <w:r>
        <w:rPr>
          <w:rtl/>
        </w:rPr>
        <w:t>כִּי־אָזְלַת</w:t>
      </w:r>
      <w:proofErr w:type="spellEnd"/>
      <w:r>
        <w:rPr>
          <w:rtl/>
        </w:rPr>
        <w:t xml:space="preserve"> יָד וְאֶפֶס עָצוּר וְעָזוּב</w:t>
      </w:r>
      <w:r>
        <w:rPr>
          <w:rFonts w:hint="cs"/>
          <w:rtl/>
        </w:rPr>
        <w:t xml:space="preserve">". ובגמרא </w:t>
      </w:r>
      <w:r>
        <w:rPr>
          <w:rtl/>
        </w:rPr>
        <w:t xml:space="preserve">סנהדרין </w:t>
      </w:r>
      <w:proofErr w:type="spellStart"/>
      <w:r>
        <w:rPr>
          <w:rtl/>
        </w:rPr>
        <w:t>צז</w:t>
      </w:r>
      <w:proofErr w:type="spellEnd"/>
      <w:r>
        <w:rPr>
          <w:rtl/>
        </w:rPr>
        <w:t xml:space="preserve"> ע</w:t>
      </w:r>
      <w:r>
        <w:rPr>
          <w:rFonts w:hint="cs"/>
          <w:rtl/>
        </w:rPr>
        <w:t>"א: "</w:t>
      </w:r>
      <w:r>
        <w:rPr>
          <w:rtl/>
        </w:rPr>
        <w:t>ואפס עצור ועזוב - כביכול אין סומך ועוזר לישראל</w:t>
      </w:r>
      <w:r>
        <w:rPr>
          <w:rFonts w:hint="cs"/>
          <w:rtl/>
        </w:rPr>
        <w:t>"</w:t>
      </w:r>
      <w:r>
        <w:rPr>
          <w:rtl/>
        </w:rPr>
        <w:t>.</w:t>
      </w:r>
      <w:r>
        <w:rPr>
          <w:rFonts w:hint="cs"/>
          <w:rtl/>
        </w:rPr>
        <w:t xml:space="preserve"> ובספרי </w:t>
      </w:r>
      <w:r w:rsidRPr="00B50B45">
        <w:rPr>
          <w:rtl/>
        </w:rPr>
        <w:t>דברים שכו</w:t>
      </w:r>
      <w:r>
        <w:rPr>
          <w:rFonts w:hint="cs"/>
          <w:rtl/>
        </w:rPr>
        <w:t>: "</w:t>
      </w:r>
      <w:r>
        <w:rPr>
          <w:rtl/>
          <w:lang w:eastAsia="en-US"/>
        </w:rPr>
        <w:t xml:space="preserve">כי יראה כי </w:t>
      </w:r>
      <w:r w:rsidRPr="00B50B45">
        <w:rPr>
          <w:rtl/>
          <w:lang w:eastAsia="en-US"/>
        </w:rPr>
        <w:t>אזלת יד ואפס עצור ועזוב</w:t>
      </w:r>
      <w:r>
        <w:rPr>
          <w:rFonts w:hint="cs"/>
          <w:rtl/>
          <w:lang w:eastAsia="en-US"/>
        </w:rPr>
        <w:t xml:space="preserve"> - </w:t>
      </w:r>
      <w:r w:rsidRPr="00B50B45">
        <w:rPr>
          <w:rtl/>
          <w:lang w:eastAsia="en-US"/>
        </w:rPr>
        <w:t>אפס עצור</w:t>
      </w:r>
      <w:r>
        <w:rPr>
          <w:rtl/>
          <w:lang w:eastAsia="en-US"/>
        </w:rPr>
        <w:t xml:space="preserve"> ואפס עזוב ואין עוזר לישראל</w:t>
      </w:r>
      <w:r>
        <w:rPr>
          <w:rFonts w:hint="cs"/>
          <w:rtl/>
          <w:lang w:eastAsia="en-US"/>
        </w:rPr>
        <w:t>".</w:t>
      </w:r>
    </w:p>
  </w:footnote>
  <w:footnote w:id="27">
    <w:p w14:paraId="788BA6E6" w14:textId="77777777" w:rsidR="00714400" w:rsidRDefault="00714400" w:rsidP="00266BB5">
      <w:pPr>
        <w:pStyle w:val="a3"/>
      </w:pPr>
      <w:r>
        <w:rPr>
          <w:rStyle w:val="a5"/>
        </w:rPr>
        <w:footnoteRef/>
      </w:r>
      <w:r>
        <w:rPr>
          <w:rtl/>
        </w:rPr>
        <w:t xml:space="preserve"> </w:t>
      </w:r>
      <w:r>
        <w:rPr>
          <w:rFonts w:hint="cs"/>
          <w:rtl/>
        </w:rPr>
        <w:t>ובמילון אבן שושן מצאנו עוד דוגמא בי</w:t>
      </w:r>
      <w:r>
        <w:rPr>
          <w:rtl/>
        </w:rPr>
        <w:t>רמיהו מט כה</w:t>
      </w:r>
      <w:r>
        <w:rPr>
          <w:rFonts w:hint="cs"/>
          <w:rtl/>
        </w:rPr>
        <w:t>: "</w:t>
      </w:r>
      <w:r>
        <w:rPr>
          <w:rtl/>
        </w:rPr>
        <w:t xml:space="preserve">אֵיךְ </w:t>
      </w:r>
      <w:proofErr w:type="spellStart"/>
      <w:r>
        <w:rPr>
          <w:rtl/>
        </w:rPr>
        <w:t>לֹא־עֻזְּבָה</w:t>
      </w:r>
      <w:proofErr w:type="spellEnd"/>
      <w:r>
        <w:rPr>
          <w:rtl/>
        </w:rPr>
        <w:t xml:space="preserve"> עִיר </w:t>
      </w:r>
      <w:proofErr w:type="spellStart"/>
      <w:r>
        <w:rPr>
          <w:rtl/>
        </w:rPr>
        <w:t>תְּהִלָּת</w:t>
      </w:r>
      <w:proofErr w:type="spellEnd"/>
      <w:r>
        <w:rPr>
          <w:rtl/>
        </w:rPr>
        <w:t xml:space="preserve"> </w:t>
      </w:r>
      <w:proofErr w:type="spellStart"/>
      <w:r>
        <w:rPr>
          <w:rtl/>
        </w:rPr>
        <w:t>קִרְיַת</w:t>
      </w:r>
      <w:proofErr w:type="spellEnd"/>
      <w:r>
        <w:rPr>
          <w:rtl/>
        </w:rPr>
        <w:t xml:space="preserve"> מְשׂוֹשִׂי</w:t>
      </w:r>
      <w:r>
        <w:rPr>
          <w:rFonts w:hint="cs"/>
          <w:rtl/>
        </w:rPr>
        <w:t xml:space="preserve">". הנביא מקונן על דמשק המהוללת, איך לא חוזקה ונפלה בידי אויביה. ואולי מכאן גם המילה "מעזיבה" שהיא שכבת איטום של גגות (משנה סוכה </w:t>
      </w:r>
      <w:r w:rsidR="00266BB5">
        <w:rPr>
          <w:rFonts w:hint="cs"/>
          <w:rtl/>
        </w:rPr>
        <w:t xml:space="preserve">א ז). </w:t>
      </w:r>
      <w:r>
        <w:rPr>
          <w:rFonts w:hint="cs"/>
          <w:rtl/>
        </w:rPr>
        <w:t xml:space="preserve">אבל השימוש השכיח של </w:t>
      </w:r>
      <w:proofErr w:type="spellStart"/>
      <w:r>
        <w:rPr>
          <w:rFonts w:hint="cs"/>
          <w:rtl/>
        </w:rPr>
        <w:t>עז"ב</w:t>
      </w:r>
      <w:proofErr w:type="spellEnd"/>
      <w:r>
        <w:rPr>
          <w:rFonts w:hint="cs"/>
          <w:rtl/>
        </w:rPr>
        <w:t>, גם במקרא</w:t>
      </w:r>
      <w:r w:rsidR="00266BB5">
        <w:rPr>
          <w:rFonts w:hint="cs"/>
          <w:rtl/>
        </w:rPr>
        <w:t xml:space="preserve"> ובלשון חכמים</w:t>
      </w:r>
      <w:r>
        <w:rPr>
          <w:rFonts w:hint="cs"/>
          <w:rtl/>
        </w:rPr>
        <w:t>, בוודאי ב</w:t>
      </w:r>
      <w:r w:rsidR="00266BB5">
        <w:rPr>
          <w:rFonts w:hint="cs"/>
          <w:rtl/>
        </w:rPr>
        <w:t>לשון ימינו הוא להזניח, לנטוש, וזה מה שגורם לקורא בן ימינו להתקשות בפסוק זה.</w:t>
      </w:r>
    </w:p>
  </w:footnote>
  <w:footnote w:id="28">
    <w:p w14:paraId="208EB4FA" w14:textId="3D517592" w:rsidR="00266BB5" w:rsidRDefault="00266BB5" w:rsidP="00F21123">
      <w:pPr>
        <w:pStyle w:val="a3"/>
        <w:rPr>
          <w:rtl/>
        </w:rPr>
      </w:pPr>
      <w:r>
        <w:rPr>
          <w:rStyle w:val="a5"/>
        </w:rPr>
        <w:footnoteRef/>
      </w:r>
      <w:r>
        <w:rPr>
          <w:rtl/>
        </w:rPr>
        <w:t xml:space="preserve"> </w:t>
      </w:r>
      <w:r>
        <w:rPr>
          <w:rFonts w:hint="cs"/>
          <w:rtl/>
        </w:rPr>
        <w:t xml:space="preserve">שהיא דרשת </w:t>
      </w:r>
      <w:r>
        <w:rPr>
          <w:rtl/>
        </w:rPr>
        <w:t xml:space="preserve">מכילתא דרבי ישמעאל משפטים - </w:t>
      </w:r>
      <w:proofErr w:type="spellStart"/>
      <w:r>
        <w:rPr>
          <w:rtl/>
        </w:rPr>
        <w:t>מסכתא</w:t>
      </w:r>
      <w:proofErr w:type="spellEnd"/>
      <w:r>
        <w:rPr>
          <w:rtl/>
        </w:rPr>
        <w:t xml:space="preserve"> </w:t>
      </w:r>
      <w:proofErr w:type="spellStart"/>
      <w:r>
        <w:rPr>
          <w:rtl/>
        </w:rPr>
        <w:t>דכספא</w:t>
      </w:r>
      <w:proofErr w:type="spellEnd"/>
      <w:r>
        <w:rPr>
          <w:rtl/>
        </w:rPr>
        <w:t xml:space="preserve"> פרשה כ</w:t>
      </w:r>
      <w:r>
        <w:rPr>
          <w:rFonts w:hint="cs"/>
          <w:rtl/>
        </w:rPr>
        <w:t>: "</w:t>
      </w:r>
      <w:r>
        <w:rPr>
          <w:rtl/>
        </w:rPr>
        <w:t>וחדלת מעזוב לו. פעמים שאתה חדל פעמים שאתה עוזב</w:t>
      </w:r>
      <w:r>
        <w:rPr>
          <w:rFonts w:hint="cs"/>
          <w:rtl/>
        </w:rPr>
        <w:t xml:space="preserve"> ...</w:t>
      </w:r>
      <w:r>
        <w:rPr>
          <w:rtl/>
        </w:rPr>
        <w:t xml:space="preserve"> פעמים שאתה חדל ופעמים שאין אתה חדל; אמר לו אביו</w:t>
      </w:r>
      <w:r>
        <w:rPr>
          <w:rFonts w:hint="cs"/>
          <w:rtl/>
        </w:rPr>
        <w:t>:</w:t>
      </w:r>
      <w:r>
        <w:rPr>
          <w:rtl/>
        </w:rPr>
        <w:t xml:space="preserve"> אל תפרוק עמו, אל תטעון עמו ואל תחזיר לו אבדתו, הרי זה לא ישמע לו, מפני שהוא ואביו חייבין במצות</w:t>
      </w:r>
      <w:r>
        <w:rPr>
          <w:rFonts w:hint="cs"/>
          <w:rtl/>
        </w:rPr>
        <w:t>"</w:t>
      </w:r>
      <w:r>
        <w:rPr>
          <w:rtl/>
        </w:rPr>
        <w:t>.</w:t>
      </w:r>
      <w:r>
        <w:rPr>
          <w:rFonts w:hint="cs"/>
          <w:rtl/>
        </w:rPr>
        <w:t xml:space="preserve"> </w:t>
      </w:r>
      <w:r w:rsidR="002F6AA5">
        <w:rPr>
          <w:rFonts w:hint="cs"/>
          <w:rtl/>
        </w:rPr>
        <w:t xml:space="preserve">הלשון </w:t>
      </w:r>
      <w:r>
        <w:rPr>
          <w:rFonts w:hint="cs"/>
          <w:rtl/>
        </w:rPr>
        <w:t>במכילתא</w:t>
      </w:r>
      <w:r w:rsidR="002F6AA5">
        <w:rPr>
          <w:rFonts w:hint="cs"/>
          <w:rtl/>
        </w:rPr>
        <w:t xml:space="preserve"> היא</w:t>
      </w:r>
      <w:r>
        <w:rPr>
          <w:rFonts w:hint="cs"/>
          <w:rtl/>
        </w:rPr>
        <w:t>: "</w:t>
      </w:r>
      <w:r>
        <w:rPr>
          <w:rtl/>
        </w:rPr>
        <w:t xml:space="preserve">פעמים שאתה חדל פעמים שאתה </w:t>
      </w:r>
      <w:r w:rsidRPr="00F21123">
        <w:rPr>
          <w:b/>
          <w:bCs/>
          <w:rtl/>
        </w:rPr>
        <w:t>עוזב</w:t>
      </w:r>
      <w:r>
        <w:rPr>
          <w:rFonts w:hint="cs"/>
          <w:rtl/>
        </w:rPr>
        <w:t>", ו</w:t>
      </w:r>
      <w:r w:rsidR="00E15AA3">
        <w:rPr>
          <w:rFonts w:hint="cs"/>
          <w:rtl/>
        </w:rPr>
        <w:t>ברש"י: "</w:t>
      </w:r>
      <w:r w:rsidRPr="00C20FD1">
        <w:rPr>
          <w:rtl/>
        </w:rPr>
        <w:t xml:space="preserve">פעמים שאתה חדל ופעמים שאתה </w:t>
      </w:r>
      <w:r w:rsidRPr="00F21123">
        <w:rPr>
          <w:b/>
          <w:bCs/>
          <w:rtl/>
        </w:rPr>
        <w:t>עוזר</w:t>
      </w:r>
      <w:r w:rsidR="00E15AA3">
        <w:rPr>
          <w:rFonts w:hint="cs"/>
          <w:rtl/>
        </w:rPr>
        <w:t>". האם רש"י מנסה לבאר לנו שעוזב זה עוזר, או שמא פליטת קולמוס של מי מהמעתיקים כאן</w:t>
      </w:r>
      <w:r w:rsidR="00F21123">
        <w:rPr>
          <w:rFonts w:hint="cs"/>
          <w:rtl/>
        </w:rPr>
        <w:t>?</w:t>
      </w:r>
      <w:r w:rsidR="00E15AA3">
        <w:rPr>
          <w:rFonts w:hint="cs"/>
          <w:rtl/>
        </w:rPr>
        <w:t xml:space="preserve"> ועכ"פ, כמו שיש "וחדלת" בפרשתנו, כך יש "והתעלמת" בספר דברים וגם שם, בניגוד לפשט, אומר המדרש: "והתעלמת מהם - </w:t>
      </w:r>
      <w:r w:rsidR="00E15AA3">
        <w:rPr>
          <w:rtl/>
        </w:rPr>
        <w:t xml:space="preserve">פעמים שאתה מתעלם מהם ופעמים שאין אתה מתעלם מהם; הא כיצד? אם היה כהן והיא בבית הקברות, או היה זקן ואינה לפי כבודו, או </w:t>
      </w:r>
      <w:proofErr w:type="spellStart"/>
      <w:r w:rsidR="00E15AA3">
        <w:rPr>
          <w:rtl/>
        </w:rPr>
        <w:t>שהיתה</w:t>
      </w:r>
      <w:proofErr w:type="spellEnd"/>
      <w:r w:rsidR="00E15AA3">
        <w:rPr>
          <w:rtl/>
        </w:rPr>
        <w:t xml:space="preserve"> מלאכתו מרובה משל חברו, לכך נאמר: והתעלמת</w:t>
      </w:r>
      <w:r w:rsidR="00E15AA3">
        <w:rPr>
          <w:rFonts w:hint="cs"/>
          <w:rtl/>
        </w:rPr>
        <w:t>" (</w:t>
      </w:r>
      <w:r w:rsidR="00E15AA3">
        <w:rPr>
          <w:rtl/>
        </w:rPr>
        <w:t xml:space="preserve">ברכות </w:t>
      </w:r>
      <w:proofErr w:type="spellStart"/>
      <w:r w:rsidR="00E15AA3">
        <w:rPr>
          <w:rtl/>
        </w:rPr>
        <w:t>יט</w:t>
      </w:r>
      <w:proofErr w:type="spellEnd"/>
      <w:r w:rsidR="00E15AA3">
        <w:rPr>
          <w:rtl/>
        </w:rPr>
        <w:t xml:space="preserve"> ע</w:t>
      </w:r>
      <w:r w:rsidR="00E15AA3">
        <w:rPr>
          <w:rFonts w:hint="cs"/>
          <w:rtl/>
        </w:rPr>
        <w:t xml:space="preserve">"ב). </w:t>
      </w:r>
      <w:r w:rsidR="004369A0">
        <w:rPr>
          <w:rFonts w:hint="cs"/>
          <w:rtl/>
          <w:lang w:val="he-IL"/>
        </w:rPr>
        <w:t>ראו</w:t>
      </w:r>
      <w:r w:rsidR="00E15AA3">
        <w:rPr>
          <w:rFonts w:hint="cs"/>
          <w:rtl/>
          <w:lang w:val="he-IL"/>
        </w:rPr>
        <w:t xml:space="preserve"> דברינו </w:t>
      </w:r>
      <w:hyperlink r:id="rId6" w:history="1">
        <w:r w:rsidR="00E15AA3" w:rsidRPr="007E57CD">
          <w:rPr>
            <w:rStyle w:val="Hyperlink"/>
            <w:rFonts w:hint="cs"/>
            <w:rtl/>
            <w:lang w:val="he-IL"/>
          </w:rPr>
          <w:t>והתעלמת – פעמים שאתה מתעלם</w:t>
        </w:r>
      </w:hyperlink>
      <w:r w:rsidR="00E15AA3">
        <w:rPr>
          <w:rFonts w:hint="cs"/>
          <w:rtl/>
          <w:lang w:val="he-IL"/>
        </w:rPr>
        <w:t xml:space="preserve"> בפרשת כי תצא. </w:t>
      </w:r>
      <w:r w:rsidR="0038709F">
        <w:rPr>
          <w:rFonts w:hint="cs"/>
          <w:rtl/>
          <w:lang w:val="he-IL"/>
        </w:rPr>
        <w:t>ו</w:t>
      </w:r>
      <w:r w:rsidR="00E15AA3">
        <w:rPr>
          <w:rFonts w:hint="cs"/>
          <w:rtl/>
          <w:lang w:val="he-IL"/>
        </w:rPr>
        <w:t>כבר הערנו</w:t>
      </w:r>
      <w:r w:rsidR="00F21123">
        <w:rPr>
          <w:rFonts w:hint="cs"/>
          <w:rtl/>
          <w:lang w:val="he-IL"/>
        </w:rPr>
        <w:t xml:space="preserve"> לעיל</w:t>
      </w:r>
      <w:r w:rsidR="00E15AA3">
        <w:rPr>
          <w:rFonts w:hint="cs"/>
          <w:rtl/>
          <w:lang w:val="he-IL"/>
        </w:rPr>
        <w:t xml:space="preserve"> שיש מגבלות וסייג לחובת השבת אבדה ומצוות פריקה/טעינה.</w:t>
      </w:r>
    </w:p>
  </w:footnote>
  <w:footnote w:id="29">
    <w:p w14:paraId="1DC19232" w14:textId="77777777" w:rsidR="00FD16B2" w:rsidRDefault="00FD16B2">
      <w:pPr>
        <w:pStyle w:val="a3"/>
        <w:rPr>
          <w:rtl/>
        </w:rPr>
      </w:pPr>
      <w:r>
        <w:rPr>
          <w:rStyle w:val="a5"/>
        </w:rPr>
        <w:footnoteRef/>
      </w:r>
      <w:r>
        <w:rPr>
          <w:rtl/>
        </w:rPr>
        <w:t xml:space="preserve"> </w:t>
      </w:r>
      <w:r>
        <w:rPr>
          <w:rFonts w:hint="cs"/>
          <w:rtl/>
          <w:lang w:val="he-IL"/>
        </w:rPr>
        <w:t>אגב סוף דברי רש"י לעיל לגבי בהמת גוי ומשא של ישראל, דברים שמבוססים כאמור על המכילתא שהבאנו בהערה הקודמת שאומרת: "</w:t>
      </w:r>
      <w:r w:rsidRPr="00FD16B2">
        <w:rPr>
          <w:rtl/>
          <w:lang w:val="he-IL"/>
        </w:rPr>
        <w:t>חמור של ישראל ומשאו של גוי</w:t>
      </w:r>
      <w:r>
        <w:rPr>
          <w:rFonts w:hint="cs"/>
          <w:rtl/>
          <w:lang w:val="he-IL"/>
        </w:rPr>
        <w:t xml:space="preserve"> -</w:t>
      </w:r>
      <w:r w:rsidRPr="00FD16B2">
        <w:rPr>
          <w:rtl/>
          <w:lang w:val="he-IL"/>
        </w:rPr>
        <w:t xml:space="preserve"> עזוב תעזוב עמו</w:t>
      </w:r>
      <w:r>
        <w:rPr>
          <w:rFonts w:hint="cs"/>
          <w:rtl/>
          <w:lang w:val="he-IL"/>
        </w:rPr>
        <w:t>.</w:t>
      </w:r>
      <w:r w:rsidRPr="00FD16B2">
        <w:rPr>
          <w:rtl/>
          <w:lang w:val="he-IL"/>
        </w:rPr>
        <w:t xml:space="preserve"> חמור של גוי ומשאו של ישראל</w:t>
      </w:r>
      <w:r>
        <w:rPr>
          <w:rFonts w:hint="cs"/>
          <w:rtl/>
          <w:lang w:val="he-IL"/>
        </w:rPr>
        <w:t xml:space="preserve"> -</w:t>
      </w:r>
      <w:r w:rsidRPr="00FD16B2">
        <w:rPr>
          <w:rtl/>
          <w:lang w:val="he-IL"/>
        </w:rPr>
        <w:t xml:space="preserve"> וחדלת מעזוב לו</w:t>
      </w:r>
      <w:r>
        <w:rPr>
          <w:rFonts w:hint="cs"/>
          <w:rtl/>
          <w:lang w:val="he-IL"/>
        </w:rPr>
        <w:t>", ראינו צורך לחזור לרמב"ם ולהביא דבריו ברוח אחרת. אך גם הוא מתייחס רק ל"צער ישראל"</w:t>
      </w:r>
      <w:r w:rsidRPr="00FD16B2">
        <w:rPr>
          <w:rtl/>
          <w:lang w:val="he-IL"/>
        </w:rPr>
        <w:t>,</w:t>
      </w:r>
      <w:r>
        <w:rPr>
          <w:rFonts w:hint="cs"/>
          <w:rtl/>
          <w:lang w:val="he-IL"/>
        </w:rPr>
        <w:t xml:space="preserve"> בין של הבהמה בין של הרכוש (המשא). ניחא המשא שהוא צער הבעלים על ההפסד הכספי, אבל במה פשע החמור? וכי דין צער בעלי חיים תלוי אם החמור הוא של יהודי או של גוי? נראה שלהלכה מסייעים לכל אדם בכל מצב בדיוק כפי שיהודי מצפה שגוי יעזור לו. וזה דין "משום איבה".</w:t>
      </w:r>
    </w:p>
  </w:footnote>
  <w:footnote w:id="30">
    <w:p w14:paraId="2612448F" w14:textId="3E65B18D" w:rsidR="00020A7D" w:rsidRDefault="00020A7D" w:rsidP="00F21123">
      <w:pPr>
        <w:pStyle w:val="a3"/>
        <w:rPr>
          <w:rtl/>
        </w:rPr>
      </w:pPr>
      <w:r>
        <w:rPr>
          <w:rStyle w:val="a5"/>
        </w:rPr>
        <w:footnoteRef/>
      </w:r>
      <w:r>
        <w:rPr>
          <w:rtl/>
        </w:rPr>
        <w:t xml:space="preserve"> </w:t>
      </w:r>
      <w:r>
        <w:rPr>
          <w:rFonts w:hint="cs"/>
          <w:rtl/>
        </w:rPr>
        <w:t xml:space="preserve">בנוסח הקצר, דוחה אבן עזרא את הדעה השנייה (שהיא כרש"י) מכל וכל ונצמד לשיטתו. אין צורך לקרוא את "וחדלת" </w:t>
      </w:r>
      <w:proofErr w:type="spellStart"/>
      <w:r>
        <w:rPr>
          <w:rFonts w:hint="cs"/>
          <w:rtl/>
        </w:rPr>
        <w:t>בתמיה</w:t>
      </w:r>
      <w:proofErr w:type="spellEnd"/>
      <w:r>
        <w:rPr>
          <w:rFonts w:hint="cs"/>
          <w:rtl/>
        </w:rPr>
        <w:t xml:space="preserve">, אומר אבן עזרא, והמילה "כי" יכולה להיות במשמעותה היותר שכיחה "כאשר", כמו "כי יקרא קן ציפור לפניך", "כי ירחיב ה' את גבולך" ואחרים במקרא. חדל לך מלעזוב את האיש או הבהמה לבדה, רק תעזוב את הקשרים הקושרים את משאם ותתיר אותם. </w:t>
      </w:r>
      <w:proofErr w:type="spellStart"/>
      <w:r>
        <w:rPr>
          <w:rFonts w:hint="cs"/>
          <w:rtl/>
        </w:rPr>
        <w:t>וי</w:t>
      </w:r>
      <w:r w:rsidR="002D6A39">
        <w:rPr>
          <w:rFonts w:hint="eastAsia"/>
          <w:rtl/>
        </w:rPr>
        <w:t>ֵ</w:t>
      </w:r>
      <w:r>
        <w:rPr>
          <w:rFonts w:hint="cs"/>
          <w:rtl/>
        </w:rPr>
        <w:t>ע</w:t>
      </w:r>
      <w:r w:rsidR="002D6A39">
        <w:rPr>
          <w:rFonts w:hint="eastAsia"/>
          <w:rtl/>
        </w:rPr>
        <w:t>ָ</w:t>
      </w:r>
      <w:r>
        <w:rPr>
          <w:rFonts w:hint="cs"/>
          <w:rtl/>
        </w:rPr>
        <w:t>ז</w:t>
      </w:r>
      <w:r w:rsidR="002D6A39">
        <w:rPr>
          <w:rFonts w:hint="eastAsia"/>
          <w:rtl/>
        </w:rPr>
        <w:t>ֵ</w:t>
      </w:r>
      <w:r>
        <w:rPr>
          <w:rFonts w:hint="cs"/>
          <w:rtl/>
        </w:rPr>
        <w:t>ב</w:t>
      </w:r>
      <w:proofErr w:type="spellEnd"/>
      <w:r>
        <w:rPr>
          <w:rFonts w:hint="cs"/>
          <w:rtl/>
        </w:rPr>
        <w:t xml:space="preserve"> המשא </w:t>
      </w:r>
      <w:proofErr w:type="spellStart"/>
      <w:r>
        <w:rPr>
          <w:rFonts w:hint="cs"/>
          <w:rtl/>
        </w:rPr>
        <w:t>ויפול</w:t>
      </w:r>
      <w:proofErr w:type="spellEnd"/>
      <w:r>
        <w:rPr>
          <w:rFonts w:hint="cs"/>
          <w:rtl/>
        </w:rPr>
        <w:t xml:space="preserve"> מצד זה ומצד זה ויוקל לנושא. הפועל </w:t>
      </w:r>
      <w:proofErr w:type="spellStart"/>
      <w:r>
        <w:rPr>
          <w:rFonts w:hint="cs"/>
          <w:rtl/>
        </w:rPr>
        <w:t>עז"ב</w:t>
      </w:r>
      <w:proofErr w:type="spellEnd"/>
      <w:r>
        <w:rPr>
          <w:rFonts w:hint="cs"/>
          <w:rtl/>
        </w:rPr>
        <w:t xml:space="preserve"> </w:t>
      </w:r>
      <w:r w:rsidR="00F21123">
        <w:rPr>
          <w:rFonts w:hint="cs"/>
          <w:rtl/>
        </w:rPr>
        <w:t xml:space="preserve">הוא </w:t>
      </w:r>
      <w:r>
        <w:rPr>
          <w:rFonts w:hint="cs"/>
          <w:rtl/>
        </w:rPr>
        <w:t>במשמעות</w:t>
      </w:r>
      <w:r w:rsidR="00F21123">
        <w:rPr>
          <w:rFonts w:hint="cs"/>
          <w:rtl/>
        </w:rPr>
        <w:t>ו</w:t>
      </w:r>
      <w:r>
        <w:rPr>
          <w:rFonts w:hint="cs"/>
          <w:rtl/>
        </w:rPr>
        <w:t xml:space="preserve"> השכיחה, אך במשחק מילים מסוים. חדל מלעזוב את הבהמה, תעזוב את הקשרים. ואנחנו מציעים את הפירוש המודרני: עזוב תעזוב את המקום ביחד עם האיש או הבהמה שאתה מסייע להם. לא מספיק שתתיר את הקשרים ותפרוק את המשא מעל הנושא</w:t>
      </w:r>
      <w:r w:rsidR="00F21123">
        <w:rPr>
          <w:rFonts w:hint="cs"/>
          <w:rtl/>
        </w:rPr>
        <w:t xml:space="preserve"> ותקל מעליו</w:t>
      </w:r>
      <w:r>
        <w:rPr>
          <w:rFonts w:hint="cs"/>
          <w:rtl/>
        </w:rPr>
        <w:t>. מה אח"כ? תתיר ותלך לדרכך</w:t>
      </w:r>
      <w:r w:rsidR="00F21123">
        <w:rPr>
          <w:rFonts w:hint="cs"/>
          <w:rtl/>
        </w:rPr>
        <w:t>?</w:t>
      </w:r>
      <w:r>
        <w:rPr>
          <w:rFonts w:hint="cs"/>
          <w:rtl/>
        </w:rPr>
        <w:t xml:space="preserve"> לא! תתיר, תסייע לו להתארגן מחדש ותעזבו את המקום ביחד</w:t>
      </w:r>
      <w:r w:rsidR="00F21123">
        <w:rPr>
          <w:rFonts w:hint="cs"/>
          <w:rtl/>
        </w:rPr>
        <w:t xml:space="preserve"> </w:t>
      </w:r>
      <w:r w:rsidR="00F21123">
        <w:rPr>
          <w:rtl/>
        </w:rPr>
        <w:t>–</w:t>
      </w:r>
      <w:r w:rsidR="00F21123">
        <w:rPr>
          <w:rFonts w:hint="cs"/>
          <w:rtl/>
        </w:rPr>
        <w:t xml:space="preserve"> "עזוב תעזוב עמו"</w:t>
      </w:r>
      <w:r>
        <w:rPr>
          <w:rFonts w:hint="cs"/>
          <w:rtl/>
        </w:rPr>
        <w:t xml:space="preserve">. </w:t>
      </w:r>
      <w:r w:rsidR="004369A0">
        <w:rPr>
          <w:rFonts w:hint="cs"/>
          <w:rtl/>
        </w:rPr>
        <w:t>ראו</w:t>
      </w:r>
      <w:r>
        <w:rPr>
          <w:rFonts w:hint="cs"/>
          <w:rtl/>
        </w:rPr>
        <w:t xml:space="preserve"> שוב ב</w:t>
      </w:r>
      <w:r>
        <w:rPr>
          <w:rtl/>
        </w:rPr>
        <w:t xml:space="preserve">רמב"ם </w:t>
      </w:r>
      <w:r>
        <w:rPr>
          <w:rFonts w:hint="cs"/>
          <w:rtl/>
        </w:rPr>
        <w:t>שהבאנו לעיל: "</w:t>
      </w:r>
      <w:r>
        <w:rPr>
          <w:rtl/>
        </w:rPr>
        <w:t>ולא יפרוק ויניחנו נבהל וילך אלא יקים עמו ויחזור ויטעון משאו עליה</w:t>
      </w:r>
      <w:r>
        <w:rPr>
          <w:rFonts w:hint="cs"/>
          <w:rtl/>
        </w:rPr>
        <w:t xml:space="preserve">, שנאמר: </w:t>
      </w:r>
      <w:r>
        <w:rPr>
          <w:rtl/>
        </w:rPr>
        <w:t>הקם תקים עמו</w:t>
      </w:r>
      <w:r>
        <w:rPr>
          <w:rFonts w:hint="cs"/>
          <w:rtl/>
        </w:rPr>
        <w:t xml:space="preserve"> ... </w:t>
      </w:r>
      <w:r>
        <w:rPr>
          <w:rtl/>
        </w:rPr>
        <w:t xml:space="preserve">לפיכך צריך </w:t>
      </w:r>
      <w:proofErr w:type="spellStart"/>
      <w:r>
        <w:rPr>
          <w:rtl/>
        </w:rPr>
        <w:t>לה</w:t>
      </w:r>
      <w:r>
        <w:rPr>
          <w:rFonts w:hint="cs"/>
          <w:rtl/>
        </w:rPr>
        <w:t>י</w:t>
      </w:r>
      <w:r>
        <w:rPr>
          <w:rtl/>
        </w:rPr>
        <w:t>דדות</w:t>
      </w:r>
      <w:proofErr w:type="spellEnd"/>
      <w:r>
        <w:rPr>
          <w:rtl/>
        </w:rPr>
        <w:t xml:space="preserve"> עמו עד פרסה</w:t>
      </w:r>
      <w:r>
        <w:rPr>
          <w:rFonts w:hint="cs"/>
          <w:rtl/>
        </w:rPr>
        <w:t>,</w:t>
      </w:r>
      <w:r>
        <w:rPr>
          <w:rtl/>
        </w:rPr>
        <w:t xml:space="preserve"> אלא אם כן אמר לו בעל המשא איני צריך לך</w:t>
      </w:r>
      <w:r>
        <w:rPr>
          <w:rFonts w:hint="cs"/>
          <w:rtl/>
        </w:rPr>
        <w:t>"</w:t>
      </w:r>
      <w:r>
        <w:rPr>
          <w:rtl/>
        </w:rPr>
        <w:t>.</w:t>
      </w:r>
      <w:r>
        <w:rPr>
          <w:rFonts w:hint="cs"/>
          <w:rtl/>
        </w:rPr>
        <w:t xml:space="preserve"> אין פריקה בלי טעינה לאחריה והרמב"ם אף נותן שיעור עד כמה צריך לוודא שנושא </w:t>
      </w:r>
      <w:r w:rsidR="00F21123">
        <w:rPr>
          <w:rFonts w:hint="cs"/>
          <w:rtl/>
        </w:rPr>
        <w:t xml:space="preserve">המטען </w:t>
      </w:r>
      <w:r>
        <w:rPr>
          <w:rFonts w:hint="cs"/>
          <w:rtl/>
        </w:rPr>
        <w:t>חזר לאיתנו. ובבהמה ללא בעלים, אפשר שיצטרך ללוות אותה עד מקום המשתמר ורק שם יכול לעזוב וללכת לדרכו.</w:t>
      </w:r>
    </w:p>
  </w:footnote>
  <w:footnote w:id="31">
    <w:p w14:paraId="25DCE4DD" w14:textId="2C52E347" w:rsidR="00F21123" w:rsidRDefault="00F21123" w:rsidP="00417467">
      <w:pPr>
        <w:pStyle w:val="a3"/>
        <w:rPr>
          <w:rtl/>
        </w:rPr>
      </w:pPr>
      <w:r>
        <w:rPr>
          <w:rStyle w:val="a5"/>
        </w:rPr>
        <w:footnoteRef/>
      </w:r>
      <w:r>
        <w:rPr>
          <w:rtl/>
        </w:rPr>
        <w:t xml:space="preserve"> </w:t>
      </w:r>
      <w:r w:rsidR="004369A0">
        <w:rPr>
          <w:rFonts w:hint="cs"/>
          <w:rtl/>
          <w:lang w:val="he-IL"/>
        </w:rPr>
        <w:t>ראו</w:t>
      </w:r>
      <w:r>
        <w:rPr>
          <w:rFonts w:hint="cs"/>
          <w:rtl/>
          <w:lang w:val="he-IL"/>
        </w:rPr>
        <w:t xml:space="preserve"> גם </w:t>
      </w:r>
      <w:r w:rsidRPr="00041120">
        <w:rPr>
          <w:rtl/>
          <w:lang w:val="he-IL"/>
        </w:rPr>
        <w:t xml:space="preserve">תרגום אונקלוס שמות פרק </w:t>
      </w:r>
      <w:proofErr w:type="spellStart"/>
      <w:r w:rsidRPr="00041120">
        <w:rPr>
          <w:rtl/>
          <w:lang w:val="he-IL"/>
        </w:rPr>
        <w:t>כג</w:t>
      </w:r>
      <w:proofErr w:type="spellEnd"/>
      <w:r w:rsidRPr="00041120">
        <w:rPr>
          <w:rtl/>
          <w:lang w:val="he-IL"/>
        </w:rPr>
        <w:t xml:space="preserve"> </w:t>
      </w:r>
      <w:r>
        <w:rPr>
          <w:rFonts w:hint="cs"/>
          <w:rtl/>
          <w:lang w:val="he-IL"/>
        </w:rPr>
        <w:t xml:space="preserve">פסוק </w:t>
      </w:r>
      <w:r w:rsidRPr="00041120">
        <w:rPr>
          <w:rtl/>
          <w:lang w:val="he-IL"/>
        </w:rPr>
        <w:t>ה</w:t>
      </w:r>
      <w:r>
        <w:rPr>
          <w:rFonts w:hint="cs"/>
          <w:rtl/>
          <w:lang w:val="he-IL"/>
        </w:rPr>
        <w:t>: "</w:t>
      </w:r>
      <w:r w:rsidRPr="00041120">
        <w:rPr>
          <w:rtl/>
          <w:lang w:val="he-IL"/>
        </w:rPr>
        <w:t xml:space="preserve">ארי תחזי חמרא </w:t>
      </w:r>
      <w:proofErr w:type="spellStart"/>
      <w:r w:rsidRPr="00041120">
        <w:rPr>
          <w:rtl/>
          <w:lang w:val="he-IL"/>
        </w:rPr>
        <w:t>דסנאך</w:t>
      </w:r>
      <w:proofErr w:type="spellEnd"/>
      <w:r w:rsidRPr="00041120">
        <w:rPr>
          <w:rtl/>
          <w:lang w:val="he-IL"/>
        </w:rPr>
        <w:t xml:space="preserve"> רביע תחות </w:t>
      </w:r>
      <w:proofErr w:type="spellStart"/>
      <w:r w:rsidRPr="00041120">
        <w:rPr>
          <w:rtl/>
          <w:lang w:val="he-IL"/>
        </w:rPr>
        <w:t>טועניה</w:t>
      </w:r>
      <w:proofErr w:type="spellEnd"/>
      <w:r w:rsidRPr="00041120">
        <w:rPr>
          <w:rtl/>
          <w:lang w:val="he-IL"/>
        </w:rPr>
        <w:t xml:space="preserve"> </w:t>
      </w:r>
      <w:proofErr w:type="spellStart"/>
      <w:r w:rsidRPr="00041120">
        <w:rPr>
          <w:rtl/>
          <w:lang w:val="he-IL"/>
        </w:rPr>
        <w:t>ותתמנע</w:t>
      </w:r>
      <w:proofErr w:type="spellEnd"/>
      <w:r w:rsidRPr="00041120">
        <w:rPr>
          <w:rtl/>
          <w:lang w:val="he-IL"/>
        </w:rPr>
        <w:t xml:space="preserve"> </w:t>
      </w:r>
      <w:proofErr w:type="spellStart"/>
      <w:r w:rsidRPr="00041120">
        <w:rPr>
          <w:rtl/>
          <w:lang w:val="he-IL"/>
        </w:rPr>
        <w:t>מלמשקל</w:t>
      </w:r>
      <w:proofErr w:type="spellEnd"/>
      <w:r w:rsidRPr="00041120">
        <w:rPr>
          <w:rtl/>
          <w:lang w:val="he-IL"/>
        </w:rPr>
        <w:t xml:space="preserve"> ליה</w:t>
      </w:r>
      <w:r>
        <w:rPr>
          <w:rFonts w:hint="cs"/>
          <w:rtl/>
          <w:lang w:val="he-IL"/>
        </w:rPr>
        <w:t>,</w:t>
      </w:r>
      <w:r w:rsidRPr="00041120">
        <w:rPr>
          <w:rtl/>
          <w:lang w:val="he-IL"/>
        </w:rPr>
        <w:t xml:space="preserve"> </w:t>
      </w:r>
      <w:proofErr w:type="spellStart"/>
      <w:r w:rsidRPr="00041120">
        <w:rPr>
          <w:rtl/>
          <w:lang w:val="he-IL"/>
        </w:rPr>
        <w:t>משבק</w:t>
      </w:r>
      <w:proofErr w:type="spellEnd"/>
      <w:r w:rsidRPr="00041120">
        <w:rPr>
          <w:rtl/>
          <w:lang w:val="he-IL"/>
        </w:rPr>
        <w:t xml:space="preserve"> תשבוק </w:t>
      </w:r>
      <w:proofErr w:type="spellStart"/>
      <w:r w:rsidRPr="00041120">
        <w:rPr>
          <w:rtl/>
          <w:lang w:val="he-IL"/>
        </w:rPr>
        <w:t>מא</w:t>
      </w:r>
      <w:proofErr w:type="spellEnd"/>
      <w:r w:rsidRPr="00041120">
        <w:rPr>
          <w:rtl/>
          <w:lang w:val="he-IL"/>
        </w:rPr>
        <w:t xml:space="preserve"> </w:t>
      </w:r>
      <w:proofErr w:type="spellStart"/>
      <w:r w:rsidRPr="00041120">
        <w:rPr>
          <w:rtl/>
          <w:lang w:val="he-IL"/>
        </w:rPr>
        <w:t>דבלבך</w:t>
      </w:r>
      <w:proofErr w:type="spellEnd"/>
      <w:r w:rsidRPr="00041120">
        <w:rPr>
          <w:rtl/>
          <w:lang w:val="he-IL"/>
        </w:rPr>
        <w:t xml:space="preserve"> </w:t>
      </w:r>
      <w:proofErr w:type="spellStart"/>
      <w:r w:rsidRPr="00041120">
        <w:rPr>
          <w:rtl/>
          <w:lang w:val="he-IL"/>
        </w:rPr>
        <w:t>עלוהי</w:t>
      </w:r>
      <w:proofErr w:type="spellEnd"/>
      <w:r w:rsidRPr="00041120">
        <w:rPr>
          <w:rtl/>
          <w:lang w:val="he-IL"/>
        </w:rPr>
        <w:t xml:space="preserve"> </w:t>
      </w:r>
      <w:proofErr w:type="spellStart"/>
      <w:r w:rsidRPr="00041120">
        <w:rPr>
          <w:rtl/>
          <w:lang w:val="he-IL"/>
        </w:rPr>
        <w:t>ותפריק</w:t>
      </w:r>
      <w:proofErr w:type="spellEnd"/>
      <w:r w:rsidRPr="00041120">
        <w:rPr>
          <w:rtl/>
          <w:lang w:val="he-IL"/>
        </w:rPr>
        <w:t xml:space="preserve"> עמיה</w:t>
      </w:r>
      <w:r>
        <w:rPr>
          <w:rFonts w:hint="cs"/>
          <w:rtl/>
          <w:lang w:val="he-IL"/>
        </w:rPr>
        <w:t xml:space="preserve">". ובפירוש </w:t>
      </w:r>
      <w:r w:rsidRPr="007E57CD">
        <w:rPr>
          <w:rtl/>
          <w:lang w:val="he-IL"/>
        </w:rPr>
        <w:t xml:space="preserve">הדר זקנים </w:t>
      </w:r>
      <w:r>
        <w:rPr>
          <w:rFonts w:hint="cs"/>
          <w:rtl/>
          <w:lang w:val="he-IL"/>
        </w:rPr>
        <w:t>על הפסוק: "</w:t>
      </w:r>
      <w:r w:rsidRPr="007E57CD">
        <w:rPr>
          <w:rtl/>
          <w:lang w:val="he-IL"/>
        </w:rPr>
        <w:t xml:space="preserve">עזב </w:t>
      </w:r>
      <w:proofErr w:type="spellStart"/>
      <w:r w:rsidRPr="007E57CD">
        <w:rPr>
          <w:rtl/>
          <w:lang w:val="he-IL"/>
        </w:rPr>
        <w:t>תעזב</w:t>
      </w:r>
      <w:proofErr w:type="spellEnd"/>
      <w:r w:rsidRPr="007E57CD">
        <w:rPr>
          <w:rtl/>
          <w:lang w:val="he-IL"/>
        </w:rPr>
        <w:t xml:space="preserve"> עמו. כלומר עזוב השנאה שיש לך עליו. ועזוב עמו לשון חוזק וע</w:t>
      </w:r>
      <w:r>
        <w:rPr>
          <w:rtl/>
          <w:lang w:val="he-IL"/>
        </w:rPr>
        <w:t>זרה. כמו ויעזרו ירושלם עד החומה</w:t>
      </w:r>
      <w:r>
        <w:rPr>
          <w:rFonts w:hint="cs"/>
          <w:rtl/>
          <w:lang w:val="he-IL"/>
        </w:rPr>
        <w:t>".</w:t>
      </w:r>
      <w:r w:rsidR="00417467">
        <w:rPr>
          <w:rFonts w:hint="cs"/>
          <w:rtl/>
        </w:rPr>
        <w:t xml:space="preserve"> אולי כל זה גם בהשפע</w:t>
      </w:r>
      <w:r w:rsidR="001C4040">
        <w:rPr>
          <w:rFonts w:hint="cs"/>
          <w:rtl/>
        </w:rPr>
        <w:t>ת</w:t>
      </w:r>
      <w:r w:rsidR="00417467">
        <w:rPr>
          <w:rFonts w:hint="cs"/>
          <w:rtl/>
        </w:rPr>
        <w:t xml:space="preserve"> גמרא בבא מציעא לעיל:</w:t>
      </w:r>
      <w:r w:rsidR="00417467" w:rsidRPr="00417467">
        <w:rPr>
          <w:rtl/>
          <w:lang w:val="he-IL"/>
        </w:rPr>
        <w:t xml:space="preserve"> </w:t>
      </w:r>
      <w:r w:rsidR="00417467">
        <w:rPr>
          <w:rFonts w:hint="cs"/>
          <w:rtl/>
          <w:lang w:val="he-IL"/>
        </w:rPr>
        <w:t>"</w:t>
      </w:r>
      <w:r w:rsidR="00417467" w:rsidRPr="007F66B5">
        <w:rPr>
          <w:rtl/>
          <w:lang w:val="he-IL"/>
        </w:rPr>
        <w:t xml:space="preserve">אוהב לפרוק ושונא לטעון - מצוה בשונא כדי </w:t>
      </w:r>
      <w:proofErr w:type="spellStart"/>
      <w:r w:rsidR="00417467" w:rsidRPr="007F66B5">
        <w:rPr>
          <w:rtl/>
          <w:lang w:val="he-IL"/>
        </w:rPr>
        <w:t>ל</w:t>
      </w:r>
      <w:r w:rsidR="00417467">
        <w:rPr>
          <w:rtl/>
          <w:lang w:val="he-IL"/>
        </w:rPr>
        <w:t>ָ</w:t>
      </w:r>
      <w:r w:rsidR="00417467" w:rsidRPr="007F66B5">
        <w:rPr>
          <w:rtl/>
          <w:lang w:val="he-IL"/>
        </w:rPr>
        <w:t>כו</w:t>
      </w:r>
      <w:r w:rsidR="00417467">
        <w:rPr>
          <w:rtl/>
          <w:lang w:val="he-IL"/>
        </w:rPr>
        <w:t>ֹ</w:t>
      </w:r>
      <w:r w:rsidR="00417467" w:rsidRPr="007F66B5">
        <w:rPr>
          <w:rtl/>
          <w:lang w:val="he-IL"/>
        </w:rPr>
        <w:t>ף</w:t>
      </w:r>
      <w:proofErr w:type="spellEnd"/>
      <w:r w:rsidR="00417467" w:rsidRPr="007F66B5">
        <w:rPr>
          <w:rtl/>
          <w:lang w:val="he-IL"/>
        </w:rPr>
        <w:t xml:space="preserve"> את יצרו</w:t>
      </w:r>
      <w:r w:rsidR="00417467">
        <w:rPr>
          <w:rFonts w:hint="cs"/>
          <w:rtl/>
          <w:lang w:val="he-IL"/>
        </w:rPr>
        <w:t>"</w:t>
      </w:r>
      <w:r w:rsidR="00417467" w:rsidRPr="007F66B5">
        <w:rPr>
          <w:rtl/>
          <w:lang w:val="he-IL"/>
        </w:rPr>
        <w:t>.</w:t>
      </w:r>
    </w:p>
  </w:footnote>
  <w:footnote w:id="32">
    <w:p w14:paraId="2644ADA1" w14:textId="3112E809" w:rsidR="00B50B45" w:rsidRDefault="00B50B45" w:rsidP="00417467">
      <w:pPr>
        <w:pStyle w:val="a3"/>
        <w:rPr>
          <w:rtl/>
        </w:rPr>
      </w:pPr>
      <w:r>
        <w:rPr>
          <w:rStyle w:val="a5"/>
        </w:rPr>
        <w:footnoteRef/>
      </w:r>
      <w:r>
        <w:rPr>
          <w:rtl/>
        </w:rPr>
        <w:t xml:space="preserve"> </w:t>
      </w:r>
      <w:r>
        <w:rPr>
          <w:rFonts w:hint="cs"/>
          <w:rtl/>
          <w:lang w:val="he-IL"/>
        </w:rPr>
        <w:t xml:space="preserve">בגישתו למצוות שנמנות בספר דברים, מבחין רמב"ן בין מצווה מבוארת ומצווה מחודשת. מצווה מבוארת היא מצווה שספר דברים בא להרחיב ולבאר בהשוואה עם ארבעת החומשים הראשונים, כגון מצוות מעקה </w:t>
      </w:r>
      <w:r w:rsidR="00985145">
        <w:rPr>
          <w:rFonts w:hint="cs"/>
          <w:rtl/>
          <w:lang w:val="he-IL"/>
        </w:rPr>
        <w:t>שנזכרת בספר דברים (</w:t>
      </w:r>
      <w:proofErr w:type="spellStart"/>
      <w:r w:rsidR="00985145">
        <w:rPr>
          <w:rFonts w:hint="cs"/>
          <w:rtl/>
          <w:lang w:val="he-IL"/>
        </w:rPr>
        <w:t>כב</w:t>
      </w:r>
      <w:proofErr w:type="spellEnd"/>
      <w:r w:rsidR="00985145">
        <w:rPr>
          <w:rFonts w:hint="cs"/>
          <w:rtl/>
          <w:lang w:val="he-IL"/>
        </w:rPr>
        <w:t xml:space="preserve"> ח-ט) </w:t>
      </w:r>
      <w:r>
        <w:rPr>
          <w:rFonts w:hint="cs"/>
          <w:rtl/>
          <w:lang w:val="he-IL"/>
        </w:rPr>
        <w:t xml:space="preserve">שהיא ביאור של </w:t>
      </w:r>
      <w:hyperlink r:id="rId7" w:anchor="gsc.tab=0" w:history="1">
        <w:r w:rsidRPr="00985145">
          <w:rPr>
            <w:rStyle w:val="Hyperlink"/>
            <w:rFonts w:hint="cs"/>
            <w:rtl/>
            <w:lang w:val="he-IL"/>
          </w:rPr>
          <w:t>לא תעמוד על דם רעך</w:t>
        </w:r>
      </w:hyperlink>
      <w:r w:rsidRPr="00393F4B">
        <w:rPr>
          <w:rFonts w:hint="cs"/>
          <w:rtl/>
          <w:lang w:val="he-IL"/>
        </w:rPr>
        <w:t xml:space="preserve"> </w:t>
      </w:r>
      <w:r>
        <w:rPr>
          <w:rFonts w:hint="cs"/>
          <w:rtl/>
          <w:lang w:val="he-IL"/>
        </w:rPr>
        <w:t>(</w:t>
      </w:r>
      <w:r w:rsidR="00985145">
        <w:rPr>
          <w:rFonts w:hint="cs"/>
          <w:rtl/>
          <w:lang w:val="he-IL"/>
        </w:rPr>
        <w:t xml:space="preserve">ויקרא </w:t>
      </w:r>
      <w:proofErr w:type="spellStart"/>
      <w:r w:rsidR="00985145">
        <w:rPr>
          <w:rFonts w:hint="cs"/>
          <w:rtl/>
          <w:lang w:val="he-IL"/>
        </w:rPr>
        <w:t>יט</w:t>
      </w:r>
      <w:proofErr w:type="spellEnd"/>
      <w:r w:rsidR="00985145">
        <w:rPr>
          <w:rFonts w:hint="cs"/>
          <w:rtl/>
          <w:lang w:val="he-IL"/>
        </w:rPr>
        <w:t xml:space="preserve"> ט, ראו ב</w:t>
      </w:r>
      <w:r>
        <w:rPr>
          <w:rFonts w:hint="cs"/>
          <w:rtl/>
          <w:lang w:val="he-IL"/>
        </w:rPr>
        <w:t xml:space="preserve">פירושו </w:t>
      </w:r>
      <w:r w:rsidR="00985145">
        <w:rPr>
          <w:rFonts w:hint="cs"/>
          <w:rtl/>
          <w:lang w:val="he-IL"/>
        </w:rPr>
        <w:t xml:space="preserve">של רמב"ן </w:t>
      </w:r>
      <w:r>
        <w:rPr>
          <w:rFonts w:hint="cs"/>
          <w:rtl/>
          <w:lang w:val="he-IL"/>
        </w:rPr>
        <w:t xml:space="preserve">לדברים </w:t>
      </w:r>
      <w:proofErr w:type="spellStart"/>
      <w:r>
        <w:rPr>
          <w:rFonts w:hint="cs"/>
          <w:rtl/>
          <w:lang w:val="he-IL"/>
        </w:rPr>
        <w:t>כב</w:t>
      </w:r>
      <w:proofErr w:type="spellEnd"/>
      <w:r>
        <w:rPr>
          <w:rFonts w:hint="cs"/>
          <w:rtl/>
          <w:lang w:val="he-IL"/>
        </w:rPr>
        <w:t xml:space="preserve"> ח), או שילוח הקן שהיא ביאור של איסור שחיטת בעל חיים ובנו ביום אחד (</w:t>
      </w:r>
      <w:r w:rsidR="00985145">
        <w:rPr>
          <w:rFonts w:hint="cs"/>
          <w:rtl/>
          <w:lang w:val="he-IL"/>
        </w:rPr>
        <w:t>ב</w:t>
      </w:r>
      <w:r>
        <w:rPr>
          <w:rFonts w:hint="cs"/>
          <w:rtl/>
          <w:lang w:val="he-IL"/>
        </w:rPr>
        <w:t xml:space="preserve">פירושו שם </w:t>
      </w:r>
      <w:proofErr w:type="spellStart"/>
      <w:r>
        <w:rPr>
          <w:rFonts w:hint="cs"/>
          <w:rtl/>
          <w:lang w:val="he-IL"/>
        </w:rPr>
        <w:t>כב</w:t>
      </w:r>
      <w:proofErr w:type="spellEnd"/>
      <w:r>
        <w:rPr>
          <w:rFonts w:hint="cs"/>
          <w:rtl/>
          <w:lang w:val="he-IL"/>
        </w:rPr>
        <w:t xml:space="preserve"> ו). מצווה מחודשת היא מצווה שנאמרת לראשונה בספר דברים, כגון כל דיני המלחמה שבראשית פרשת כי תצא</w:t>
      </w:r>
      <w:r w:rsidR="00985145">
        <w:rPr>
          <w:rFonts w:hint="cs"/>
          <w:rtl/>
          <w:lang w:val="he-IL"/>
        </w:rPr>
        <w:t>, ואין לה שום 'עוגן' בחומשים הקודמים</w:t>
      </w:r>
      <w:r>
        <w:rPr>
          <w:rFonts w:hint="cs"/>
          <w:rtl/>
          <w:lang w:val="he-IL"/>
        </w:rPr>
        <w:t xml:space="preserve">. </w:t>
      </w:r>
      <w:r w:rsidR="004369A0">
        <w:rPr>
          <w:rFonts w:hint="cs"/>
          <w:rtl/>
          <w:lang w:val="he-IL"/>
        </w:rPr>
        <w:t>ראו</w:t>
      </w:r>
      <w:r>
        <w:rPr>
          <w:rFonts w:hint="cs"/>
          <w:rtl/>
          <w:lang w:val="he-IL"/>
        </w:rPr>
        <w:t xml:space="preserve"> איך </w:t>
      </w:r>
      <w:r w:rsidR="00985145">
        <w:rPr>
          <w:rFonts w:hint="cs"/>
          <w:rtl/>
          <w:lang w:val="he-IL"/>
        </w:rPr>
        <w:t>רמב"ן</w:t>
      </w:r>
      <w:r>
        <w:rPr>
          <w:rFonts w:hint="cs"/>
          <w:rtl/>
          <w:lang w:val="he-IL"/>
        </w:rPr>
        <w:t xml:space="preserve"> מתחבט למשל בדין בן סורר ומורה אם הוא דבר מחודש או מבואר ממצוות כיבוד אב ואב ויראת אב ואם (</w:t>
      </w:r>
      <w:r w:rsidR="00985145">
        <w:rPr>
          <w:rFonts w:hint="cs"/>
          <w:rtl/>
          <w:lang w:val="he-IL"/>
        </w:rPr>
        <w:t>ב</w:t>
      </w:r>
      <w:r>
        <w:rPr>
          <w:rFonts w:hint="cs"/>
          <w:rtl/>
          <w:lang w:val="he-IL"/>
        </w:rPr>
        <w:t xml:space="preserve">פירושו לדברים </w:t>
      </w:r>
      <w:proofErr w:type="spellStart"/>
      <w:r>
        <w:rPr>
          <w:rFonts w:hint="cs"/>
          <w:rtl/>
          <w:lang w:val="he-IL"/>
        </w:rPr>
        <w:t>כא</w:t>
      </w:r>
      <w:proofErr w:type="spellEnd"/>
      <w:r>
        <w:rPr>
          <w:rFonts w:hint="cs"/>
          <w:rtl/>
          <w:lang w:val="he-IL"/>
        </w:rPr>
        <w:t xml:space="preserve"> </w:t>
      </w:r>
      <w:proofErr w:type="spellStart"/>
      <w:r>
        <w:rPr>
          <w:rFonts w:hint="cs"/>
          <w:rtl/>
          <w:lang w:val="he-IL"/>
        </w:rPr>
        <w:t>יח</w:t>
      </w:r>
      <w:proofErr w:type="spellEnd"/>
      <w:r>
        <w:rPr>
          <w:rFonts w:hint="cs"/>
          <w:rtl/>
          <w:lang w:val="he-IL"/>
        </w:rPr>
        <w:t>). וכאן, למרות שאיננו נוקט בלשון מבוארת/מחודשת, נראה שפשוט לרמב"ן שזו מצווה מבוארת. מה בא ספר דברים, בפסוק השני שהבאנו בראש דבר</w:t>
      </w:r>
      <w:r w:rsidR="00417467">
        <w:rPr>
          <w:rFonts w:hint="cs"/>
          <w:rtl/>
          <w:lang w:val="he-IL"/>
        </w:rPr>
        <w:t>י</w:t>
      </w:r>
      <w:r>
        <w:rPr>
          <w:rFonts w:hint="cs"/>
          <w:rtl/>
          <w:lang w:val="he-IL"/>
        </w:rPr>
        <w:t>נו, להוסיף? שיש כאן גם מצוות לא תעשה, שיש להתייחס גם לנופלים ולא רק לרובץ (מה החידוש בזה?) ושהשונא שנזכר בספר שמות, יהפוך לאחיך בספר דברים: תיזכר האחווה ותישכח השנאה, כמו שנראה במדרש הבא. יש קרבה מעניינת בין דברי רמב"ן אלה ושיטת ר' שמעון בר יוחאי לעיל "לא מסיימי קראי", שפסוקי ספר דברים משלימים את פסוקי ספר שמות</w:t>
      </w:r>
      <w:r w:rsidR="00A3083F">
        <w:rPr>
          <w:rFonts w:hint="cs"/>
          <w:rtl/>
          <w:lang w:val="he-IL"/>
        </w:rPr>
        <w:t xml:space="preserve"> וצריך את שניהם</w:t>
      </w:r>
      <w:r>
        <w:rPr>
          <w:rFonts w:hint="cs"/>
          <w:rtl/>
          <w:lang w:val="he-IL"/>
        </w:rPr>
        <w:t>, דבר שמן הסתם רמב"ן לא התכוון לו שהרי שיטת ר' שמעון היא מיעוט ו</w:t>
      </w:r>
      <w:r w:rsidR="00417467">
        <w:rPr>
          <w:rFonts w:hint="cs"/>
          <w:rtl/>
          <w:lang w:val="he-IL"/>
        </w:rPr>
        <w:t xml:space="preserve">אינה </w:t>
      </w:r>
      <w:r>
        <w:rPr>
          <w:rFonts w:hint="cs"/>
          <w:rtl/>
          <w:lang w:val="he-IL"/>
        </w:rPr>
        <w:t xml:space="preserve">להלכה. כך או כך, מעניין שרמב"ן לא מציין את הדין של "והתעלמת" שהוא אולי החידוש הכי משמעותי של ספר דברים, הן במצוות השבת אבדה והן במצוות פריקה וטעינה, שיש מגבלה גם בדרישה לסייע. ועל נושא זה הרחבנו כאמור בדברינו </w:t>
      </w:r>
      <w:hyperlink r:id="rId8" w:history="1">
        <w:r w:rsidRPr="007E57CD">
          <w:rPr>
            <w:rStyle w:val="Hyperlink"/>
            <w:rFonts w:hint="cs"/>
            <w:rtl/>
            <w:lang w:val="he-IL"/>
          </w:rPr>
          <w:t>והתעלמת – פעמים שאתה מתעלם</w:t>
        </w:r>
      </w:hyperlink>
      <w:r>
        <w:rPr>
          <w:rFonts w:hint="cs"/>
          <w:rtl/>
          <w:lang w:val="he-IL"/>
        </w:rPr>
        <w:t xml:space="preserve"> בפרשת כי תצא.</w:t>
      </w:r>
      <w:r w:rsidR="00417467">
        <w:rPr>
          <w:rFonts w:hint="cs"/>
          <w:rtl/>
        </w:rPr>
        <w:t xml:space="preserve"> אבל לחלק מהשיטות שראינו לעיל, אולי גם חידוש זה כבר רמוז במילה "וחדלת" שבפרשתנו.</w:t>
      </w:r>
    </w:p>
  </w:footnote>
  <w:footnote w:id="33">
    <w:p w14:paraId="33C5CDEF" w14:textId="77777777" w:rsidR="00417467" w:rsidRDefault="00417467" w:rsidP="00417467">
      <w:pPr>
        <w:pStyle w:val="a3"/>
        <w:rPr>
          <w:rtl/>
        </w:rPr>
      </w:pPr>
      <w:r>
        <w:rPr>
          <w:rStyle w:val="a5"/>
        </w:rPr>
        <w:footnoteRef/>
      </w:r>
      <w:r>
        <w:rPr>
          <w:rtl/>
        </w:rPr>
        <w:t xml:space="preserve"> </w:t>
      </w:r>
      <w:r>
        <w:rPr>
          <w:rFonts w:hint="cs"/>
          <w:rtl/>
        </w:rPr>
        <w:t xml:space="preserve">לפעולת הטעינה המשותפת (גם הפריקה) מתלווה גם שיח: תפוס מכאן, אחת-שתיים-שלוש </w:t>
      </w:r>
      <w:proofErr w:type="spellStart"/>
      <w:r>
        <w:rPr>
          <w:rFonts w:hint="cs"/>
          <w:rtl/>
        </w:rPr>
        <w:t>וכו</w:t>
      </w:r>
      <w:proofErr w:type="spellEnd"/>
      <w:r>
        <w:rPr>
          <w:rFonts w:hint="cs"/>
          <w:rtl/>
        </w:rPr>
        <w:t xml:space="preserve">'. יהודים מלווים כל עשייה גם בדיבור. </w:t>
      </w:r>
    </w:p>
  </w:footnote>
  <w:footnote w:id="34">
    <w:p w14:paraId="467A1880" w14:textId="0EFD90F1" w:rsidR="00B50B45" w:rsidRDefault="00B50B45" w:rsidP="00F21123">
      <w:pPr>
        <w:pStyle w:val="a3"/>
        <w:rPr>
          <w:rtl/>
        </w:rPr>
      </w:pPr>
      <w:r>
        <w:rPr>
          <w:rStyle w:val="a5"/>
          <w:rtl/>
        </w:rPr>
        <w:footnoteRef/>
      </w:r>
      <w:r>
        <w:rPr>
          <w:rtl/>
        </w:rPr>
        <w:t xml:space="preserve"> מדרש זה </w:t>
      </w:r>
      <w:r>
        <w:rPr>
          <w:rFonts w:hint="cs"/>
          <w:rtl/>
        </w:rPr>
        <w:t xml:space="preserve">מזכיר לנו </w:t>
      </w:r>
      <w:r>
        <w:rPr>
          <w:rtl/>
        </w:rPr>
        <w:t>שבסופו של דבר לא מדובר בממון ובחפצים, אלא באנשים</w:t>
      </w:r>
      <w:r w:rsidR="0099138A">
        <w:rPr>
          <w:rFonts w:hint="cs"/>
          <w:rtl/>
        </w:rPr>
        <w:t>. לא רק במקרה של אדם שנושא משא, כפי שראינו במכילתא וברמב"ם, אלא גם במקרה של בהמה שבסופו של דבר שייכת לבן אדם מסוים</w:t>
      </w:r>
      <w:r w:rsidR="00F21123">
        <w:rPr>
          <w:rFonts w:hint="cs"/>
          <w:rtl/>
        </w:rPr>
        <w:t xml:space="preserve"> והיא מקור פרנסתו ורכושו המעט</w:t>
      </w:r>
      <w:r w:rsidR="0099138A">
        <w:rPr>
          <w:rFonts w:hint="cs"/>
          <w:rtl/>
        </w:rPr>
        <w:t>. לצד הנושא של צער בעלי חיים שהגמרא מאד מדגישה</w:t>
      </w:r>
      <w:r w:rsidR="00F21123">
        <w:rPr>
          <w:rFonts w:hint="cs"/>
          <w:rtl/>
        </w:rPr>
        <w:t xml:space="preserve">, </w:t>
      </w:r>
      <w:r>
        <w:rPr>
          <w:rtl/>
        </w:rPr>
        <w:t xml:space="preserve">מדובר </w:t>
      </w:r>
      <w:r w:rsidR="00F21123">
        <w:rPr>
          <w:rFonts w:hint="cs"/>
          <w:rtl/>
        </w:rPr>
        <w:t xml:space="preserve">בסופו של דבר, </w:t>
      </w:r>
      <w:r>
        <w:rPr>
          <w:rtl/>
        </w:rPr>
        <w:t>בשלום בין אדם לחברו ובבניין החברה</w:t>
      </w:r>
      <w:r>
        <w:rPr>
          <w:rFonts w:hint="cs"/>
          <w:rtl/>
        </w:rPr>
        <w:t xml:space="preserve">. בניגוד למצוות </w:t>
      </w:r>
      <w:r>
        <w:rPr>
          <w:rtl/>
        </w:rPr>
        <w:t>השבת אבדה</w:t>
      </w:r>
      <w:r>
        <w:rPr>
          <w:rFonts w:hint="cs"/>
          <w:rtl/>
        </w:rPr>
        <w:t xml:space="preserve">, </w:t>
      </w:r>
      <w:r>
        <w:rPr>
          <w:rtl/>
        </w:rPr>
        <w:t xml:space="preserve">במצוות פריקה </w:t>
      </w:r>
      <w:r>
        <w:rPr>
          <w:rFonts w:hint="cs"/>
          <w:rtl/>
        </w:rPr>
        <w:t xml:space="preserve">וטעינה </w:t>
      </w:r>
      <w:r>
        <w:rPr>
          <w:rtl/>
        </w:rPr>
        <w:t xml:space="preserve">יש </w:t>
      </w:r>
      <w:r w:rsidR="0099138A">
        <w:rPr>
          <w:rFonts w:hint="cs"/>
          <w:rtl/>
        </w:rPr>
        <w:t xml:space="preserve">ברוב המקרים, </w:t>
      </w:r>
      <w:r>
        <w:rPr>
          <w:rtl/>
        </w:rPr>
        <w:t>קשר חז</w:t>
      </w:r>
      <w:r>
        <w:rPr>
          <w:rFonts w:hint="cs"/>
          <w:rtl/>
        </w:rPr>
        <w:t>ו</w:t>
      </w:r>
      <w:r>
        <w:rPr>
          <w:rtl/>
        </w:rPr>
        <w:t>תי וישיר בין בני האדם. לא חפץ עזוב מונח בשדה, אלא אדם שנמצא בצרה (יש לו תקר באוטו ואין לו גלגל רזרבי או שקשה לו להחליף אותו) ולכן בעזרה זו יש משהו הרבה יותר אנושי וחשוב.</w:t>
      </w:r>
      <w:r w:rsidR="00985145">
        <w:rPr>
          <w:rFonts w:hint="cs"/>
          <w:rtl/>
        </w:rPr>
        <w:t xml:space="preserve"> ויש לשים לב גם לתוספת "הקטנה" </w:t>
      </w:r>
      <w:r w:rsidR="00985145">
        <w:rPr>
          <w:rtl/>
        </w:rPr>
        <w:t>–</w:t>
      </w:r>
      <w:r w:rsidR="00985145">
        <w:rPr>
          <w:rFonts w:hint="cs"/>
          <w:rtl/>
        </w:rPr>
        <w:t xml:space="preserve"> "ומלווהו"! </w:t>
      </w:r>
      <w:r>
        <w:rPr>
          <w:rtl/>
        </w:rPr>
        <w:t xml:space="preserve">ואולי זו הסיבה שהרמב"ם מביא מצווה זו בהלכות רוצח </w:t>
      </w:r>
      <w:r>
        <w:rPr>
          <w:u w:val="single"/>
          <w:rtl/>
        </w:rPr>
        <w:t>ושמירת הנפש</w:t>
      </w:r>
      <w:r>
        <w:rPr>
          <w:rtl/>
        </w:rPr>
        <w:t>!</w:t>
      </w:r>
      <w:r>
        <w:rPr>
          <w:rFonts w:hint="cs"/>
          <w:rtl/>
        </w:rPr>
        <w:t xml:space="preserve"> וגם בהשבת אבדה יש לעתים קרובות גם השבת נפש ממש. </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DA88" w14:textId="240E59D7" w:rsidR="00B50B45" w:rsidRDefault="00B50B45" w:rsidP="001C5228">
    <w:pPr>
      <w:pStyle w:val="1"/>
      <w:tabs>
        <w:tab w:val="clear" w:pos="9469"/>
        <w:tab w:val="right" w:pos="9299"/>
      </w:tabs>
      <w:rPr>
        <w:rtl/>
      </w:rPr>
    </w:pPr>
    <w:r>
      <w:rPr>
        <w:rtl/>
      </w:rPr>
      <w:t xml:space="preserve">פרשת </w:t>
    </w:r>
    <w:r w:rsidR="00714A30">
      <w:fldChar w:fldCharType="begin"/>
    </w:r>
    <w:r w:rsidR="00714A30">
      <w:instrText xml:space="preserve"> SUBJECT  \* MERGEFORMAT </w:instrText>
    </w:r>
    <w:r w:rsidR="00714A30">
      <w:fldChar w:fldCharType="separate"/>
    </w:r>
    <w:r w:rsidR="00714A30">
      <w:rPr>
        <w:rtl/>
      </w:rPr>
      <w:t>משפטים</w:t>
    </w:r>
    <w:r w:rsidR="00714A30">
      <w:fldChar w:fldCharType="end"/>
    </w:r>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4A0C" w14:textId="35D39EAB" w:rsidR="00B50B45" w:rsidRDefault="00B50B4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14A30">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14A30">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35354516">
    <w:abstractNumId w:val="8"/>
  </w:num>
  <w:num w:numId="2" w16cid:durableId="127210604">
    <w:abstractNumId w:val="3"/>
  </w:num>
  <w:num w:numId="3" w16cid:durableId="2069527663">
    <w:abstractNumId w:val="2"/>
  </w:num>
  <w:num w:numId="4" w16cid:durableId="782504918">
    <w:abstractNumId w:val="1"/>
  </w:num>
  <w:num w:numId="5" w16cid:durableId="492643026">
    <w:abstractNumId w:val="0"/>
  </w:num>
  <w:num w:numId="6" w16cid:durableId="12924306">
    <w:abstractNumId w:val="9"/>
  </w:num>
  <w:num w:numId="7" w16cid:durableId="1477338392">
    <w:abstractNumId w:val="7"/>
  </w:num>
  <w:num w:numId="8" w16cid:durableId="989753506">
    <w:abstractNumId w:val="6"/>
  </w:num>
  <w:num w:numId="9" w16cid:durableId="355036302">
    <w:abstractNumId w:val="5"/>
  </w:num>
  <w:num w:numId="10" w16cid:durableId="499465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2tLAwsDAztTQzNDNT0lEKTi0uzszPAykwNKgFAD/1Xf8tAAAA"/>
  </w:docVars>
  <w:rsids>
    <w:rsidRoot w:val="00834ED1"/>
    <w:rsid w:val="00000C73"/>
    <w:rsid w:val="00012678"/>
    <w:rsid w:val="00020A7D"/>
    <w:rsid w:val="00027352"/>
    <w:rsid w:val="00031A5E"/>
    <w:rsid w:val="000338D3"/>
    <w:rsid w:val="00033B77"/>
    <w:rsid w:val="00037B49"/>
    <w:rsid w:val="00041120"/>
    <w:rsid w:val="00043FD8"/>
    <w:rsid w:val="00055465"/>
    <w:rsid w:val="00055811"/>
    <w:rsid w:val="000630DA"/>
    <w:rsid w:val="0006530F"/>
    <w:rsid w:val="0007515A"/>
    <w:rsid w:val="00077814"/>
    <w:rsid w:val="00096E1F"/>
    <w:rsid w:val="00097236"/>
    <w:rsid w:val="000A0150"/>
    <w:rsid w:val="000B1C0B"/>
    <w:rsid w:val="000C1A57"/>
    <w:rsid w:val="000E14EE"/>
    <w:rsid w:val="000E16FD"/>
    <w:rsid w:val="000F5B95"/>
    <w:rsid w:val="000F621E"/>
    <w:rsid w:val="00100676"/>
    <w:rsid w:val="00111E52"/>
    <w:rsid w:val="00140B9A"/>
    <w:rsid w:val="0014447E"/>
    <w:rsid w:val="00144E32"/>
    <w:rsid w:val="00151675"/>
    <w:rsid w:val="001537B6"/>
    <w:rsid w:val="00154044"/>
    <w:rsid w:val="00162930"/>
    <w:rsid w:val="00163884"/>
    <w:rsid w:val="00167E17"/>
    <w:rsid w:val="00170FAC"/>
    <w:rsid w:val="00175548"/>
    <w:rsid w:val="001824A9"/>
    <w:rsid w:val="0018773D"/>
    <w:rsid w:val="00191082"/>
    <w:rsid w:val="00192528"/>
    <w:rsid w:val="00194F66"/>
    <w:rsid w:val="00196539"/>
    <w:rsid w:val="001A0282"/>
    <w:rsid w:val="001B03DA"/>
    <w:rsid w:val="001C4040"/>
    <w:rsid w:val="001C4A69"/>
    <w:rsid w:val="001C5228"/>
    <w:rsid w:val="001C55B7"/>
    <w:rsid w:val="001D307D"/>
    <w:rsid w:val="001D46A8"/>
    <w:rsid w:val="001E4F87"/>
    <w:rsid w:val="001F00BD"/>
    <w:rsid w:val="001F6C4F"/>
    <w:rsid w:val="00207B42"/>
    <w:rsid w:val="002256E5"/>
    <w:rsid w:val="00235814"/>
    <w:rsid w:val="00244A7C"/>
    <w:rsid w:val="0024715B"/>
    <w:rsid w:val="00261446"/>
    <w:rsid w:val="00264B7D"/>
    <w:rsid w:val="00266BB5"/>
    <w:rsid w:val="00273113"/>
    <w:rsid w:val="00275312"/>
    <w:rsid w:val="002832A0"/>
    <w:rsid w:val="00286A45"/>
    <w:rsid w:val="002877FD"/>
    <w:rsid w:val="002A1874"/>
    <w:rsid w:val="002B1E3B"/>
    <w:rsid w:val="002B7592"/>
    <w:rsid w:val="002C79DD"/>
    <w:rsid w:val="002D6829"/>
    <w:rsid w:val="002D6A39"/>
    <w:rsid w:val="002E004C"/>
    <w:rsid w:val="002E17FC"/>
    <w:rsid w:val="002E3CE8"/>
    <w:rsid w:val="002F0974"/>
    <w:rsid w:val="002F3637"/>
    <w:rsid w:val="002F6AA5"/>
    <w:rsid w:val="002F6CBE"/>
    <w:rsid w:val="00304940"/>
    <w:rsid w:val="00311379"/>
    <w:rsid w:val="0032042A"/>
    <w:rsid w:val="00320E12"/>
    <w:rsid w:val="00326D98"/>
    <w:rsid w:val="00341F0F"/>
    <w:rsid w:val="00343D4C"/>
    <w:rsid w:val="0035078F"/>
    <w:rsid w:val="003570E8"/>
    <w:rsid w:val="0036188B"/>
    <w:rsid w:val="00366971"/>
    <w:rsid w:val="0038709F"/>
    <w:rsid w:val="00387AD5"/>
    <w:rsid w:val="003933EF"/>
    <w:rsid w:val="00393F4B"/>
    <w:rsid w:val="003A0D02"/>
    <w:rsid w:val="003A70C8"/>
    <w:rsid w:val="003B2BFC"/>
    <w:rsid w:val="003C49E2"/>
    <w:rsid w:val="003E4166"/>
    <w:rsid w:val="0040569C"/>
    <w:rsid w:val="00407B15"/>
    <w:rsid w:val="00411D92"/>
    <w:rsid w:val="00413AD2"/>
    <w:rsid w:val="00417467"/>
    <w:rsid w:val="00420F83"/>
    <w:rsid w:val="004250E9"/>
    <w:rsid w:val="00432DBA"/>
    <w:rsid w:val="00434829"/>
    <w:rsid w:val="004369A0"/>
    <w:rsid w:val="00437ED0"/>
    <w:rsid w:val="00437FAC"/>
    <w:rsid w:val="00456903"/>
    <w:rsid w:val="00466C8B"/>
    <w:rsid w:val="004704B8"/>
    <w:rsid w:val="00471B36"/>
    <w:rsid w:val="00471CEC"/>
    <w:rsid w:val="0047492F"/>
    <w:rsid w:val="00475531"/>
    <w:rsid w:val="00475907"/>
    <w:rsid w:val="00480643"/>
    <w:rsid w:val="0049360A"/>
    <w:rsid w:val="004A015D"/>
    <w:rsid w:val="004A34B1"/>
    <w:rsid w:val="004A5405"/>
    <w:rsid w:val="004B11CD"/>
    <w:rsid w:val="004B782F"/>
    <w:rsid w:val="004C3544"/>
    <w:rsid w:val="004C4A65"/>
    <w:rsid w:val="004D5F2C"/>
    <w:rsid w:val="004E7169"/>
    <w:rsid w:val="00500300"/>
    <w:rsid w:val="00502CD6"/>
    <w:rsid w:val="00504029"/>
    <w:rsid w:val="00521B7D"/>
    <w:rsid w:val="00522E32"/>
    <w:rsid w:val="00535146"/>
    <w:rsid w:val="00546E46"/>
    <w:rsid w:val="00550259"/>
    <w:rsid w:val="00550CB4"/>
    <w:rsid w:val="00556059"/>
    <w:rsid w:val="00571556"/>
    <w:rsid w:val="005755CE"/>
    <w:rsid w:val="00576BBC"/>
    <w:rsid w:val="0058111E"/>
    <w:rsid w:val="00593F5B"/>
    <w:rsid w:val="005A31AF"/>
    <w:rsid w:val="005A3950"/>
    <w:rsid w:val="005A3B11"/>
    <w:rsid w:val="005A431D"/>
    <w:rsid w:val="005A6CE5"/>
    <w:rsid w:val="005A7636"/>
    <w:rsid w:val="005B4B72"/>
    <w:rsid w:val="005B5388"/>
    <w:rsid w:val="005C1968"/>
    <w:rsid w:val="005C1F1B"/>
    <w:rsid w:val="005C2F50"/>
    <w:rsid w:val="005E6A7C"/>
    <w:rsid w:val="005E717C"/>
    <w:rsid w:val="005E72D0"/>
    <w:rsid w:val="005F4A1C"/>
    <w:rsid w:val="005F76A1"/>
    <w:rsid w:val="00600DCE"/>
    <w:rsid w:val="00614B99"/>
    <w:rsid w:val="006213C2"/>
    <w:rsid w:val="006213E5"/>
    <w:rsid w:val="00624298"/>
    <w:rsid w:val="00626D18"/>
    <w:rsid w:val="006674CD"/>
    <w:rsid w:val="00671E20"/>
    <w:rsid w:val="006940CE"/>
    <w:rsid w:val="00696BCD"/>
    <w:rsid w:val="006B7293"/>
    <w:rsid w:val="006C3E78"/>
    <w:rsid w:val="006D1CA2"/>
    <w:rsid w:val="006D3F69"/>
    <w:rsid w:val="006E3183"/>
    <w:rsid w:val="006F3BDF"/>
    <w:rsid w:val="006F7518"/>
    <w:rsid w:val="0070211C"/>
    <w:rsid w:val="007063AE"/>
    <w:rsid w:val="007075C6"/>
    <w:rsid w:val="00714400"/>
    <w:rsid w:val="00714A30"/>
    <w:rsid w:val="0074504E"/>
    <w:rsid w:val="00746661"/>
    <w:rsid w:val="0075230F"/>
    <w:rsid w:val="00754922"/>
    <w:rsid w:val="0076550A"/>
    <w:rsid w:val="00773CDE"/>
    <w:rsid w:val="00782911"/>
    <w:rsid w:val="00785E20"/>
    <w:rsid w:val="00787E99"/>
    <w:rsid w:val="007A1D55"/>
    <w:rsid w:val="007A592F"/>
    <w:rsid w:val="007B4407"/>
    <w:rsid w:val="007B7E7B"/>
    <w:rsid w:val="007D003D"/>
    <w:rsid w:val="007D3782"/>
    <w:rsid w:val="007D62CE"/>
    <w:rsid w:val="007E0381"/>
    <w:rsid w:val="007E1824"/>
    <w:rsid w:val="007E1F3A"/>
    <w:rsid w:val="007E414A"/>
    <w:rsid w:val="007E57CD"/>
    <w:rsid w:val="007E681F"/>
    <w:rsid w:val="007F50DF"/>
    <w:rsid w:val="007F66B5"/>
    <w:rsid w:val="0080393B"/>
    <w:rsid w:val="00807501"/>
    <w:rsid w:val="00811BB3"/>
    <w:rsid w:val="008149C4"/>
    <w:rsid w:val="00814B8A"/>
    <w:rsid w:val="008155D9"/>
    <w:rsid w:val="00815AB6"/>
    <w:rsid w:val="00817A78"/>
    <w:rsid w:val="008267AE"/>
    <w:rsid w:val="00826D68"/>
    <w:rsid w:val="00832380"/>
    <w:rsid w:val="00834ED1"/>
    <w:rsid w:val="00841BDA"/>
    <w:rsid w:val="00841D41"/>
    <w:rsid w:val="00841DFE"/>
    <w:rsid w:val="008641BB"/>
    <w:rsid w:val="00865680"/>
    <w:rsid w:val="008718E8"/>
    <w:rsid w:val="00883C4D"/>
    <w:rsid w:val="00895AD4"/>
    <w:rsid w:val="008A3AF8"/>
    <w:rsid w:val="008A5EF2"/>
    <w:rsid w:val="008B1C3E"/>
    <w:rsid w:val="008B28DB"/>
    <w:rsid w:val="008B2DD0"/>
    <w:rsid w:val="008C1177"/>
    <w:rsid w:val="008C2265"/>
    <w:rsid w:val="008D4094"/>
    <w:rsid w:val="008D4F70"/>
    <w:rsid w:val="008E3870"/>
    <w:rsid w:val="008E3A55"/>
    <w:rsid w:val="008F09C3"/>
    <w:rsid w:val="008F2728"/>
    <w:rsid w:val="008F5DFE"/>
    <w:rsid w:val="008F66F5"/>
    <w:rsid w:val="00904979"/>
    <w:rsid w:val="009052DB"/>
    <w:rsid w:val="00937D7F"/>
    <w:rsid w:val="0094120F"/>
    <w:rsid w:val="009445DB"/>
    <w:rsid w:val="0095507D"/>
    <w:rsid w:val="009706F7"/>
    <w:rsid w:val="00974C50"/>
    <w:rsid w:val="009816A4"/>
    <w:rsid w:val="00982374"/>
    <w:rsid w:val="009830D6"/>
    <w:rsid w:val="00984D3B"/>
    <w:rsid w:val="00985145"/>
    <w:rsid w:val="0099138A"/>
    <w:rsid w:val="00991A35"/>
    <w:rsid w:val="0099372E"/>
    <w:rsid w:val="009956B1"/>
    <w:rsid w:val="009A4A82"/>
    <w:rsid w:val="009A6652"/>
    <w:rsid w:val="009B26E5"/>
    <w:rsid w:val="009B3881"/>
    <w:rsid w:val="009B4D85"/>
    <w:rsid w:val="009E20E9"/>
    <w:rsid w:val="009E2E12"/>
    <w:rsid w:val="009F4C9A"/>
    <w:rsid w:val="00A051F9"/>
    <w:rsid w:val="00A2161A"/>
    <w:rsid w:val="00A3083F"/>
    <w:rsid w:val="00A36C4C"/>
    <w:rsid w:val="00A428B8"/>
    <w:rsid w:val="00A4290D"/>
    <w:rsid w:val="00A43520"/>
    <w:rsid w:val="00A53C98"/>
    <w:rsid w:val="00A61233"/>
    <w:rsid w:val="00A66AFE"/>
    <w:rsid w:val="00A67620"/>
    <w:rsid w:val="00A837DF"/>
    <w:rsid w:val="00A9049B"/>
    <w:rsid w:val="00A9095B"/>
    <w:rsid w:val="00A91D84"/>
    <w:rsid w:val="00A92B62"/>
    <w:rsid w:val="00A9329A"/>
    <w:rsid w:val="00A93368"/>
    <w:rsid w:val="00A95991"/>
    <w:rsid w:val="00AA2140"/>
    <w:rsid w:val="00AA4CCF"/>
    <w:rsid w:val="00AC051E"/>
    <w:rsid w:val="00AC2737"/>
    <w:rsid w:val="00AC3C3F"/>
    <w:rsid w:val="00AC7EA0"/>
    <w:rsid w:val="00AD47FB"/>
    <w:rsid w:val="00B01DF7"/>
    <w:rsid w:val="00B055CD"/>
    <w:rsid w:val="00B05EC3"/>
    <w:rsid w:val="00B10AC8"/>
    <w:rsid w:val="00B32B0A"/>
    <w:rsid w:val="00B43774"/>
    <w:rsid w:val="00B50B45"/>
    <w:rsid w:val="00B52552"/>
    <w:rsid w:val="00B604DE"/>
    <w:rsid w:val="00B70314"/>
    <w:rsid w:val="00B705F1"/>
    <w:rsid w:val="00B74DD2"/>
    <w:rsid w:val="00B9432B"/>
    <w:rsid w:val="00BA562D"/>
    <w:rsid w:val="00BB154F"/>
    <w:rsid w:val="00BB1B3B"/>
    <w:rsid w:val="00BC0080"/>
    <w:rsid w:val="00BC1356"/>
    <w:rsid w:val="00BC2541"/>
    <w:rsid w:val="00BD3A1E"/>
    <w:rsid w:val="00BD577B"/>
    <w:rsid w:val="00BF0DAC"/>
    <w:rsid w:val="00BF45FC"/>
    <w:rsid w:val="00C0343C"/>
    <w:rsid w:val="00C04948"/>
    <w:rsid w:val="00C07A0A"/>
    <w:rsid w:val="00C13000"/>
    <w:rsid w:val="00C20FD1"/>
    <w:rsid w:val="00C21C5C"/>
    <w:rsid w:val="00C30568"/>
    <w:rsid w:val="00C30FAF"/>
    <w:rsid w:val="00C378B6"/>
    <w:rsid w:val="00C4251F"/>
    <w:rsid w:val="00C60380"/>
    <w:rsid w:val="00C60DD6"/>
    <w:rsid w:val="00C61106"/>
    <w:rsid w:val="00C729FE"/>
    <w:rsid w:val="00C7398D"/>
    <w:rsid w:val="00C749A8"/>
    <w:rsid w:val="00C85434"/>
    <w:rsid w:val="00CA7279"/>
    <w:rsid w:val="00CD0F54"/>
    <w:rsid w:val="00CD1DF7"/>
    <w:rsid w:val="00CE4AE1"/>
    <w:rsid w:val="00CF0B72"/>
    <w:rsid w:val="00CF20D4"/>
    <w:rsid w:val="00CF4BB8"/>
    <w:rsid w:val="00CF6A80"/>
    <w:rsid w:val="00D1159F"/>
    <w:rsid w:val="00D21B70"/>
    <w:rsid w:val="00D24F0B"/>
    <w:rsid w:val="00D33129"/>
    <w:rsid w:val="00D3375B"/>
    <w:rsid w:val="00D3411A"/>
    <w:rsid w:val="00D40517"/>
    <w:rsid w:val="00D4357B"/>
    <w:rsid w:val="00D44D5D"/>
    <w:rsid w:val="00D478E2"/>
    <w:rsid w:val="00D550B4"/>
    <w:rsid w:val="00D57C97"/>
    <w:rsid w:val="00D64F65"/>
    <w:rsid w:val="00D67E49"/>
    <w:rsid w:val="00D7190E"/>
    <w:rsid w:val="00D83B4E"/>
    <w:rsid w:val="00D8486E"/>
    <w:rsid w:val="00D921B4"/>
    <w:rsid w:val="00DA0E01"/>
    <w:rsid w:val="00DA7D70"/>
    <w:rsid w:val="00DB0B94"/>
    <w:rsid w:val="00DB2D15"/>
    <w:rsid w:val="00DB79B5"/>
    <w:rsid w:val="00DB7EBD"/>
    <w:rsid w:val="00DC0C78"/>
    <w:rsid w:val="00DC62A3"/>
    <w:rsid w:val="00DD05E4"/>
    <w:rsid w:val="00DD2B54"/>
    <w:rsid w:val="00DD6612"/>
    <w:rsid w:val="00DE061E"/>
    <w:rsid w:val="00DE4BA5"/>
    <w:rsid w:val="00DF37F6"/>
    <w:rsid w:val="00E04037"/>
    <w:rsid w:val="00E11622"/>
    <w:rsid w:val="00E1253F"/>
    <w:rsid w:val="00E15312"/>
    <w:rsid w:val="00E15AA3"/>
    <w:rsid w:val="00E23FFA"/>
    <w:rsid w:val="00E35BE3"/>
    <w:rsid w:val="00E503FC"/>
    <w:rsid w:val="00E8708D"/>
    <w:rsid w:val="00E87484"/>
    <w:rsid w:val="00E9338C"/>
    <w:rsid w:val="00E95EA5"/>
    <w:rsid w:val="00EA2A3F"/>
    <w:rsid w:val="00EA7C65"/>
    <w:rsid w:val="00EE15C3"/>
    <w:rsid w:val="00EE22B5"/>
    <w:rsid w:val="00EE6C77"/>
    <w:rsid w:val="00EF0728"/>
    <w:rsid w:val="00EF13BC"/>
    <w:rsid w:val="00EF1BDF"/>
    <w:rsid w:val="00EF2DF2"/>
    <w:rsid w:val="00F00F36"/>
    <w:rsid w:val="00F16975"/>
    <w:rsid w:val="00F21123"/>
    <w:rsid w:val="00F3046D"/>
    <w:rsid w:val="00F37408"/>
    <w:rsid w:val="00F55A28"/>
    <w:rsid w:val="00F8102A"/>
    <w:rsid w:val="00F85445"/>
    <w:rsid w:val="00F93069"/>
    <w:rsid w:val="00F95C2F"/>
    <w:rsid w:val="00FA12A5"/>
    <w:rsid w:val="00FC48BF"/>
    <w:rsid w:val="00FC4BF3"/>
    <w:rsid w:val="00FC4D5A"/>
    <w:rsid w:val="00FC4F17"/>
    <w:rsid w:val="00FD16B2"/>
    <w:rsid w:val="00FD315D"/>
    <w:rsid w:val="00FD54F0"/>
    <w:rsid w:val="00FD71F0"/>
    <w:rsid w:val="00FE3564"/>
    <w:rsid w:val="00FE5149"/>
    <w:rsid w:val="00FF4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77882"/>
  <w15:chartTrackingRefBased/>
  <w15:docId w15:val="{1AFC66CF-2907-40D4-B5F6-6AEBD498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550A"/>
    <w:pPr>
      <w:bidi/>
    </w:pPr>
    <w:rPr>
      <w:rFonts w:cs="Narkisim"/>
      <w:sz w:val="22"/>
      <w:szCs w:val="22"/>
      <w:lang w:eastAsia="he-IL"/>
    </w:rPr>
  </w:style>
  <w:style w:type="paragraph" w:styleId="1">
    <w:name w:val="heading 1"/>
    <w:basedOn w:val="a"/>
    <w:next w:val="a"/>
    <w:link w:val="10"/>
    <w:qFormat/>
    <w:rsid w:val="0076550A"/>
    <w:pPr>
      <w:keepNext/>
      <w:tabs>
        <w:tab w:val="right" w:pos="9469"/>
      </w:tabs>
      <w:jc w:val="both"/>
      <w:outlineLvl w:val="0"/>
    </w:pPr>
    <w:rPr>
      <w:rFonts w:cs="David"/>
      <w:b/>
      <w:bCs/>
      <w:szCs w:val="28"/>
    </w:rPr>
  </w:style>
  <w:style w:type="character" w:default="1" w:styleId="a0">
    <w:name w:val="Default Paragraph Font"/>
    <w:uiPriority w:val="1"/>
    <w:semiHidden/>
    <w:unhideWhenUsed/>
    <w:rsid w:val="0076550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6550A"/>
  </w:style>
  <w:style w:type="paragraph" w:styleId="a3">
    <w:name w:val="footnote text"/>
    <w:basedOn w:val="a"/>
    <w:link w:val="a4"/>
    <w:rsid w:val="0076550A"/>
    <w:pPr>
      <w:ind w:left="170" w:hanging="170"/>
      <w:jc w:val="both"/>
    </w:pPr>
    <w:rPr>
      <w:sz w:val="20"/>
      <w:szCs w:val="20"/>
    </w:rPr>
  </w:style>
  <w:style w:type="character" w:styleId="a5">
    <w:name w:val="footnote reference"/>
    <w:basedOn w:val="a0"/>
    <w:semiHidden/>
    <w:rsid w:val="0076550A"/>
    <w:rPr>
      <w:vertAlign w:val="superscript"/>
    </w:rPr>
  </w:style>
  <w:style w:type="paragraph" w:styleId="a6">
    <w:name w:val="header"/>
    <w:basedOn w:val="a"/>
    <w:link w:val="a7"/>
    <w:rsid w:val="0076550A"/>
    <w:pPr>
      <w:tabs>
        <w:tab w:val="center" w:pos="4153"/>
        <w:tab w:val="right" w:pos="8306"/>
      </w:tabs>
    </w:pPr>
  </w:style>
  <w:style w:type="paragraph" w:styleId="a8">
    <w:name w:val="footer"/>
    <w:basedOn w:val="a"/>
    <w:link w:val="a9"/>
    <w:rsid w:val="0076550A"/>
    <w:pPr>
      <w:tabs>
        <w:tab w:val="center" w:pos="4153"/>
        <w:tab w:val="right" w:pos="8306"/>
      </w:tabs>
    </w:pPr>
  </w:style>
  <w:style w:type="paragraph" w:customStyle="1" w:styleId="aa">
    <w:name w:val="כותרת"/>
    <w:basedOn w:val="a"/>
    <w:rsid w:val="0076550A"/>
    <w:pPr>
      <w:spacing w:before="240" w:line="320" w:lineRule="atLeast"/>
      <w:jc w:val="center"/>
    </w:pPr>
    <w:rPr>
      <w:rFonts w:cs="David"/>
      <w:b/>
      <w:bCs/>
      <w:spacing w:val="20"/>
      <w:szCs w:val="32"/>
    </w:rPr>
  </w:style>
  <w:style w:type="paragraph" w:customStyle="1" w:styleId="ab">
    <w:name w:val="כותרת קטע"/>
    <w:basedOn w:val="a"/>
    <w:rsid w:val="0076550A"/>
    <w:pPr>
      <w:spacing w:before="240" w:line="300" w:lineRule="atLeast"/>
    </w:pPr>
    <w:rPr>
      <w:rFonts w:cs="Arial"/>
      <w:b/>
      <w:bCs/>
      <w:szCs w:val="24"/>
    </w:rPr>
  </w:style>
  <w:style w:type="paragraph" w:customStyle="1" w:styleId="ac">
    <w:name w:val="מקור"/>
    <w:basedOn w:val="a"/>
    <w:rsid w:val="0076550A"/>
    <w:pPr>
      <w:spacing w:line="320" w:lineRule="atLeast"/>
      <w:jc w:val="both"/>
    </w:pPr>
    <w:rPr>
      <w:rFonts w:cs="David"/>
      <w:szCs w:val="24"/>
    </w:rPr>
  </w:style>
  <w:style w:type="paragraph" w:customStyle="1" w:styleId="ad">
    <w:name w:val="מחלקי המים"/>
    <w:basedOn w:val="a"/>
    <w:rsid w:val="0076550A"/>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76550A"/>
    <w:rPr>
      <w:rFonts w:ascii="Tahoma" w:hAnsi="Tahoma" w:cs="Tahoma"/>
      <w:sz w:val="16"/>
      <w:szCs w:val="16"/>
    </w:rPr>
  </w:style>
  <w:style w:type="character" w:styleId="af1">
    <w:name w:val="page number"/>
    <w:basedOn w:val="a0"/>
    <w:rsid w:val="00BB154F"/>
  </w:style>
  <w:style w:type="character" w:customStyle="1" w:styleId="a4">
    <w:name w:val="טקסט הערת שוליים תו"/>
    <w:basedOn w:val="a0"/>
    <w:link w:val="a3"/>
    <w:rsid w:val="0076550A"/>
    <w:rPr>
      <w:rFonts w:cs="Narkisim"/>
      <w:lang w:eastAsia="he-IL"/>
    </w:rPr>
  </w:style>
  <w:style w:type="character" w:customStyle="1" w:styleId="10">
    <w:name w:val="כותרת 1 תו"/>
    <w:basedOn w:val="a0"/>
    <w:link w:val="1"/>
    <w:rsid w:val="0076550A"/>
    <w:rPr>
      <w:rFonts w:cs="David"/>
      <w:b/>
      <w:bCs/>
      <w:sz w:val="22"/>
      <w:szCs w:val="28"/>
      <w:lang w:eastAsia="he-IL"/>
    </w:rPr>
  </w:style>
  <w:style w:type="character" w:customStyle="1" w:styleId="a7">
    <w:name w:val="כותרת עליונה תו"/>
    <w:basedOn w:val="a0"/>
    <w:link w:val="a6"/>
    <w:rsid w:val="0076550A"/>
    <w:rPr>
      <w:rFonts w:cs="Narkisim"/>
      <w:sz w:val="22"/>
      <w:szCs w:val="22"/>
      <w:lang w:eastAsia="he-IL"/>
    </w:rPr>
  </w:style>
  <w:style w:type="character" w:customStyle="1" w:styleId="a9">
    <w:name w:val="כותרת תחתונה תו"/>
    <w:basedOn w:val="a0"/>
    <w:link w:val="a8"/>
    <w:rsid w:val="0076550A"/>
    <w:rPr>
      <w:rFonts w:cs="Narkisim"/>
      <w:sz w:val="22"/>
      <w:szCs w:val="22"/>
      <w:lang w:eastAsia="he-IL"/>
    </w:rPr>
  </w:style>
  <w:style w:type="character" w:styleId="Hyperlink">
    <w:name w:val="Hyperlink"/>
    <w:basedOn w:val="a0"/>
    <w:rsid w:val="0076550A"/>
    <w:rPr>
      <w:color w:val="0563C1" w:themeColor="hyperlink"/>
      <w:u w:val="single"/>
    </w:rPr>
  </w:style>
  <w:style w:type="character" w:customStyle="1" w:styleId="af0">
    <w:name w:val="טקסט בלונים תו"/>
    <w:basedOn w:val="a0"/>
    <w:link w:val="af"/>
    <w:uiPriority w:val="99"/>
    <w:semiHidden/>
    <w:rsid w:val="0076550A"/>
    <w:rPr>
      <w:rFonts w:ascii="Tahoma" w:hAnsi="Tahoma" w:cs="Tahoma"/>
      <w:sz w:val="16"/>
      <w:szCs w:val="16"/>
      <w:lang w:eastAsia="he-IL"/>
    </w:rPr>
  </w:style>
  <w:style w:type="paragraph" w:customStyle="1" w:styleId="af2">
    <w:name w:val="פסוק"/>
    <w:basedOn w:val="ac"/>
    <w:qFormat/>
    <w:rsid w:val="0076550A"/>
    <w:pPr>
      <w:spacing w:before="120"/>
    </w:pPr>
    <w:rPr>
      <w:b/>
      <w:bCs/>
    </w:rPr>
  </w:style>
  <w:style w:type="character" w:styleId="FollowedHyperlink">
    <w:name w:val="FollowedHyperlink"/>
    <w:basedOn w:val="a0"/>
    <w:rsid w:val="00304940"/>
    <w:rPr>
      <w:color w:val="954F72" w:themeColor="followedHyperlink"/>
      <w:u w:val="single"/>
    </w:rPr>
  </w:style>
  <w:style w:type="character" w:styleId="af3">
    <w:name w:val="Unresolved Mention"/>
    <w:basedOn w:val="a0"/>
    <w:uiPriority w:val="99"/>
    <w:semiHidden/>
    <w:unhideWhenUsed/>
    <w:rsid w:val="00A90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didim-i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4%D7%AA%D7%A2%D7%9C%D7%9E%D7%AA-%D7%A4%D7%A2%D7%9E%D7%99%D7%9D-%D7%A9%D7%90%D7%AA%D7%94-%D7%9E%D7%AA%D7%A2%D7%9C%D7%9D1" TargetMode="External"/><Relationship Id="rId3" Type="http://schemas.openxmlformats.org/officeDocument/2006/relationships/hyperlink" Target="https://www.mayim.org.il/?parasha=%D7%94%D7%A9%D7%91%D7%AA-%D7%90%D7%91%D7%93%D7%94" TargetMode="External"/><Relationship Id="rId7" Type="http://schemas.openxmlformats.org/officeDocument/2006/relationships/hyperlink" Target="https://www.mayim.org.il/?parasha=%D7%9C%D7%90-%D7%AA%D7%A2%D7%9E%D7%95%D7%93-%D7%A2%D7%9C-%D7%93%D7%9D-%D7%A8%D7%A2%D7%9A" TargetMode="External"/><Relationship Id="rId2" Type="http://schemas.openxmlformats.org/officeDocument/2006/relationships/hyperlink" Target="https://www.mayim.org.il/?parasha=%D7%93%D7%91%D7%A8%D7%94-%D7%AA%D7%95%D7%A8%D7%94-%D7%9B%D7%9C%D7%A9%D7%95%D7%9F-%D7%91%D7%A0%D7%99-%D7%90%D7%93%D7%9D" TargetMode="External"/><Relationship Id="rId1" Type="http://schemas.openxmlformats.org/officeDocument/2006/relationships/hyperlink" Target="https://www.mayim.org.il/?parasha=%D7%A1%D7%A4%D7%A8-%D7%93%D7%91%D7%A8%D7%99%D7%9D-%D7%9E%D7%A9%D7%A0%D7%94-%D7%AA%D7%95%D7%A8%D7%941" TargetMode="External"/><Relationship Id="rId6" Type="http://schemas.openxmlformats.org/officeDocument/2006/relationships/hyperlink" Target="http://www.mayim.org.il/?parasha=%D7%95%D7%94%D7%AA%D7%A2%D7%9C%D7%9E%D7%AA-%D7%A4%D7%A2%D7%9E%D7%99%D7%9D-%D7%A9%D7%90%D7%AA%D7%94-%D7%9E%D7%AA%D7%A2%D7%9C%D7%9D1" TargetMode="External"/><Relationship Id="rId5" Type="http://schemas.openxmlformats.org/officeDocument/2006/relationships/hyperlink" Target="https://www.mayim.org.il/?parasha=%D7%9C%D7%A4%D7%A0%D7%99-%D7%A2%D7%99%D7%95%D7%95%D7%A8-%D7%9C%D7%90-%D7%AA%D7%99%D7%AA%D7%9F-%D7%9E%D7%9B%D7%A9%D7%95%D7%9C" TargetMode="External"/><Relationship Id="rId4" Type="http://schemas.openxmlformats.org/officeDocument/2006/relationships/hyperlink" Target="http://www.daat.ac.il/daat/kitveyet/assia/tsaar-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4068-BADA-4CA7-A299-FD095DD3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1153</Words>
  <Characters>4954</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ודל לא תהדר בריבו</vt:lpstr>
      <vt:lpstr>עין תחת עין</vt:lpstr>
    </vt:vector>
  </TitlesOfParts>
  <Company>Microsoft</Company>
  <LinksUpToDate>false</LinksUpToDate>
  <CharactersWithSpaces>6095</CharactersWithSpaces>
  <SharedDoc>false</SharedDoc>
  <HLinks>
    <vt:vector size="30" baseType="variant">
      <vt:variant>
        <vt:i4>3997793</vt:i4>
      </vt:variant>
      <vt:variant>
        <vt:i4>0</vt:i4>
      </vt:variant>
      <vt:variant>
        <vt:i4>0</vt:i4>
      </vt:variant>
      <vt:variant>
        <vt:i4>5</vt:i4>
      </vt:variant>
      <vt:variant>
        <vt:lpwstr>https://yedidim-il.org/</vt:lpwstr>
      </vt:variant>
      <vt:variant>
        <vt:lpwstr/>
      </vt:variant>
      <vt:variant>
        <vt:i4>7340073</vt:i4>
      </vt:variant>
      <vt:variant>
        <vt:i4>9</vt:i4>
      </vt:variant>
      <vt:variant>
        <vt:i4>0</vt:i4>
      </vt:variant>
      <vt:variant>
        <vt:i4>5</vt:i4>
      </vt:variant>
      <vt:variant>
        <vt:lpwstr>http://www.mayim.org.il/?parasha=%D7%95%D7%94%D7%AA%D7%A2%D7%9C%D7%9E%D7%AA-%D7%A4%D7%A2%D7%9E%D7%99%D7%9D-%D7%A9%D7%90%D7%AA%D7%94-%D7%9E%D7%AA%D7%A2%D7%9C%D7%9D1</vt:lpwstr>
      </vt:variant>
      <vt:variant>
        <vt:lpwstr/>
      </vt:variant>
      <vt:variant>
        <vt:i4>7340073</vt:i4>
      </vt:variant>
      <vt:variant>
        <vt:i4>6</vt:i4>
      </vt:variant>
      <vt:variant>
        <vt:i4>0</vt:i4>
      </vt:variant>
      <vt:variant>
        <vt:i4>5</vt:i4>
      </vt:variant>
      <vt:variant>
        <vt:lpwstr>http://www.mayim.org.il/?parasha=%D7%95%D7%94%D7%AA%D7%A2%D7%9C%D7%9E%D7%AA-%D7%A4%D7%A2%D7%9E%D7%99%D7%9D-%D7%A9%D7%90%D7%AA%D7%94-%D7%9E%D7%AA%D7%A2%D7%9C%D7%9D1</vt:lpwstr>
      </vt:variant>
      <vt:variant>
        <vt:lpwstr/>
      </vt:variant>
      <vt:variant>
        <vt:i4>5242896</vt:i4>
      </vt:variant>
      <vt:variant>
        <vt:i4>3</vt:i4>
      </vt:variant>
      <vt:variant>
        <vt:i4>0</vt:i4>
      </vt:variant>
      <vt:variant>
        <vt:i4>5</vt:i4>
      </vt:variant>
      <vt:variant>
        <vt:lpwstr>http://www.daat.ac.il/daat/kitveyet/assia/tsaar-2.htm</vt:lpwstr>
      </vt:variant>
      <vt:variant>
        <vt:lpwstr/>
      </vt:variant>
      <vt:variant>
        <vt:i4>4522054</vt:i4>
      </vt:variant>
      <vt:variant>
        <vt:i4>0</vt:i4>
      </vt:variant>
      <vt:variant>
        <vt:i4>0</vt:i4>
      </vt:variant>
      <vt:variant>
        <vt:i4>5</vt:i4>
      </vt:variant>
      <vt:variant>
        <vt:lpwstr>https://www.mayim.org.il/?parasha=%D7%93%D7%91%D7%A8%D7%94-%D7%AA%D7%95%D7%A8%D7%94-%D7%9B%D7%9C%D7%A9%D7%95%D7%9F-%D7%91%D7%A0%D7%99-%D7%90%D7%93%D7%9D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מצוות פריקה ומצוות טעינה</dc:title>
  <dc:subject>משפטים</dc:subject>
  <dc:creator>Asher Yuval</dc:creator>
  <cp:keywords/>
  <cp:lastModifiedBy>Shimon Afek</cp:lastModifiedBy>
  <cp:revision>3</cp:revision>
  <cp:lastPrinted>2024-02-05T16:09:00Z</cp:lastPrinted>
  <dcterms:created xsi:type="dcterms:W3CDTF">2024-02-05T16:09:00Z</dcterms:created>
  <dcterms:modified xsi:type="dcterms:W3CDTF">2024-02-05T16:10:00Z</dcterms:modified>
</cp:coreProperties>
</file>