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AD2D" w14:textId="77777777" w:rsidR="00BA44D9" w:rsidRDefault="0015155E" w:rsidP="00D0493B">
      <w:pPr>
        <w:pStyle w:val="aa"/>
        <w:rPr>
          <w:rtl/>
        </w:rPr>
      </w:pPr>
      <w:r>
        <w:rPr>
          <w:rFonts w:hint="cs"/>
          <w:rtl/>
        </w:rPr>
        <w:t>מי נכנס לקודש הקדשים ומתי</w:t>
      </w:r>
    </w:p>
    <w:p w14:paraId="25F67E60" w14:textId="77777777" w:rsidR="009B09C8" w:rsidRDefault="009B09C8" w:rsidP="009B09C8">
      <w:pPr>
        <w:pStyle w:val="ab"/>
        <w:rPr>
          <w:rtl/>
        </w:rPr>
      </w:pPr>
      <w:r>
        <w:rPr>
          <w:rtl/>
        </w:rPr>
        <w:t>מסכת כלים פרק א משנה ט</w:t>
      </w:r>
      <w:r>
        <w:rPr>
          <w:rFonts w:hint="cs"/>
          <w:rtl/>
        </w:rPr>
        <w:t xml:space="preserve"> </w:t>
      </w:r>
      <w:r>
        <w:rPr>
          <w:rtl/>
        </w:rPr>
        <w:t>–</w:t>
      </w:r>
      <w:r>
        <w:rPr>
          <w:rFonts w:hint="cs"/>
          <w:rtl/>
        </w:rPr>
        <w:t xml:space="preserve"> כהן הגדול אחת בשנה</w:t>
      </w:r>
    </w:p>
    <w:p w14:paraId="7C5AF96B" w14:textId="77777777" w:rsidR="00016C7C" w:rsidRDefault="009B09C8" w:rsidP="009B09C8">
      <w:pPr>
        <w:pStyle w:val="ac"/>
        <w:rPr>
          <w:rtl/>
        </w:rPr>
      </w:pPr>
      <w:r>
        <w:rPr>
          <w:rtl/>
        </w:rPr>
        <w:t>בין האולם ולמזבח מקודש ממנה</w:t>
      </w:r>
      <w:r w:rsidR="00FC469E">
        <w:rPr>
          <w:rFonts w:hint="cs"/>
          <w:rtl/>
        </w:rPr>
        <w:t>,</w:t>
      </w:r>
      <w:r>
        <w:rPr>
          <w:rtl/>
        </w:rPr>
        <w:t xml:space="preserve"> שאין בעלי </w:t>
      </w:r>
      <w:proofErr w:type="spellStart"/>
      <w:r>
        <w:rPr>
          <w:rtl/>
        </w:rPr>
        <w:t>מומין</w:t>
      </w:r>
      <w:proofErr w:type="spellEnd"/>
      <w:r>
        <w:rPr>
          <w:rtl/>
        </w:rPr>
        <w:t xml:space="preserve"> ופרועי ראש נכנסים לשם</w:t>
      </w:r>
      <w:r>
        <w:rPr>
          <w:rFonts w:hint="cs"/>
          <w:rtl/>
        </w:rPr>
        <w:t>.</w:t>
      </w:r>
      <w:r>
        <w:rPr>
          <w:rtl/>
        </w:rPr>
        <w:t xml:space="preserve"> ההיכל מקודש ממנו</w:t>
      </w:r>
      <w:r w:rsidR="00FC469E">
        <w:rPr>
          <w:rFonts w:hint="cs"/>
          <w:rtl/>
        </w:rPr>
        <w:t>,</w:t>
      </w:r>
      <w:r>
        <w:rPr>
          <w:rtl/>
        </w:rPr>
        <w:t xml:space="preserve"> שאין נכנס לשם שלא רחוץ ידים ורגלים</w:t>
      </w:r>
      <w:r>
        <w:rPr>
          <w:rFonts w:hint="cs"/>
          <w:rtl/>
        </w:rPr>
        <w:t>.</w:t>
      </w:r>
      <w:r>
        <w:rPr>
          <w:rtl/>
        </w:rPr>
        <w:t xml:space="preserve"> קדש הקדשים מקודש מהם</w:t>
      </w:r>
      <w:r w:rsidR="00FC469E">
        <w:rPr>
          <w:rFonts w:hint="cs"/>
          <w:rtl/>
        </w:rPr>
        <w:t>,</w:t>
      </w:r>
      <w:r>
        <w:rPr>
          <w:rtl/>
        </w:rPr>
        <w:t xml:space="preserve"> שאין נכנס לשם אלא כהן גדול ביום הכפורים בשעת העבודה</w:t>
      </w:r>
      <w:r w:rsidR="00016C7C">
        <w:rPr>
          <w:rFonts w:hint="cs"/>
          <w:rtl/>
        </w:rPr>
        <w:t>.</w:t>
      </w:r>
      <w:r w:rsidR="00497AB5">
        <w:rPr>
          <w:rStyle w:val="a5"/>
          <w:rtl/>
        </w:rPr>
        <w:footnoteReference w:id="1"/>
      </w:r>
    </w:p>
    <w:p w14:paraId="491F8830" w14:textId="77777777" w:rsidR="00E76A69" w:rsidRDefault="00E76A69" w:rsidP="00497AB5">
      <w:pPr>
        <w:pStyle w:val="ab"/>
        <w:rPr>
          <w:rtl/>
        </w:rPr>
      </w:pPr>
      <w:r>
        <w:rPr>
          <w:rtl/>
        </w:rPr>
        <w:t>מסכת פסחים דף פו עמוד א</w:t>
      </w:r>
      <w:r w:rsidR="00497AB5">
        <w:rPr>
          <w:rFonts w:hint="cs"/>
          <w:rtl/>
        </w:rPr>
        <w:t xml:space="preserve"> </w:t>
      </w:r>
      <w:r w:rsidR="00497AB5">
        <w:rPr>
          <w:rtl/>
        </w:rPr>
        <w:t>–</w:t>
      </w:r>
      <w:r w:rsidR="00497AB5">
        <w:rPr>
          <w:rFonts w:hint="cs"/>
          <w:rtl/>
        </w:rPr>
        <w:t xml:space="preserve"> עליית קודש הקדשים</w:t>
      </w:r>
    </w:p>
    <w:p w14:paraId="59B87F44" w14:textId="77777777" w:rsidR="009B09C8" w:rsidRDefault="00E76A69" w:rsidP="00E76A69">
      <w:pPr>
        <w:pStyle w:val="ac"/>
        <w:rPr>
          <w:rtl/>
        </w:rPr>
      </w:pPr>
      <w:r>
        <w:rPr>
          <w:rtl/>
        </w:rPr>
        <w:t xml:space="preserve">אבא שאול אומר: עליית בית קדשי הקדשים חמורה מבית קדשי הקדשים, שבית קדשי הקדשים כהן גדול נכנס לו פעם אחת בשנה, ועליית בית קדשי הקדשים אין </w:t>
      </w:r>
      <w:proofErr w:type="spellStart"/>
      <w:r>
        <w:rPr>
          <w:rtl/>
        </w:rPr>
        <w:t>נכנסין</w:t>
      </w:r>
      <w:proofErr w:type="spellEnd"/>
      <w:r>
        <w:rPr>
          <w:rtl/>
        </w:rPr>
        <w:t xml:space="preserve"> לה אלא פעם אחת בשבוע,</w:t>
      </w:r>
      <w:r w:rsidR="00BD57F7">
        <w:rPr>
          <w:rStyle w:val="a5"/>
          <w:rtl/>
        </w:rPr>
        <w:footnoteReference w:id="2"/>
      </w:r>
      <w:r>
        <w:rPr>
          <w:rtl/>
        </w:rPr>
        <w:t xml:space="preserve"> ואמרי לה: פעמים בשבוע, ואמרי לה: פעם אחת ביובל, לידע מה היא צריכה.</w:t>
      </w:r>
      <w:r w:rsidR="000760BF">
        <w:rPr>
          <w:rStyle w:val="a5"/>
          <w:rtl/>
        </w:rPr>
        <w:footnoteReference w:id="3"/>
      </w:r>
    </w:p>
    <w:p w14:paraId="15F727C7" w14:textId="77777777" w:rsidR="00BF0F4F" w:rsidRDefault="00BF0F4F" w:rsidP="00263DA6">
      <w:pPr>
        <w:pStyle w:val="ab"/>
        <w:rPr>
          <w:rtl/>
        </w:rPr>
      </w:pPr>
      <w:r>
        <w:rPr>
          <w:rtl/>
        </w:rPr>
        <w:t>מסכת מידות פרק ד משנה ה</w:t>
      </w:r>
      <w:r w:rsidR="00263DA6">
        <w:rPr>
          <w:rFonts w:hint="cs"/>
          <w:rtl/>
        </w:rPr>
        <w:t xml:space="preserve"> </w:t>
      </w:r>
      <w:r w:rsidR="00263DA6">
        <w:rPr>
          <w:rtl/>
        </w:rPr>
        <w:t>–</w:t>
      </w:r>
      <w:r w:rsidR="00263DA6">
        <w:rPr>
          <w:rFonts w:hint="cs"/>
          <w:rtl/>
        </w:rPr>
        <w:t xml:space="preserve"> האומנים ובעלי מלאכה</w:t>
      </w:r>
    </w:p>
    <w:p w14:paraId="45BDA920" w14:textId="77777777" w:rsidR="00BF0F4F" w:rsidRDefault="00BF0F4F" w:rsidP="00BF0F4F">
      <w:pPr>
        <w:pStyle w:val="ac"/>
        <w:rPr>
          <w:rtl/>
        </w:rPr>
      </w:pPr>
      <w:r>
        <w:rPr>
          <w:rtl/>
        </w:rPr>
        <w:t>וראשי פספסין מבדילים בעליה בין הקדש לבין קדש הקדשים</w:t>
      </w:r>
      <w:r w:rsidR="00A151CE">
        <w:rPr>
          <w:rFonts w:hint="cs"/>
          <w:rtl/>
        </w:rPr>
        <w:t>.</w:t>
      </w:r>
      <w:r>
        <w:rPr>
          <w:rtl/>
        </w:rPr>
        <w:t xml:space="preserve"> </w:t>
      </w:r>
      <w:proofErr w:type="spellStart"/>
      <w:r>
        <w:rPr>
          <w:rtl/>
        </w:rPr>
        <w:t>ולולין</w:t>
      </w:r>
      <w:proofErr w:type="spellEnd"/>
      <w:r>
        <w:rPr>
          <w:rtl/>
        </w:rPr>
        <w:t xml:space="preserve"> היו </w:t>
      </w:r>
      <w:proofErr w:type="spellStart"/>
      <w:r>
        <w:rPr>
          <w:rtl/>
        </w:rPr>
        <w:t>פתוחין</w:t>
      </w:r>
      <w:proofErr w:type="spellEnd"/>
      <w:r>
        <w:rPr>
          <w:rtl/>
        </w:rPr>
        <w:t xml:space="preserve"> בעליה לבית קדש הקדשים שבהן היו </w:t>
      </w:r>
      <w:proofErr w:type="spellStart"/>
      <w:r>
        <w:rPr>
          <w:rtl/>
        </w:rPr>
        <w:t>משלשלין</w:t>
      </w:r>
      <w:proofErr w:type="spellEnd"/>
      <w:r>
        <w:rPr>
          <w:rtl/>
        </w:rPr>
        <w:t xml:space="preserve"> את האומנים בתיבות כדי שלא יזונו עיניהן מבית קדשי הקדשים:</w:t>
      </w:r>
      <w:r w:rsidR="00497AB5">
        <w:rPr>
          <w:rStyle w:val="a5"/>
          <w:rtl/>
        </w:rPr>
        <w:footnoteReference w:id="4"/>
      </w:r>
    </w:p>
    <w:p w14:paraId="180E146F" w14:textId="77777777" w:rsidR="00263DA6" w:rsidRDefault="00263DA6" w:rsidP="00263DA6">
      <w:pPr>
        <w:pStyle w:val="ab"/>
        <w:rPr>
          <w:rtl/>
        </w:rPr>
      </w:pPr>
      <w:r>
        <w:rPr>
          <w:rtl/>
        </w:rPr>
        <w:t>מסכת ברכות דף ל עמוד א</w:t>
      </w:r>
      <w:r>
        <w:rPr>
          <w:rFonts w:hint="cs"/>
          <w:rtl/>
        </w:rPr>
        <w:t xml:space="preserve"> </w:t>
      </w:r>
      <w:r>
        <w:rPr>
          <w:rtl/>
        </w:rPr>
        <w:t>–</w:t>
      </w:r>
      <w:r>
        <w:rPr>
          <w:rFonts w:hint="cs"/>
          <w:rtl/>
        </w:rPr>
        <w:t xml:space="preserve"> עומד בקודש הקדשים בשעת התפילה</w:t>
      </w:r>
    </w:p>
    <w:p w14:paraId="6F3297B3" w14:textId="77777777" w:rsidR="00016C7C" w:rsidRDefault="00263DA6" w:rsidP="00263DA6">
      <w:pPr>
        <w:pStyle w:val="ac"/>
        <w:rPr>
          <w:rtl/>
        </w:rPr>
      </w:pPr>
      <w:r>
        <w:rPr>
          <w:rtl/>
        </w:rPr>
        <w:t xml:space="preserve">תנו רבנן: סומא ומי שאינו יכול </w:t>
      </w:r>
      <w:proofErr w:type="spellStart"/>
      <w:r>
        <w:rPr>
          <w:rtl/>
        </w:rPr>
        <w:t>לכוין</w:t>
      </w:r>
      <w:proofErr w:type="spellEnd"/>
      <w:r>
        <w:rPr>
          <w:rtl/>
        </w:rPr>
        <w:t xml:space="preserve"> את הרוחות - </w:t>
      </w:r>
      <w:proofErr w:type="spellStart"/>
      <w:r>
        <w:rPr>
          <w:rtl/>
        </w:rPr>
        <w:t>יכוין</w:t>
      </w:r>
      <w:proofErr w:type="spellEnd"/>
      <w:r>
        <w:rPr>
          <w:rtl/>
        </w:rPr>
        <w:t xml:space="preserve"> לבו כנגד אביו שבשמים, שנאמר והתפללו אל ה'; היה עומד בחוץ לארץ - </w:t>
      </w:r>
      <w:proofErr w:type="spellStart"/>
      <w:r>
        <w:rPr>
          <w:rtl/>
        </w:rPr>
        <w:t>יכוין</w:t>
      </w:r>
      <w:proofErr w:type="spellEnd"/>
      <w:r>
        <w:rPr>
          <w:rtl/>
        </w:rPr>
        <w:t xml:space="preserve"> את לבו כנגד ארץ ישראל שנאמר: והתפללו אליך דרך ארצם; היה עומד בארץ ישראל - </w:t>
      </w:r>
      <w:proofErr w:type="spellStart"/>
      <w:r>
        <w:rPr>
          <w:rtl/>
        </w:rPr>
        <w:t>יכוין</w:t>
      </w:r>
      <w:proofErr w:type="spellEnd"/>
      <w:r>
        <w:rPr>
          <w:rtl/>
        </w:rPr>
        <w:t xml:space="preserve"> את לבו כנגד ירושלים, שנאמר: והתפללו אל ה' דרך העיר אשר בחרת; היה עומד בירושלים - </w:t>
      </w:r>
      <w:proofErr w:type="spellStart"/>
      <w:r>
        <w:rPr>
          <w:rtl/>
        </w:rPr>
        <w:t>יכוין</w:t>
      </w:r>
      <w:proofErr w:type="spellEnd"/>
      <w:r>
        <w:rPr>
          <w:rtl/>
        </w:rPr>
        <w:t xml:space="preserve"> את לבו כנגד בית המקדש, שנאמר: והתפללו אל הבית הזה; היה עומד בבית המקדש - </w:t>
      </w:r>
      <w:proofErr w:type="spellStart"/>
      <w:r>
        <w:rPr>
          <w:rtl/>
        </w:rPr>
        <w:t>יכוין</w:t>
      </w:r>
      <w:proofErr w:type="spellEnd"/>
      <w:r>
        <w:rPr>
          <w:rtl/>
        </w:rPr>
        <w:t xml:space="preserve"> את לבו כנגד בית קדשי הקדשים, שנאמר: והתפללו אל המקום הזה; היה עומד בבית קדשי הקדשים - </w:t>
      </w:r>
      <w:proofErr w:type="spellStart"/>
      <w:r>
        <w:rPr>
          <w:rtl/>
        </w:rPr>
        <w:t>יכוין</w:t>
      </w:r>
      <w:proofErr w:type="spellEnd"/>
      <w:r>
        <w:rPr>
          <w:rtl/>
        </w:rPr>
        <w:t xml:space="preserve"> את לבו כנגד בית הכפורת; היה עומד אחורי בית הכפורת - יראה עצמו כאילו לפני הכפורת</w:t>
      </w:r>
      <w:r w:rsidR="00A151CE">
        <w:rPr>
          <w:rFonts w:hint="cs"/>
          <w:rtl/>
        </w:rPr>
        <w:t xml:space="preserve"> </w:t>
      </w:r>
      <w:proofErr w:type="spellStart"/>
      <w:r w:rsidR="00A151CE">
        <w:rPr>
          <w:rFonts w:hint="cs"/>
          <w:rtl/>
        </w:rPr>
        <w:t>וכו</w:t>
      </w:r>
      <w:proofErr w:type="spellEnd"/>
      <w:r w:rsidR="00A151CE">
        <w:rPr>
          <w:rFonts w:hint="cs"/>
          <w:rtl/>
        </w:rPr>
        <w:t>'.</w:t>
      </w:r>
      <w:r w:rsidR="0062227E">
        <w:rPr>
          <w:rStyle w:val="a5"/>
          <w:rtl/>
        </w:rPr>
        <w:footnoteReference w:id="5"/>
      </w:r>
    </w:p>
    <w:p w14:paraId="02F2A2C5" w14:textId="77777777" w:rsidR="005F4F4E" w:rsidRDefault="005F4F4E" w:rsidP="00651159">
      <w:pPr>
        <w:pStyle w:val="ab"/>
        <w:rPr>
          <w:rtl/>
        </w:rPr>
      </w:pPr>
      <w:r>
        <w:rPr>
          <w:rtl/>
        </w:rPr>
        <w:lastRenderedPageBreak/>
        <w:t>דברים רבה</w:t>
      </w:r>
      <w:r w:rsidR="00651159">
        <w:rPr>
          <w:rFonts w:hint="cs"/>
          <w:rtl/>
        </w:rPr>
        <w:t xml:space="preserve"> ט </w:t>
      </w:r>
      <w:proofErr w:type="spellStart"/>
      <w:r w:rsidR="00651159">
        <w:rPr>
          <w:rFonts w:hint="cs"/>
          <w:rtl/>
        </w:rPr>
        <w:t>ט</w:t>
      </w:r>
      <w:proofErr w:type="spellEnd"/>
      <w:r w:rsidR="00651159">
        <w:rPr>
          <w:rFonts w:hint="cs"/>
          <w:rtl/>
        </w:rPr>
        <w:t xml:space="preserve"> </w:t>
      </w:r>
      <w:r>
        <w:rPr>
          <w:rtl/>
        </w:rPr>
        <w:t xml:space="preserve">פרשת וילך </w:t>
      </w:r>
      <w:r w:rsidR="00651159">
        <w:rPr>
          <w:rtl/>
        </w:rPr>
        <w:t>–</w:t>
      </w:r>
      <w:r w:rsidR="00651159">
        <w:rPr>
          <w:rFonts w:hint="cs"/>
          <w:rtl/>
        </w:rPr>
        <w:t xml:space="preserve"> ספר התורה שהניח משה בקודש הקדשים</w:t>
      </w:r>
    </w:p>
    <w:p w14:paraId="315B130B" w14:textId="77777777" w:rsidR="00263DA6" w:rsidRDefault="005F4F4E" w:rsidP="005F4F4E">
      <w:pPr>
        <w:pStyle w:val="ac"/>
        <w:rPr>
          <w:rtl/>
        </w:rPr>
      </w:pPr>
      <w:r>
        <w:rPr>
          <w:rtl/>
        </w:rPr>
        <w:t>כיון שידע משה שהיה לו למות באותו היום</w:t>
      </w:r>
      <w:r w:rsidR="00651159">
        <w:rPr>
          <w:rFonts w:hint="cs"/>
          <w:rtl/>
        </w:rPr>
        <w:t>,</w:t>
      </w:r>
      <w:r>
        <w:rPr>
          <w:rtl/>
        </w:rPr>
        <w:t xml:space="preserve"> מה עשה</w:t>
      </w:r>
      <w:r w:rsidR="00651159">
        <w:rPr>
          <w:rFonts w:hint="cs"/>
          <w:rtl/>
        </w:rPr>
        <w:t xml:space="preserve">? </w:t>
      </w:r>
      <w:proofErr w:type="spellStart"/>
      <w:r>
        <w:rPr>
          <w:rtl/>
        </w:rPr>
        <w:t>א"ר</w:t>
      </w:r>
      <w:proofErr w:type="spellEnd"/>
      <w:r>
        <w:rPr>
          <w:rtl/>
        </w:rPr>
        <w:t xml:space="preserve"> ינאי</w:t>
      </w:r>
      <w:r w:rsidR="00651159">
        <w:rPr>
          <w:rFonts w:hint="cs"/>
          <w:rtl/>
        </w:rPr>
        <w:t>:</w:t>
      </w:r>
      <w:r>
        <w:rPr>
          <w:rtl/>
        </w:rPr>
        <w:t xml:space="preserve"> כתב י"ג תורות י"ב לי"ב שבטים ואחת הניח בארון</w:t>
      </w:r>
      <w:r w:rsidR="00651159">
        <w:rPr>
          <w:rFonts w:hint="cs"/>
          <w:rtl/>
        </w:rPr>
        <w:t>,</w:t>
      </w:r>
      <w:r>
        <w:rPr>
          <w:rtl/>
        </w:rPr>
        <w:t xml:space="preserve"> שאם יבקש לזייף דבר</w:t>
      </w:r>
      <w:r w:rsidR="0071023E">
        <w:rPr>
          <w:rFonts w:hint="cs"/>
          <w:rtl/>
        </w:rPr>
        <w:t>,</w:t>
      </w:r>
      <w:r>
        <w:rPr>
          <w:rtl/>
        </w:rPr>
        <w:t xml:space="preserve"> שיהיו מוצאים אותה שבארון</w:t>
      </w:r>
      <w:r w:rsidR="00651159">
        <w:rPr>
          <w:rFonts w:hint="cs"/>
          <w:rtl/>
        </w:rPr>
        <w:t>.</w:t>
      </w:r>
      <w:r w:rsidR="0062227E">
        <w:rPr>
          <w:rStyle w:val="a5"/>
          <w:rtl/>
        </w:rPr>
        <w:footnoteReference w:id="6"/>
      </w:r>
    </w:p>
    <w:p w14:paraId="0DF65EAC" w14:textId="77777777" w:rsidR="005B1B2E" w:rsidRDefault="005B1B2E" w:rsidP="0061156A">
      <w:pPr>
        <w:pStyle w:val="ab"/>
        <w:rPr>
          <w:rtl/>
        </w:rPr>
      </w:pPr>
      <w:r>
        <w:rPr>
          <w:rtl/>
        </w:rPr>
        <w:t xml:space="preserve">מסכת בבא </w:t>
      </w:r>
      <w:proofErr w:type="spellStart"/>
      <w:r>
        <w:rPr>
          <w:rtl/>
        </w:rPr>
        <w:t>בתרא</w:t>
      </w:r>
      <w:proofErr w:type="spellEnd"/>
      <w:r>
        <w:rPr>
          <w:rtl/>
        </w:rPr>
        <w:t xml:space="preserve"> דף יד עמוד א</w:t>
      </w:r>
      <w:r>
        <w:rPr>
          <w:rFonts w:hint="cs"/>
          <w:rtl/>
        </w:rPr>
        <w:t xml:space="preserve"> </w:t>
      </w:r>
      <w:r>
        <w:rPr>
          <w:rtl/>
        </w:rPr>
        <w:t>–</w:t>
      </w:r>
      <w:r>
        <w:rPr>
          <w:rFonts w:hint="cs"/>
          <w:rtl/>
        </w:rPr>
        <w:t xml:space="preserve"> שלא יהא ספר תורה דחוק</w:t>
      </w:r>
    </w:p>
    <w:p w14:paraId="3F9AB684" w14:textId="77777777" w:rsidR="005B1B2E" w:rsidRDefault="005B1B2E" w:rsidP="005B1B2E">
      <w:pPr>
        <w:pStyle w:val="ac"/>
        <w:rPr>
          <w:rtl/>
        </w:rPr>
      </w:pPr>
      <w:r>
        <w:rPr>
          <w:rtl/>
        </w:rPr>
        <w:t>כמה לוחות אוכלות בארון? ששה טפחים, נשתיירו שם שלשה טפחים, צא מהן טפח, חציו לכותל זה וחציו לכותל זה - נשתיירו שם שני טפחים, שלא יהא ספר תורה נכנס ויוצא כשהוא דחוק, דברי ר</w:t>
      </w:r>
      <w:r w:rsidR="0061156A">
        <w:rPr>
          <w:rFonts w:hint="cs"/>
          <w:rtl/>
        </w:rPr>
        <w:t>בי מאיר</w:t>
      </w:r>
      <w:r>
        <w:rPr>
          <w:rtl/>
        </w:rPr>
        <w:t>.</w:t>
      </w:r>
      <w:r w:rsidR="006070FE">
        <w:rPr>
          <w:rStyle w:val="a5"/>
          <w:rtl/>
        </w:rPr>
        <w:footnoteReference w:id="7"/>
      </w:r>
      <w:r>
        <w:rPr>
          <w:rtl/>
        </w:rPr>
        <w:t xml:space="preserve"> </w:t>
      </w:r>
    </w:p>
    <w:p w14:paraId="2D58AB1D" w14:textId="77777777" w:rsidR="0063050C" w:rsidRDefault="0063050C" w:rsidP="0061156A">
      <w:pPr>
        <w:pStyle w:val="ab"/>
        <w:rPr>
          <w:rtl/>
        </w:rPr>
      </w:pPr>
      <w:r>
        <w:rPr>
          <w:rtl/>
        </w:rPr>
        <w:t xml:space="preserve">מסכת בבא </w:t>
      </w:r>
      <w:proofErr w:type="spellStart"/>
      <w:r>
        <w:rPr>
          <w:rtl/>
        </w:rPr>
        <w:t>בתרא</w:t>
      </w:r>
      <w:proofErr w:type="spellEnd"/>
      <w:r>
        <w:rPr>
          <w:rtl/>
        </w:rPr>
        <w:t xml:space="preserve"> דף יד עמוד ב</w:t>
      </w:r>
      <w:r w:rsidR="0061156A">
        <w:rPr>
          <w:rFonts w:hint="cs"/>
          <w:rtl/>
        </w:rPr>
        <w:t xml:space="preserve"> </w:t>
      </w:r>
      <w:r w:rsidR="0061156A">
        <w:rPr>
          <w:rFonts w:cs="David"/>
          <w:rtl/>
        </w:rPr>
        <w:t>–</w:t>
      </w:r>
      <w:r w:rsidR="0061156A">
        <w:rPr>
          <w:rFonts w:hint="cs"/>
          <w:rtl/>
        </w:rPr>
        <w:t xml:space="preserve"> ספר העזרה</w:t>
      </w:r>
    </w:p>
    <w:p w14:paraId="3DA9441D" w14:textId="77777777" w:rsidR="00B63D43" w:rsidRDefault="00B63D43" w:rsidP="0063050C">
      <w:pPr>
        <w:pStyle w:val="ac"/>
        <w:rPr>
          <w:rtl/>
        </w:rPr>
      </w:pPr>
      <w:r>
        <w:rPr>
          <w:rFonts w:hint="cs"/>
          <w:rtl/>
        </w:rPr>
        <w:t xml:space="preserve">... בתרי </w:t>
      </w:r>
      <w:proofErr w:type="spellStart"/>
      <w:r>
        <w:rPr>
          <w:rFonts w:hint="cs"/>
          <w:rtl/>
        </w:rPr>
        <w:t>פושכי</w:t>
      </w:r>
      <w:proofErr w:type="spellEnd"/>
      <w:r>
        <w:rPr>
          <w:rFonts w:hint="cs"/>
          <w:rtl/>
        </w:rPr>
        <w:t xml:space="preserve"> היכי יתיב? </w:t>
      </w:r>
      <w:r w:rsidR="0063050C">
        <w:rPr>
          <w:rtl/>
        </w:rPr>
        <w:t>אמר רב אחא בר יעקב: ספר עזרה לתח</w:t>
      </w:r>
      <w:r w:rsidR="002E3B6B">
        <w:rPr>
          <w:rFonts w:hint="cs"/>
          <w:rtl/>
        </w:rPr>
        <w:t>י</w:t>
      </w:r>
      <w:r w:rsidR="0063050C">
        <w:rPr>
          <w:rtl/>
        </w:rPr>
        <w:t>לתו הוא נגלל.</w:t>
      </w:r>
      <w:r w:rsidR="00152291">
        <w:rPr>
          <w:rStyle w:val="a5"/>
          <w:rtl/>
        </w:rPr>
        <w:footnoteReference w:id="8"/>
      </w:r>
    </w:p>
    <w:p w14:paraId="21A6D871" w14:textId="77777777" w:rsidR="00BF0F4F" w:rsidRDefault="00BF0F4F" w:rsidP="00263DA6">
      <w:pPr>
        <w:pStyle w:val="ab"/>
        <w:rPr>
          <w:rtl/>
        </w:rPr>
      </w:pPr>
      <w:r>
        <w:rPr>
          <w:rtl/>
        </w:rPr>
        <w:t>מסכת יומא דף נד עמוד א</w:t>
      </w:r>
      <w:r w:rsidR="00263DA6">
        <w:rPr>
          <w:rFonts w:hint="cs"/>
          <w:rtl/>
        </w:rPr>
        <w:t xml:space="preserve"> </w:t>
      </w:r>
      <w:r w:rsidR="00263DA6">
        <w:rPr>
          <w:rtl/>
        </w:rPr>
        <w:t>–</w:t>
      </w:r>
      <w:r w:rsidR="00263DA6">
        <w:rPr>
          <w:rFonts w:hint="cs"/>
          <w:rtl/>
        </w:rPr>
        <w:t xml:space="preserve"> מבט אל קודש הקדשים </w:t>
      </w:r>
    </w:p>
    <w:p w14:paraId="18CA1A9B" w14:textId="77777777" w:rsidR="00BF0F4F" w:rsidRDefault="00BF0F4F" w:rsidP="00BF0F4F">
      <w:pPr>
        <w:pStyle w:val="ac"/>
        <w:rPr>
          <w:rtl/>
        </w:rPr>
      </w:pPr>
      <w:r>
        <w:rPr>
          <w:rtl/>
        </w:rPr>
        <w:t xml:space="preserve">אמר רב </w:t>
      </w:r>
      <w:proofErr w:type="spellStart"/>
      <w:r>
        <w:rPr>
          <w:rtl/>
        </w:rPr>
        <w:t>קטינא</w:t>
      </w:r>
      <w:proofErr w:type="spellEnd"/>
      <w:r>
        <w:rPr>
          <w:rtl/>
        </w:rPr>
        <w:t xml:space="preserve">: בשעה שהיו ישראל </w:t>
      </w:r>
      <w:proofErr w:type="spellStart"/>
      <w:r>
        <w:rPr>
          <w:rtl/>
        </w:rPr>
        <w:t>עולין</w:t>
      </w:r>
      <w:proofErr w:type="spellEnd"/>
      <w:r>
        <w:rPr>
          <w:rtl/>
        </w:rPr>
        <w:t xml:space="preserve"> לרגל </w:t>
      </w:r>
      <w:proofErr w:type="spellStart"/>
      <w:r>
        <w:rPr>
          <w:rtl/>
        </w:rPr>
        <w:t>מגללין</w:t>
      </w:r>
      <w:proofErr w:type="spellEnd"/>
      <w:r>
        <w:rPr>
          <w:rtl/>
        </w:rPr>
        <w:t xml:space="preserve"> להם את הפרוכת, </w:t>
      </w:r>
      <w:proofErr w:type="spellStart"/>
      <w:r>
        <w:rPr>
          <w:rtl/>
        </w:rPr>
        <w:t>ומראין</w:t>
      </w:r>
      <w:proofErr w:type="spellEnd"/>
      <w:r>
        <w:rPr>
          <w:rtl/>
        </w:rPr>
        <w:t xml:space="preserve"> להם את הכרובים שהיו מעורים זה בזה, ואומרים להן: ראו ח</w:t>
      </w:r>
      <w:r w:rsidR="00773244">
        <w:rPr>
          <w:rFonts w:hint="cs"/>
          <w:rtl/>
        </w:rPr>
        <w:t>י</w:t>
      </w:r>
      <w:r>
        <w:rPr>
          <w:rtl/>
        </w:rPr>
        <w:t>בתכם לפני המקום כח</w:t>
      </w:r>
      <w:r w:rsidR="00773244">
        <w:rPr>
          <w:rFonts w:hint="cs"/>
          <w:rtl/>
        </w:rPr>
        <w:t>י</w:t>
      </w:r>
      <w:r>
        <w:rPr>
          <w:rtl/>
        </w:rPr>
        <w:t>בת זכר ונקבה.</w:t>
      </w:r>
      <w:r w:rsidR="00E4683B">
        <w:rPr>
          <w:rStyle w:val="a5"/>
          <w:rtl/>
        </w:rPr>
        <w:footnoteReference w:id="9"/>
      </w:r>
      <w:r>
        <w:rPr>
          <w:rtl/>
        </w:rPr>
        <w:t xml:space="preserve"> </w:t>
      </w:r>
      <w:proofErr w:type="spellStart"/>
      <w:r>
        <w:rPr>
          <w:rtl/>
        </w:rPr>
        <w:t>מתיב</w:t>
      </w:r>
      <w:proofErr w:type="spellEnd"/>
      <w:r>
        <w:rPr>
          <w:rtl/>
        </w:rPr>
        <w:t xml:space="preserve"> רב </w:t>
      </w:r>
      <w:proofErr w:type="spellStart"/>
      <w:r>
        <w:rPr>
          <w:rtl/>
        </w:rPr>
        <w:t>חסדא</w:t>
      </w:r>
      <w:proofErr w:type="spellEnd"/>
      <w:r>
        <w:rPr>
          <w:rtl/>
        </w:rPr>
        <w:t xml:space="preserve">: ולא יבאו לראות כבלע את הקדש, ואמר רב יהודה אמר רב: בשעת הכנסת כלים </w:t>
      </w:r>
      <w:proofErr w:type="spellStart"/>
      <w:r>
        <w:rPr>
          <w:rtl/>
        </w:rPr>
        <w:t>לנרתק</w:t>
      </w:r>
      <w:proofErr w:type="spellEnd"/>
      <w:r>
        <w:rPr>
          <w:rtl/>
        </w:rPr>
        <w:t xml:space="preserve"> שלהם!</w:t>
      </w:r>
      <w:r w:rsidR="00E4683B">
        <w:rPr>
          <w:rStyle w:val="a5"/>
          <w:rtl/>
        </w:rPr>
        <w:footnoteReference w:id="10"/>
      </w:r>
      <w:r>
        <w:rPr>
          <w:rtl/>
        </w:rPr>
        <w:t xml:space="preserve"> - אמר רב נחמן: משל לכלה, כל זמן שהיא בבית אביה - צנועה מבעלה, כיון שבאתה לבית חמיה - אינה צנועה מבעלה.</w:t>
      </w:r>
      <w:r w:rsidR="0018729C">
        <w:rPr>
          <w:rStyle w:val="a5"/>
          <w:rtl/>
        </w:rPr>
        <w:footnoteReference w:id="11"/>
      </w:r>
    </w:p>
    <w:p w14:paraId="1C6B5E97" w14:textId="77777777" w:rsidR="0018729C" w:rsidRPr="0018729C" w:rsidRDefault="0018729C" w:rsidP="0018729C">
      <w:pPr>
        <w:pStyle w:val="ab"/>
        <w:rPr>
          <w:rtl/>
        </w:rPr>
      </w:pPr>
      <w:r w:rsidRPr="0018729C">
        <w:rPr>
          <w:rtl/>
        </w:rPr>
        <w:lastRenderedPageBreak/>
        <w:t xml:space="preserve">שמות רבה </w:t>
      </w:r>
      <w:r>
        <w:rPr>
          <w:rFonts w:hint="cs"/>
          <w:rtl/>
        </w:rPr>
        <w:t xml:space="preserve">ח ב </w:t>
      </w:r>
      <w:r w:rsidRPr="0018729C">
        <w:rPr>
          <w:rtl/>
        </w:rPr>
        <w:t xml:space="preserve">פרשת </w:t>
      </w:r>
      <w:proofErr w:type="spellStart"/>
      <w:r w:rsidRPr="0018729C">
        <w:rPr>
          <w:rtl/>
        </w:rPr>
        <w:t>וארא</w:t>
      </w:r>
      <w:proofErr w:type="spellEnd"/>
      <w:r>
        <w:rPr>
          <w:rFonts w:hint="cs"/>
          <w:rtl/>
        </w:rPr>
        <w:t xml:space="preserve"> - יואש שהסתתר בקודש הקדשים</w:t>
      </w:r>
    </w:p>
    <w:p w14:paraId="5E1875C2" w14:textId="77777777" w:rsidR="006C7F17" w:rsidRDefault="0094702D" w:rsidP="0018729C">
      <w:pPr>
        <w:pStyle w:val="ac"/>
        <w:rPr>
          <w:rtl/>
        </w:rPr>
      </w:pPr>
      <w:r>
        <w:rPr>
          <w:rFonts w:hint="cs"/>
          <w:rtl/>
        </w:rPr>
        <w:t>...</w:t>
      </w:r>
      <w:r>
        <w:rPr>
          <w:rStyle w:val="a5"/>
          <w:rtl/>
        </w:rPr>
        <w:footnoteReference w:id="12"/>
      </w:r>
      <w:r>
        <w:rPr>
          <w:rFonts w:hint="cs"/>
          <w:rtl/>
        </w:rPr>
        <w:t xml:space="preserve"> </w:t>
      </w:r>
      <w:r w:rsidR="0018729C" w:rsidRPr="0018729C">
        <w:rPr>
          <w:rtl/>
        </w:rPr>
        <w:t>יואש מנין שעשה עצמו אלוה</w:t>
      </w:r>
      <w:r>
        <w:rPr>
          <w:rFonts w:hint="cs"/>
          <w:rtl/>
        </w:rPr>
        <w:t>?</w:t>
      </w:r>
      <w:r w:rsidR="0018729C" w:rsidRPr="0018729C">
        <w:rPr>
          <w:rtl/>
        </w:rPr>
        <w:t xml:space="preserve"> </w:t>
      </w:r>
      <w:proofErr w:type="spellStart"/>
      <w:r w:rsidR="0018729C" w:rsidRPr="0018729C">
        <w:rPr>
          <w:rtl/>
        </w:rPr>
        <w:t>דכתיב</w:t>
      </w:r>
      <w:proofErr w:type="spellEnd"/>
      <w:r w:rsidR="0018729C">
        <w:rPr>
          <w:rFonts w:hint="cs"/>
          <w:rtl/>
        </w:rPr>
        <w:t>: "</w:t>
      </w:r>
      <w:r w:rsidR="0018729C">
        <w:rPr>
          <w:rtl/>
        </w:rPr>
        <w:t>וְאַחֲרֵי מוֹת יְהוֹיָדָע בָּאוּ שָׂרֵי יְהוּדָה וַיִּשְׁתַּחֲווּ לַמֶּלֶךְ אָז שָׁמַע הַמֶּלֶךְ אֲלֵיהֶם</w:t>
      </w:r>
      <w:r w:rsidR="0018729C">
        <w:rPr>
          <w:rFonts w:hint="cs"/>
          <w:rtl/>
        </w:rPr>
        <w:t xml:space="preserve">" (דברי הימים ב כד </w:t>
      </w:r>
      <w:proofErr w:type="spellStart"/>
      <w:r w:rsidR="0018729C">
        <w:rPr>
          <w:rFonts w:hint="cs"/>
          <w:rtl/>
        </w:rPr>
        <w:t>יז</w:t>
      </w:r>
      <w:proofErr w:type="spellEnd"/>
      <w:r w:rsidR="0018729C">
        <w:rPr>
          <w:rFonts w:hint="cs"/>
          <w:rtl/>
        </w:rPr>
        <w:t xml:space="preserve">) - </w:t>
      </w:r>
      <w:r w:rsidR="0018729C" w:rsidRPr="0018729C">
        <w:rPr>
          <w:rtl/>
        </w:rPr>
        <w:t xml:space="preserve">מהו </w:t>
      </w:r>
      <w:r>
        <w:rPr>
          <w:rFonts w:hint="cs"/>
          <w:rtl/>
        </w:rPr>
        <w:t>"</w:t>
      </w:r>
      <w:r w:rsidR="0018729C" w:rsidRPr="0018729C">
        <w:rPr>
          <w:rtl/>
        </w:rPr>
        <w:t>וישתחוו למלך</w:t>
      </w:r>
      <w:r>
        <w:rPr>
          <w:rFonts w:hint="cs"/>
          <w:rtl/>
        </w:rPr>
        <w:t>"</w:t>
      </w:r>
      <w:r w:rsidR="0018729C">
        <w:rPr>
          <w:rFonts w:hint="cs"/>
          <w:rtl/>
        </w:rPr>
        <w:t>?</w:t>
      </w:r>
      <w:r w:rsidR="0018729C" w:rsidRPr="0018729C">
        <w:rPr>
          <w:rtl/>
        </w:rPr>
        <w:t xml:space="preserve"> </w:t>
      </w:r>
      <w:proofErr w:type="spellStart"/>
      <w:r w:rsidR="0018729C" w:rsidRPr="0018729C">
        <w:rPr>
          <w:rtl/>
        </w:rPr>
        <w:t>שעשאוהו</w:t>
      </w:r>
      <w:proofErr w:type="spellEnd"/>
      <w:r w:rsidR="0018729C" w:rsidRPr="0018729C">
        <w:rPr>
          <w:rtl/>
        </w:rPr>
        <w:t xml:space="preserve"> אלוה</w:t>
      </w:r>
      <w:r w:rsidR="0018729C">
        <w:rPr>
          <w:rFonts w:hint="cs"/>
          <w:rtl/>
        </w:rPr>
        <w:t>.</w:t>
      </w:r>
      <w:r w:rsidR="0018729C" w:rsidRPr="0018729C">
        <w:rPr>
          <w:rtl/>
        </w:rPr>
        <w:t xml:space="preserve"> אמרו לו</w:t>
      </w:r>
      <w:r w:rsidR="0018729C">
        <w:rPr>
          <w:rFonts w:hint="cs"/>
          <w:rtl/>
        </w:rPr>
        <w:t>:</w:t>
      </w:r>
      <w:r w:rsidR="0018729C" w:rsidRPr="0018729C">
        <w:rPr>
          <w:rtl/>
        </w:rPr>
        <w:t xml:space="preserve"> א</w:t>
      </w:r>
      <w:r>
        <w:rPr>
          <w:rFonts w:hint="cs"/>
          <w:rtl/>
        </w:rPr>
        <w:t>י</w:t>
      </w:r>
      <w:r w:rsidR="0018729C" w:rsidRPr="0018729C">
        <w:rPr>
          <w:rtl/>
        </w:rPr>
        <w:t>לולי שאתה אלוה</w:t>
      </w:r>
      <w:r w:rsidR="0018729C">
        <w:rPr>
          <w:rFonts w:hint="cs"/>
          <w:rtl/>
        </w:rPr>
        <w:t>,</w:t>
      </w:r>
      <w:r w:rsidR="0018729C" w:rsidRPr="0018729C">
        <w:rPr>
          <w:rtl/>
        </w:rPr>
        <w:t xml:space="preserve"> לא היית יוצא לאחר שבעה שנים מבית קדשי הקדשים</w:t>
      </w:r>
      <w:r w:rsidR="0018729C">
        <w:rPr>
          <w:rFonts w:hint="cs"/>
          <w:rtl/>
        </w:rPr>
        <w:t>.</w:t>
      </w:r>
      <w:r>
        <w:rPr>
          <w:rStyle w:val="a5"/>
          <w:rtl/>
        </w:rPr>
        <w:footnoteReference w:id="13"/>
      </w:r>
      <w:r w:rsidR="0018729C">
        <w:rPr>
          <w:rFonts w:hint="cs"/>
          <w:rtl/>
        </w:rPr>
        <w:t xml:space="preserve"> </w:t>
      </w:r>
      <w:r w:rsidR="0018729C" w:rsidRPr="0018729C">
        <w:rPr>
          <w:rtl/>
        </w:rPr>
        <w:t>אמר לה</w:t>
      </w:r>
      <w:r w:rsidR="0018729C">
        <w:rPr>
          <w:rFonts w:hint="cs"/>
          <w:rtl/>
        </w:rPr>
        <w:t xml:space="preserve">ם: </w:t>
      </w:r>
      <w:r w:rsidR="0018729C" w:rsidRPr="0018729C">
        <w:rPr>
          <w:rtl/>
        </w:rPr>
        <w:t>כך הוא</w:t>
      </w:r>
      <w:r w:rsidR="0018729C">
        <w:rPr>
          <w:rFonts w:hint="cs"/>
          <w:rtl/>
        </w:rPr>
        <w:t>,</w:t>
      </w:r>
      <w:r w:rsidR="0018729C" w:rsidRPr="0018729C">
        <w:rPr>
          <w:rtl/>
        </w:rPr>
        <w:t xml:space="preserve"> וקבל על עצמו </w:t>
      </w:r>
      <w:proofErr w:type="spellStart"/>
      <w:r w:rsidR="0018729C" w:rsidRPr="0018729C">
        <w:rPr>
          <w:rtl/>
        </w:rPr>
        <w:t>ליעשות</w:t>
      </w:r>
      <w:proofErr w:type="spellEnd"/>
      <w:r w:rsidR="0018729C" w:rsidRPr="0018729C">
        <w:rPr>
          <w:rtl/>
        </w:rPr>
        <w:t xml:space="preserve"> אלוה והשחית לנפשו</w:t>
      </w:r>
      <w:r w:rsidR="0018729C">
        <w:rPr>
          <w:rFonts w:hint="cs"/>
          <w:rtl/>
        </w:rPr>
        <w:t xml:space="preserve"> </w:t>
      </w:r>
      <w:proofErr w:type="spellStart"/>
      <w:r w:rsidR="0018729C">
        <w:rPr>
          <w:rFonts w:hint="cs"/>
          <w:rtl/>
        </w:rPr>
        <w:t>וכו</w:t>
      </w:r>
      <w:proofErr w:type="spellEnd"/>
      <w:r w:rsidR="0018729C">
        <w:rPr>
          <w:rFonts w:hint="cs"/>
          <w:rtl/>
        </w:rPr>
        <w:t>'.</w:t>
      </w:r>
      <w:r w:rsidR="003F0189">
        <w:rPr>
          <w:rStyle w:val="a5"/>
          <w:rtl/>
        </w:rPr>
        <w:footnoteReference w:id="14"/>
      </w:r>
    </w:p>
    <w:p w14:paraId="6B6A8870" w14:textId="77777777" w:rsidR="00121DFC" w:rsidRDefault="00121DFC" w:rsidP="0018729C">
      <w:pPr>
        <w:pStyle w:val="ad"/>
        <w:spacing w:before="240"/>
        <w:rPr>
          <w:rtl/>
        </w:rPr>
      </w:pPr>
      <w:r>
        <w:rPr>
          <w:rFonts w:hint="cs"/>
          <w:rtl/>
        </w:rPr>
        <w:t>מחלקי המים</w:t>
      </w:r>
    </w:p>
    <w:p w14:paraId="71011F47" w14:textId="77777777" w:rsidR="004516C6" w:rsidRPr="004516C6" w:rsidRDefault="007C2404" w:rsidP="00D21DF4">
      <w:pPr>
        <w:pStyle w:val="ad"/>
        <w:spacing w:before="120"/>
        <w:rPr>
          <w:b w:val="0"/>
          <w:bCs w:val="0"/>
          <w:szCs w:val="22"/>
          <w:rtl/>
        </w:rPr>
      </w:pPr>
      <w:r w:rsidRPr="004516C6">
        <w:rPr>
          <w:rFonts w:hint="cs"/>
          <w:szCs w:val="22"/>
          <w:rtl/>
        </w:rPr>
        <w:t>מים אחרונים:</w:t>
      </w:r>
      <w:r w:rsidR="00D50FE1">
        <w:rPr>
          <w:rFonts w:hint="cs"/>
          <w:szCs w:val="22"/>
          <w:rtl/>
        </w:rPr>
        <w:t xml:space="preserve"> </w:t>
      </w:r>
    </w:p>
    <w:sectPr w:rsidR="004516C6" w:rsidRPr="004516C6"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6174" w14:textId="77777777" w:rsidR="00CA7959" w:rsidRDefault="00CA7959">
      <w:r>
        <w:separator/>
      </w:r>
    </w:p>
  </w:endnote>
  <w:endnote w:type="continuationSeparator" w:id="0">
    <w:p w14:paraId="3D6901AF" w14:textId="77777777" w:rsidR="00CA7959" w:rsidRDefault="00CA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9B27"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5CDFDD31"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0FA9" w14:textId="77777777" w:rsidR="00CA7959" w:rsidRDefault="00CA7959">
      <w:r>
        <w:separator/>
      </w:r>
    </w:p>
  </w:footnote>
  <w:footnote w:type="continuationSeparator" w:id="0">
    <w:p w14:paraId="2419AB04" w14:textId="77777777" w:rsidR="00CA7959" w:rsidRDefault="00CA7959">
      <w:r>
        <w:continuationSeparator/>
      </w:r>
    </w:p>
  </w:footnote>
  <w:footnote w:id="1">
    <w:p w14:paraId="5BE56EA7" w14:textId="77777777" w:rsidR="00497AB5" w:rsidRDefault="00497AB5" w:rsidP="00497AB5">
      <w:pPr>
        <w:pStyle w:val="a3"/>
        <w:rPr>
          <w:rFonts w:hint="cs"/>
          <w:rtl/>
        </w:rPr>
      </w:pPr>
      <w:r>
        <w:rPr>
          <w:rStyle w:val="a5"/>
        </w:rPr>
        <w:footnoteRef/>
      </w:r>
      <w:r>
        <w:rPr>
          <w:rtl/>
        </w:rPr>
        <w:t xml:space="preserve"> </w:t>
      </w:r>
      <w:r>
        <w:rPr>
          <w:rFonts w:hint="cs"/>
          <w:rtl/>
        </w:rPr>
        <w:t>המשנה מונה שם למי היה מותר להיכנס, לאיזה חלק במקדש, ולא</w:t>
      </w:r>
      <w:r w:rsidR="00FC469E">
        <w:rPr>
          <w:rFonts w:hint="cs"/>
          <w:rtl/>
        </w:rPr>
        <w:t>י</w:t>
      </w:r>
      <w:r>
        <w:rPr>
          <w:rFonts w:hint="cs"/>
          <w:rtl/>
        </w:rPr>
        <w:t>זו מטרה. המקום המקודש ביותר הוא קודש הקדשים, בו שכן הארון בבית ראשון (ובשני, רק אבן השתיה), לשם היה נכנס רק הכהן הגדול ורק "אחת לשנה" בעיצומו של יום הכיפורים. ככתוב ב</w:t>
      </w:r>
      <w:r w:rsidRPr="00497AB5">
        <w:rPr>
          <w:rtl/>
        </w:rPr>
        <w:t>פרשת אחרי מות</w:t>
      </w:r>
      <w:r>
        <w:rPr>
          <w:rFonts w:hint="cs"/>
          <w:rtl/>
        </w:rPr>
        <w:t>, ויקרא</w:t>
      </w:r>
      <w:r w:rsidRPr="00497AB5">
        <w:rPr>
          <w:rtl/>
        </w:rPr>
        <w:t xml:space="preserve"> פרק </w:t>
      </w:r>
      <w:proofErr w:type="spellStart"/>
      <w:r w:rsidRPr="00497AB5">
        <w:rPr>
          <w:rtl/>
        </w:rPr>
        <w:t>טז</w:t>
      </w:r>
      <w:proofErr w:type="spellEnd"/>
      <w:r>
        <w:rPr>
          <w:rFonts w:hint="cs"/>
          <w:rtl/>
        </w:rPr>
        <w:t xml:space="preserve"> הפותח בפסוק: "</w:t>
      </w:r>
      <w:r w:rsidRPr="00497AB5">
        <w:rPr>
          <w:rtl/>
        </w:rPr>
        <w:t>וַיֹּאמֶר ה' אֶל מֹשֶׁה דַּבֵּר אֶל אַהֲרֹן אָחִיךָ וְאַל יָבֹא בְכָל עֵת אֶל הַקֹּדֶשׁ מִבֵּית לַפָּרֹכֶת אֶל פְּנֵי הַכַּפֹּרֶת אֲשֶׁר עַל הָאָרֹן וְלֹא יָמוּת כִּי בֶּעָנָן אֵרָאֶה עַל הַכַּפֹּרֶת</w:t>
      </w:r>
      <w:r>
        <w:rPr>
          <w:rFonts w:hint="cs"/>
          <w:rtl/>
        </w:rPr>
        <w:t>", וחותם בפסוק: "</w:t>
      </w:r>
      <w:proofErr w:type="spellStart"/>
      <w:r w:rsidRPr="00497AB5">
        <w:rPr>
          <w:rtl/>
        </w:rPr>
        <w:t>וְהָיְתָה</w:t>
      </w:r>
      <w:proofErr w:type="spellEnd"/>
      <w:r w:rsidRPr="00497AB5">
        <w:rPr>
          <w:rtl/>
        </w:rPr>
        <w:t xml:space="preserve"> זֹּאת לָכֶם </w:t>
      </w:r>
      <w:proofErr w:type="spellStart"/>
      <w:r w:rsidRPr="00497AB5">
        <w:rPr>
          <w:rtl/>
        </w:rPr>
        <w:t>לְחֻקַּת</w:t>
      </w:r>
      <w:proofErr w:type="spellEnd"/>
      <w:r w:rsidRPr="00497AB5">
        <w:rPr>
          <w:rtl/>
        </w:rPr>
        <w:t xml:space="preserve"> עוֹלָם לְכַפֵּר עַל בְּנֵי יִשְׂרָאֵל מִכָּל חַטֹּאתָם אַחַת בַּשָּׁנָה וַיַּעַשׂ כַּאֲשֶׁר </w:t>
      </w:r>
      <w:proofErr w:type="spellStart"/>
      <w:r w:rsidRPr="00497AB5">
        <w:rPr>
          <w:rtl/>
        </w:rPr>
        <w:t>צִוָּה</w:t>
      </w:r>
      <w:proofErr w:type="spellEnd"/>
      <w:r w:rsidRPr="00497AB5">
        <w:rPr>
          <w:rtl/>
        </w:rPr>
        <w:t xml:space="preserve"> ה' אֶת מֹשֶׁה</w:t>
      </w:r>
      <w:r>
        <w:rPr>
          <w:rFonts w:hint="cs"/>
          <w:rtl/>
        </w:rPr>
        <w:t>". ראו גם ב</w:t>
      </w:r>
      <w:r w:rsidRPr="00497AB5">
        <w:rPr>
          <w:rtl/>
        </w:rPr>
        <w:t xml:space="preserve">שמות </w:t>
      </w:r>
      <w:r>
        <w:rPr>
          <w:rFonts w:hint="cs"/>
          <w:rtl/>
        </w:rPr>
        <w:t xml:space="preserve">ל י </w:t>
      </w:r>
      <w:r w:rsidRPr="00497AB5">
        <w:rPr>
          <w:rtl/>
        </w:rPr>
        <w:t xml:space="preserve">פרשת </w:t>
      </w:r>
      <w:proofErr w:type="spellStart"/>
      <w:r w:rsidRPr="00497AB5">
        <w:rPr>
          <w:rtl/>
        </w:rPr>
        <w:t>תצוה</w:t>
      </w:r>
      <w:proofErr w:type="spellEnd"/>
      <w:r>
        <w:rPr>
          <w:rFonts w:hint="cs"/>
          <w:rtl/>
        </w:rPr>
        <w:t>: "</w:t>
      </w:r>
      <w:r w:rsidRPr="00497AB5">
        <w:rPr>
          <w:rtl/>
        </w:rPr>
        <w:t xml:space="preserve">וְכִפֶּר אַהֲרֹן עַל קַרְנֹתָיו אַחַת בַּשָּׁנָה מִדַּם חַטַּאת הַכִּפֻּרִים אַחַת בַּשָּׁנָה יְכַפֵּר עָלָיו </w:t>
      </w:r>
      <w:proofErr w:type="spellStart"/>
      <w:r w:rsidRPr="00497AB5">
        <w:rPr>
          <w:rtl/>
        </w:rPr>
        <w:t>לְדֹרֹתֵיכֶם</w:t>
      </w:r>
      <w:proofErr w:type="spellEnd"/>
      <w:r w:rsidRPr="00497AB5">
        <w:rPr>
          <w:rtl/>
        </w:rPr>
        <w:t xml:space="preserve"> קֹדֶשׁ קָדָשִׁים הוּא לַה'</w:t>
      </w:r>
      <w:r w:rsidR="00FC469E">
        <w:rPr>
          <w:rFonts w:hint="cs"/>
          <w:rtl/>
        </w:rPr>
        <w:t xml:space="preserve"> </w:t>
      </w:r>
      <w:r>
        <w:rPr>
          <w:rFonts w:hint="cs"/>
          <w:rtl/>
        </w:rPr>
        <w:t xml:space="preserve">". ראו פירוש המשנה לרמב"ם על המשנה הנ"ל (בהתבסס על </w:t>
      </w:r>
      <w:proofErr w:type="spellStart"/>
      <w:r>
        <w:rPr>
          <w:rFonts w:hint="cs"/>
          <w:rtl/>
        </w:rPr>
        <w:t>תוספתא</w:t>
      </w:r>
      <w:proofErr w:type="spellEnd"/>
      <w:r>
        <w:rPr>
          <w:rFonts w:hint="cs"/>
          <w:rtl/>
        </w:rPr>
        <w:t xml:space="preserve"> כלים א ז ומדרש </w:t>
      </w:r>
      <w:r w:rsidRPr="00497AB5">
        <w:rPr>
          <w:rtl/>
        </w:rPr>
        <w:t>ספרי זוטא במדבר ה</w:t>
      </w:r>
      <w:r>
        <w:rPr>
          <w:rFonts w:cs="David"/>
          <w:rtl/>
        </w:rPr>
        <w:t xml:space="preserve"> ב</w:t>
      </w:r>
      <w:r>
        <w:rPr>
          <w:rFonts w:hint="cs"/>
          <w:rtl/>
        </w:rPr>
        <w:t>) "</w:t>
      </w:r>
      <w:r w:rsidRPr="00497AB5">
        <w:rPr>
          <w:rtl/>
        </w:rPr>
        <w:t>וכן הוזהר כהן גדול מלה</w:t>
      </w:r>
      <w:r w:rsidRPr="00497AB5">
        <w:rPr>
          <w:rFonts w:hint="cs"/>
          <w:rtl/>
        </w:rPr>
        <w:t>י</w:t>
      </w:r>
      <w:r w:rsidRPr="00497AB5">
        <w:rPr>
          <w:rtl/>
        </w:rPr>
        <w:t>כנס לקודש הקדשים זולתי ביום הכפורים</w:t>
      </w:r>
      <w:r w:rsidRPr="00497AB5">
        <w:rPr>
          <w:rFonts w:hint="cs"/>
          <w:rtl/>
        </w:rPr>
        <w:t xml:space="preserve"> ... </w:t>
      </w:r>
      <w:r w:rsidRPr="00497AB5">
        <w:rPr>
          <w:rtl/>
        </w:rPr>
        <w:t xml:space="preserve">והוא נכנס לאותו המקום ביום צום כפור ארבע פעמים, הפעם הראשונה בקטורת ומקטיר שם בקדש הקדשים כמו שבארנו </w:t>
      </w:r>
      <w:proofErr w:type="spellStart"/>
      <w:r w:rsidRPr="00497AB5">
        <w:rPr>
          <w:rtl/>
        </w:rPr>
        <w:t>ביומא</w:t>
      </w:r>
      <w:proofErr w:type="spellEnd"/>
      <w:r w:rsidRPr="00497AB5">
        <w:rPr>
          <w:rtl/>
        </w:rPr>
        <w:t xml:space="preserve">, והפעם </w:t>
      </w:r>
      <w:proofErr w:type="spellStart"/>
      <w:r w:rsidRPr="00497AB5">
        <w:rPr>
          <w:rtl/>
        </w:rPr>
        <w:t>השניה</w:t>
      </w:r>
      <w:proofErr w:type="spellEnd"/>
      <w:r w:rsidRPr="00497AB5">
        <w:rPr>
          <w:rtl/>
        </w:rPr>
        <w:t xml:space="preserve"> בדם הפר, והפעם השלישית בדם השעיר, והפעם הרביעית יכנס להוציא את הכף ואת המחתה מקודש הקדשים כמו שנתבאר שם. </w:t>
      </w:r>
      <w:proofErr w:type="spellStart"/>
      <w:r w:rsidRPr="00497AB5">
        <w:rPr>
          <w:rtl/>
        </w:rPr>
        <w:t>ובתוספתא</w:t>
      </w:r>
      <w:proofErr w:type="spellEnd"/>
      <w:r w:rsidRPr="00497AB5">
        <w:rPr>
          <w:rtl/>
        </w:rPr>
        <w:t xml:space="preserve"> כהן גדול נכנס לשם בכל שנה ושנה לעבודת יום הכפורים ארבעה פעמים ביום, ואם נכנס חמש חייב מיתה</w:t>
      </w:r>
      <w:r w:rsidRPr="00497AB5">
        <w:rPr>
          <w:rFonts w:hint="cs"/>
          <w:rtl/>
        </w:rPr>
        <w:t xml:space="preserve">". </w:t>
      </w:r>
      <w:r w:rsidR="00FC469E">
        <w:rPr>
          <w:rFonts w:hint="cs"/>
          <w:rtl/>
        </w:rPr>
        <w:t xml:space="preserve">אך אנו שואלים: </w:t>
      </w:r>
      <w:r w:rsidRPr="00497AB5">
        <w:rPr>
          <w:rFonts w:hint="cs"/>
          <w:rtl/>
        </w:rPr>
        <w:t>האמנם רק הכהן הגדול ורק ביום הכיפורים?</w:t>
      </w:r>
    </w:p>
  </w:footnote>
  <w:footnote w:id="2">
    <w:p w14:paraId="0BD2D77C" w14:textId="77777777" w:rsidR="00BD57F7" w:rsidRDefault="00BD57F7">
      <w:pPr>
        <w:pStyle w:val="a3"/>
        <w:rPr>
          <w:rFonts w:hint="cs"/>
          <w:rtl/>
        </w:rPr>
      </w:pPr>
      <w:r>
        <w:rPr>
          <w:rStyle w:val="a5"/>
        </w:rPr>
        <w:footnoteRef/>
      </w:r>
      <w:r>
        <w:rPr>
          <w:rtl/>
        </w:rPr>
        <w:t xml:space="preserve"> </w:t>
      </w:r>
      <w:r>
        <w:rPr>
          <w:rFonts w:hint="cs"/>
          <w:rtl/>
        </w:rPr>
        <w:t>פעם בשבע שנים.</w:t>
      </w:r>
    </w:p>
  </w:footnote>
  <w:footnote w:id="3">
    <w:p w14:paraId="32A16938" w14:textId="77777777" w:rsidR="000760BF" w:rsidRDefault="000760BF">
      <w:pPr>
        <w:pStyle w:val="a3"/>
        <w:rPr>
          <w:rFonts w:hint="cs"/>
          <w:rtl/>
        </w:rPr>
      </w:pPr>
      <w:r>
        <w:rPr>
          <w:rStyle w:val="a5"/>
        </w:rPr>
        <w:footnoteRef/>
      </w:r>
      <w:r>
        <w:rPr>
          <w:rtl/>
        </w:rPr>
        <w:t xml:space="preserve"> </w:t>
      </w:r>
      <w:r>
        <w:rPr>
          <w:rFonts w:hint="cs"/>
          <w:rtl/>
        </w:rPr>
        <w:t xml:space="preserve">ראו גם הנוסח </w:t>
      </w:r>
      <w:proofErr w:type="spellStart"/>
      <w:r>
        <w:rPr>
          <w:rFonts w:hint="cs"/>
          <w:rtl/>
        </w:rPr>
        <w:t>ב</w:t>
      </w:r>
      <w:r>
        <w:rPr>
          <w:rtl/>
        </w:rPr>
        <w:t>תוספתא</w:t>
      </w:r>
      <w:proofErr w:type="spellEnd"/>
      <w:r>
        <w:rPr>
          <w:rtl/>
        </w:rPr>
        <w:t xml:space="preserve"> מסכת כלים פרק א הלכה ז</w:t>
      </w:r>
      <w:r>
        <w:rPr>
          <w:rFonts w:hint="cs"/>
          <w:rtl/>
        </w:rPr>
        <w:t>: "</w:t>
      </w:r>
      <w:r>
        <w:rPr>
          <w:rtl/>
        </w:rPr>
        <w:t>אבא שאול אומר</w:t>
      </w:r>
      <w:r>
        <w:rPr>
          <w:rFonts w:hint="cs"/>
          <w:rtl/>
        </w:rPr>
        <w:t>:</w:t>
      </w:r>
      <w:r>
        <w:rPr>
          <w:rtl/>
        </w:rPr>
        <w:t xml:space="preserve"> עליית בית קדשי קדשים חמורה מבית קדשי קדשים</w:t>
      </w:r>
      <w:r>
        <w:rPr>
          <w:rFonts w:hint="cs"/>
          <w:rtl/>
        </w:rPr>
        <w:t>;</w:t>
      </w:r>
      <w:r>
        <w:rPr>
          <w:rtl/>
        </w:rPr>
        <w:t xml:space="preserve"> שבבית קדשי קדשים כהן גדול נכנס לשם בכל שנה ושנה לעבודת יום הכפורים ארבע פעמים ביום ואם נכנס חמש חייב מיתה</w:t>
      </w:r>
      <w:r>
        <w:rPr>
          <w:rFonts w:hint="cs"/>
          <w:rtl/>
        </w:rPr>
        <w:t>;</w:t>
      </w:r>
      <w:r>
        <w:rPr>
          <w:rtl/>
        </w:rPr>
        <w:t xml:space="preserve"> ולעליית בית קדשי הקדשים אין נכנסים אלא לשנים לידע מה היא צריכה</w:t>
      </w:r>
      <w:r>
        <w:rPr>
          <w:rFonts w:hint="cs"/>
          <w:rtl/>
        </w:rPr>
        <w:t>.</w:t>
      </w:r>
      <w:r>
        <w:rPr>
          <w:rtl/>
        </w:rPr>
        <w:t xml:space="preserve"> אמרו לו</w:t>
      </w:r>
      <w:r>
        <w:rPr>
          <w:rFonts w:hint="cs"/>
          <w:rtl/>
        </w:rPr>
        <w:t>:</w:t>
      </w:r>
      <w:r>
        <w:rPr>
          <w:rtl/>
        </w:rPr>
        <w:t xml:space="preserve"> אין זו מעלה</w:t>
      </w:r>
      <w:r>
        <w:rPr>
          <w:rFonts w:hint="cs"/>
          <w:rtl/>
        </w:rPr>
        <w:t xml:space="preserve">". בנוסח זה, יש מי שחולק על אבא שאול באשר לקדושת עליות המקדש, אבל לשיטתו (המובאת בגמרא בלי מי שחולק), הגם שהעלייה קדושה ואפילו יותר מקודש הקדשים, היו נכנסים אליה "לידע מה היא צריכה". האם יש לכך השפעה או קשר על הכניסה לקודש הקדשים בשעת הצורך? ועל </w:t>
      </w:r>
      <w:hyperlink r:id="rId1" w:history="1">
        <w:r w:rsidRPr="006070FE">
          <w:rPr>
            <w:rStyle w:val="Hyperlink"/>
            <w:rFonts w:hint="cs"/>
            <w:rtl/>
          </w:rPr>
          <w:t>עליות המקדש</w:t>
        </w:r>
      </w:hyperlink>
      <w:r>
        <w:rPr>
          <w:rFonts w:hint="cs"/>
          <w:rtl/>
        </w:rPr>
        <w:t xml:space="preserve">, ראו באתר </w:t>
      </w:r>
      <w:proofErr w:type="spellStart"/>
      <w:r>
        <w:rPr>
          <w:rFonts w:hint="cs"/>
          <w:rtl/>
        </w:rPr>
        <w:t>ויקימקדש</w:t>
      </w:r>
      <w:proofErr w:type="spellEnd"/>
      <w:r>
        <w:rPr>
          <w:rFonts w:hint="cs"/>
          <w:rtl/>
        </w:rPr>
        <w:t>.</w:t>
      </w:r>
    </w:p>
  </w:footnote>
  <w:footnote w:id="4">
    <w:p w14:paraId="754E5385" w14:textId="77777777" w:rsidR="00497AB5" w:rsidRDefault="00497AB5">
      <w:pPr>
        <w:pStyle w:val="a3"/>
        <w:rPr>
          <w:rFonts w:hint="cs"/>
          <w:rtl/>
        </w:rPr>
      </w:pPr>
      <w:r>
        <w:rPr>
          <w:rStyle w:val="a5"/>
        </w:rPr>
        <w:footnoteRef/>
      </w:r>
      <w:r>
        <w:rPr>
          <w:rtl/>
        </w:rPr>
        <w:t xml:space="preserve"> </w:t>
      </w:r>
      <w:r>
        <w:rPr>
          <w:rFonts w:hint="cs"/>
          <w:rtl/>
        </w:rPr>
        <w:t xml:space="preserve">פירוש </w:t>
      </w:r>
      <w:r>
        <w:rPr>
          <w:rtl/>
        </w:rPr>
        <w:t xml:space="preserve">ר' עובדיה </w:t>
      </w:r>
      <w:proofErr w:type="spellStart"/>
      <w:r>
        <w:rPr>
          <w:rtl/>
        </w:rPr>
        <w:t>מברטנורא</w:t>
      </w:r>
      <w:proofErr w:type="spellEnd"/>
      <w:r>
        <w:rPr>
          <w:rtl/>
        </w:rPr>
        <w:t xml:space="preserve"> </w:t>
      </w:r>
      <w:r>
        <w:rPr>
          <w:rFonts w:hint="cs"/>
          <w:rtl/>
        </w:rPr>
        <w:t>שם: "</w:t>
      </w:r>
      <w:r>
        <w:rPr>
          <w:rtl/>
        </w:rPr>
        <w:t xml:space="preserve">משלשלים את האומנים - מורידין אותם בחבל בתוך התיבות, כדי שלא </w:t>
      </w:r>
      <w:proofErr w:type="spellStart"/>
      <w:r>
        <w:rPr>
          <w:rtl/>
        </w:rPr>
        <w:t>יהנו</w:t>
      </w:r>
      <w:proofErr w:type="spellEnd"/>
      <w:r>
        <w:rPr>
          <w:rtl/>
        </w:rPr>
        <w:t xml:space="preserve"> בראיית בית קודש הקדשים, אלא </w:t>
      </w:r>
      <w:proofErr w:type="spellStart"/>
      <w:r>
        <w:rPr>
          <w:rtl/>
        </w:rPr>
        <w:t>מתקנין</w:t>
      </w:r>
      <w:proofErr w:type="spellEnd"/>
      <w:r>
        <w:rPr>
          <w:rtl/>
        </w:rPr>
        <w:t xml:space="preserve"> מה שצריך בלבד </w:t>
      </w:r>
      <w:proofErr w:type="spellStart"/>
      <w:r>
        <w:rPr>
          <w:rtl/>
        </w:rPr>
        <w:t>ועולין</w:t>
      </w:r>
      <w:proofErr w:type="spellEnd"/>
      <w:r>
        <w:rPr>
          <w:rFonts w:hint="cs"/>
          <w:rtl/>
        </w:rPr>
        <w:t xml:space="preserve">". ופירוש </w:t>
      </w:r>
      <w:r>
        <w:rPr>
          <w:rtl/>
        </w:rPr>
        <w:t xml:space="preserve">תפארת ישראל - יכין </w:t>
      </w:r>
      <w:r>
        <w:rPr>
          <w:rFonts w:hint="cs"/>
          <w:rtl/>
        </w:rPr>
        <w:t xml:space="preserve">שם מדגיש שהתיבות היו אטומות לראייה משלושת הצדדים ורק צד אחד פתוח לראייה הדרושה לעבודה. ראו דיון על משנה זו בגמרא פסחים </w:t>
      </w:r>
      <w:proofErr w:type="spellStart"/>
      <w:r>
        <w:rPr>
          <w:rFonts w:hint="cs"/>
          <w:rtl/>
        </w:rPr>
        <w:t>כו</w:t>
      </w:r>
      <w:proofErr w:type="spellEnd"/>
      <w:r>
        <w:rPr>
          <w:rFonts w:hint="cs"/>
          <w:rtl/>
        </w:rPr>
        <w:t xml:space="preserve"> ע"א. מחד גיסא שואלת שם הגמרא מה הבעיה אם האומנים יזונו עיניהם בבית קודש הקדשים, הרי הלכה היא ש"מראה, קול וריח </w:t>
      </w:r>
      <w:r>
        <w:rPr>
          <w:rtl/>
        </w:rPr>
        <w:t>–</w:t>
      </w:r>
      <w:r>
        <w:rPr>
          <w:rFonts w:hint="cs"/>
          <w:rtl/>
        </w:rPr>
        <w:t xml:space="preserve"> אין בהם משום מעילה". ותשובתה היא שאמנם אין כאן דין מעילה, אבל איסור לכתחילה </w:t>
      </w:r>
      <w:r>
        <w:rPr>
          <w:rtl/>
        </w:rPr>
        <w:t>–</w:t>
      </w:r>
      <w:r>
        <w:rPr>
          <w:rFonts w:hint="cs"/>
          <w:rtl/>
        </w:rPr>
        <w:t xml:space="preserve"> יש. מאידך גיסא, שואלת הגמרא שם על מנהגו של רבן יוחנן בן זכאי "שהיה יושב בצילו של היכל ודורש כל היום כולו" </w:t>
      </w:r>
      <w:r>
        <w:rPr>
          <w:rtl/>
        </w:rPr>
        <w:t>–</w:t>
      </w:r>
      <w:r>
        <w:rPr>
          <w:rFonts w:hint="cs"/>
          <w:rtl/>
        </w:rPr>
        <w:t xml:space="preserve"> שהרי יש בזה הנאה מהמקדש וגם אם אין בזה מעילה </w:t>
      </w:r>
      <w:r>
        <w:rPr>
          <w:rtl/>
        </w:rPr>
        <w:t>–</w:t>
      </w:r>
      <w:r>
        <w:rPr>
          <w:rFonts w:hint="cs"/>
          <w:rtl/>
        </w:rPr>
        <w:t xml:space="preserve"> איסור יש. ותשובתה על כך היא שהאיסור הוא כלפי פנים היינו בתוך ההיכל ולא כלפי חוץ. וזה מזכיר את החלונות של המקדש שהיו עשויים צרים מפנים ורחבים מבחוץ (כמין טרפז שחלקו הרחב בחוץ) על מנת שאור המקדש יאיר כלפי חוץ (במדבר רבה טו ב). ראו גם את הריח הטוב של קטורת המקדש שהתפשט בכל העיר ירושלים ועד יריחו הגיע (יומא לט ב). כך או כך, הרי לנו מי שנכנס אל קודש הקדשים הגם שאיננו כהן גדול ולא ביום הכיפורים. מי הוא? בעל מלאכה שבא לתקן דבר הצריך תיקון. וידועים על כך דברי הרב קוק בתשובתו למלעיזים על החלוצים שבונים את ארץ הקודש.</w:t>
      </w:r>
    </w:p>
  </w:footnote>
  <w:footnote w:id="5">
    <w:p w14:paraId="58E70EC6" w14:textId="77777777" w:rsidR="0062227E" w:rsidRDefault="0062227E" w:rsidP="0062227E">
      <w:pPr>
        <w:pStyle w:val="a3"/>
        <w:rPr>
          <w:rFonts w:hint="cs"/>
          <w:rtl/>
        </w:rPr>
      </w:pPr>
      <w:r>
        <w:rPr>
          <w:rStyle w:val="a5"/>
        </w:rPr>
        <w:footnoteRef/>
      </w:r>
      <w:r>
        <w:rPr>
          <w:rtl/>
        </w:rPr>
        <w:t xml:space="preserve"> </w:t>
      </w:r>
      <w:r>
        <w:rPr>
          <w:rFonts w:hint="cs"/>
          <w:rtl/>
        </w:rPr>
        <w:t xml:space="preserve">מדובר כאן בעמידה לתפילה היינו שמונה עשרה. </w:t>
      </w:r>
      <w:proofErr w:type="spellStart"/>
      <w:r>
        <w:rPr>
          <w:rFonts w:hint="cs"/>
          <w:rtl/>
        </w:rPr>
        <w:t>הרי"ף</w:t>
      </w:r>
      <w:proofErr w:type="spellEnd"/>
      <w:r>
        <w:rPr>
          <w:rFonts w:hint="cs"/>
          <w:rtl/>
        </w:rPr>
        <w:t xml:space="preserve"> משמיט את הקטע "היה עומד בבית קדשי הקדשים", וכך גם בכתבי יד: אוקספורד, פירנצה, </w:t>
      </w:r>
      <w:proofErr w:type="spellStart"/>
      <w:r>
        <w:rPr>
          <w:rFonts w:hint="cs"/>
          <w:rtl/>
        </w:rPr>
        <w:t>גירונה</w:t>
      </w:r>
      <w:proofErr w:type="spellEnd"/>
      <w:r>
        <w:rPr>
          <w:rFonts w:hint="cs"/>
          <w:rtl/>
        </w:rPr>
        <w:t xml:space="preserve"> ופריס. אבל בכתב יד מינכן ובדפוסים (</w:t>
      </w:r>
      <w:proofErr w:type="spellStart"/>
      <w:r>
        <w:rPr>
          <w:rFonts w:hint="cs"/>
          <w:rtl/>
        </w:rPr>
        <w:t>וילנא</w:t>
      </w:r>
      <w:proofErr w:type="spellEnd"/>
      <w:r>
        <w:rPr>
          <w:rFonts w:hint="cs"/>
          <w:rtl/>
        </w:rPr>
        <w:t xml:space="preserve">) כן נמצא קטע זה </w:t>
      </w:r>
      <w:r>
        <w:rPr>
          <w:rtl/>
        </w:rPr>
        <w:t>–</w:t>
      </w:r>
      <w:r>
        <w:rPr>
          <w:rFonts w:hint="cs"/>
          <w:rtl/>
        </w:rPr>
        <w:t xml:space="preserve"> ותודה רבה לד"ר רוני </w:t>
      </w:r>
      <w:proofErr w:type="spellStart"/>
      <w:r>
        <w:rPr>
          <w:rFonts w:hint="cs"/>
          <w:rtl/>
        </w:rPr>
        <w:t>שוויקה</w:t>
      </w:r>
      <w:proofErr w:type="spellEnd"/>
      <w:r>
        <w:rPr>
          <w:rFonts w:hint="cs"/>
          <w:rtl/>
        </w:rPr>
        <w:t xml:space="preserve"> ולאתר </w:t>
      </w:r>
      <w:hyperlink r:id="rId2" w:history="1">
        <w:r w:rsidRPr="00A41949">
          <w:rPr>
            <w:rStyle w:val="Hyperlink"/>
            <w:rFonts w:hint="cs"/>
            <w:rtl/>
          </w:rPr>
          <w:t xml:space="preserve">הכי </w:t>
        </w:r>
        <w:proofErr w:type="spellStart"/>
        <w:r w:rsidRPr="00A41949">
          <w:rPr>
            <w:rStyle w:val="Hyperlink"/>
            <w:rFonts w:hint="cs"/>
            <w:rtl/>
          </w:rPr>
          <w:t>גרס</w:t>
        </w:r>
        <w:r w:rsidRPr="00A41949">
          <w:rPr>
            <w:rStyle w:val="Hyperlink"/>
            <w:rFonts w:hint="cs"/>
            <w:rtl/>
          </w:rPr>
          <w:t>י</w:t>
        </w:r>
        <w:r w:rsidRPr="00A41949">
          <w:rPr>
            <w:rStyle w:val="Hyperlink"/>
            <w:rFonts w:hint="cs"/>
            <w:rtl/>
          </w:rPr>
          <w:t>נן</w:t>
        </w:r>
        <w:proofErr w:type="spellEnd"/>
      </w:hyperlink>
      <w:r>
        <w:rPr>
          <w:rFonts w:hint="cs"/>
          <w:rtl/>
        </w:rPr>
        <w:t xml:space="preserve"> על המידע. לשיטות שמקיימות את הקטע "היה עומד בבית קדשי הקדשים", אנו מבקשים להעלות את ההשערה שמדובר באומן שנמצא בקודש הקדשים לצורך ביצוע תיקון כלשהוא והגיעה שעת המנחה</w:t>
      </w:r>
      <w:r w:rsidR="00FC469E">
        <w:rPr>
          <w:rFonts w:hint="cs"/>
          <w:rtl/>
        </w:rPr>
        <w:t xml:space="preserve"> (שחרית וערבית לא סביר)</w:t>
      </w:r>
      <w:r>
        <w:rPr>
          <w:rFonts w:hint="cs"/>
          <w:rtl/>
        </w:rPr>
        <w:t xml:space="preserve">. ואם כך, הרי לנו </w:t>
      </w:r>
      <w:r w:rsidR="00FC469E">
        <w:rPr>
          <w:rFonts w:hint="cs"/>
          <w:rtl/>
        </w:rPr>
        <w:t>מקור נוסף לדין האומנים שנכנסים לקודש הקדשים ו</w:t>
      </w:r>
      <w:r>
        <w:rPr>
          <w:rFonts w:hint="cs"/>
          <w:rtl/>
        </w:rPr>
        <w:t xml:space="preserve">סיוע למשנה הנ"ל ממסכת מדות </w:t>
      </w:r>
      <w:proofErr w:type="spellStart"/>
      <w:r>
        <w:rPr>
          <w:rFonts w:hint="cs"/>
          <w:rtl/>
        </w:rPr>
        <w:t>מברייתא</w:t>
      </w:r>
      <w:proofErr w:type="spellEnd"/>
      <w:r>
        <w:rPr>
          <w:rFonts w:hint="cs"/>
          <w:rtl/>
        </w:rPr>
        <w:t xml:space="preserve"> במסכת ברכות. שהרי פשיטא שלא מדובר כאן בכהן גדול וביום הכיפורים, שם היה סדר עבודה מדוקדק ומדויק.</w:t>
      </w:r>
    </w:p>
  </w:footnote>
  <w:footnote w:id="6">
    <w:p w14:paraId="332EACB4" w14:textId="77777777" w:rsidR="0062227E" w:rsidRDefault="0062227E">
      <w:pPr>
        <w:pStyle w:val="a3"/>
        <w:rPr>
          <w:rFonts w:hint="cs"/>
          <w:rtl/>
        </w:rPr>
      </w:pPr>
      <w:r>
        <w:rPr>
          <w:rStyle w:val="a5"/>
        </w:rPr>
        <w:footnoteRef/>
      </w:r>
      <w:r>
        <w:rPr>
          <w:rtl/>
        </w:rPr>
        <w:t xml:space="preserve"> </w:t>
      </w:r>
      <w:r>
        <w:rPr>
          <w:rFonts w:hint="cs"/>
          <w:rtl/>
        </w:rPr>
        <w:t>ככתוב ב</w:t>
      </w:r>
      <w:r>
        <w:rPr>
          <w:rtl/>
        </w:rPr>
        <w:t xml:space="preserve">דברים </w:t>
      </w:r>
      <w:r>
        <w:rPr>
          <w:rFonts w:hint="cs"/>
          <w:rtl/>
        </w:rPr>
        <w:t xml:space="preserve">לא </w:t>
      </w:r>
      <w:r>
        <w:rPr>
          <w:rtl/>
        </w:rPr>
        <w:t>פרשת וילך</w:t>
      </w:r>
      <w:r>
        <w:rPr>
          <w:rFonts w:hint="cs"/>
          <w:rtl/>
        </w:rPr>
        <w:t>: "</w:t>
      </w:r>
      <w:r>
        <w:rPr>
          <w:rtl/>
        </w:rPr>
        <w:t xml:space="preserve">וַיְהִי כְּכַלּוֹת מֹשֶׁה לִכְתֹּב אֶת דִּבְרֵי הַתּוֹרָה הַזֹּאת עַל סֵפֶר עַד </w:t>
      </w:r>
      <w:proofErr w:type="spellStart"/>
      <w:r>
        <w:rPr>
          <w:rtl/>
        </w:rPr>
        <w:t>תֻּמָּם</w:t>
      </w:r>
      <w:proofErr w:type="spellEnd"/>
      <w:r>
        <w:rPr>
          <w:rtl/>
        </w:rPr>
        <w:t>:</w:t>
      </w:r>
      <w:r>
        <w:rPr>
          <w:rFonts w:hint="cs"/>
          <w:rtl/>
        </w:rPr>
        <w:t xml:space="preserve"> </w:t>
      </w:r>
      <w:r>
        <w:rPr>
          <w:rtl/>
        </w:rPr>
        <w:t xml:space="preserve">וַיְצַו מֹשֶׁה אֶת </w:t>
      </w:r>
      <w:proofErr w:type="spellStart"/>
      <w:r>
        <w:rPr>
          <w:rtl/>
        </w:rPr>
        <w:t>הַלְוִיִּם</w:t>
      </w:r>
      <w:proofErr w:type="spellEnd"/>
      <w:r>
        <w:rPr>
          <w:rtl/>
        </w:rPr>
        <w:t xml:space="preserve"> נֹשְׂאֵי אֲרוֹן בְּרִית ה' </w:t>
      </w:r>
      <w:proofErr w:type="spellStart"/>
      <w:r>
        <w:rPr>
          <w:rtl/>
        </w:rPr>
        <w:t>לֵאמֹר</w:t>
      </w:r>
      <w:proofErr w:type="spellEnd"/>
      <w:r>
        <w:rPr>
          <w:rtl/>
        </w:rPr>
        <w:t>:</w:t>
      </w:r>
      <w:r>
        <w:rPr>
          <w:rFonts w:hint="cs"/>
          <w:rtl/>
        </w:rPr>
        <w:t xml:space="preserve"> </w:t>
      </w:r>
      <w:r>
        <w:rPr>
          <w:rtl/>
        </w:rPr>
        <w:t xml:space="preserve">לָקֹחַ אֵת סֵפֶר הַתּוֹרָה הַזֶּה וְשַׂמְתֶּם אֹתוֹ מִצַּד אֲרוֹן בְּרִית ה' </w:t>
      </w:r>
      <w:proofErr w:type="spellStart"/>
      <w:r>
        <w:rPr>
          <w:rtl/>
        </w:rPr>
        <w:t>אֱלֹהֵיכֶם</w:t>
      </w:r>
      <w:proofErr w:type="spellEnd"/>
      <w:r>
        <w:rPr>
          <w:rtl/>
        </w:rPr>
        <w:t xml:space="preserve"> וְהָיָה שָׁם בְּךָ לְעֵד</w:t>
      </w:r>
      <w:r>
        <w:rPr>
          <w:rFonts w:hint="cs"/>
          <w:rtl/>
        </w:rPr>
        <w:t xml:space="preserve">". ראו בגמרא בבא </w:t>
      </w:r>
      <w:proofErr w:type="spellStart"/>
      <w:r>
        <w:rPr>
          <w:rFonts w:hint="cs"/>
          <w:rtl/>
        </w:rPr>
        <w:t>בתרא</w:t>
      </w:r>
      <w:proofErr w:type="spellEnd"/>
      <w:r>
        <w:rPr>
          <w:rFonts w:hint="cs"/>
          <w:rtl/>
        </w:rPr>
        <w:t xml:space="preserve"> יד ע"א המחלוקת בין רבי מאיר ור' יהודה אם ספר התורה היה מונח בתוך הארון ממש לצד לוחות הברית או </w:t>
      </w:r>
      <w:r w:rsidR="0061156A">
        <w:rPr>
          <w:rFonts w:hint="cs"/>
          <w:rtl/>
        </w:rPr>
        <w:t>בצד הארון</w:t>
      </w:r>
      <w:r>
        <w:rPr>
          <w:rFonts w:hint="cs"/>
          <w:rtl/>
        </w:rPr>
        <w:t xml:space="preserve"> (ע"ג </w:t>
      </w:r>
      <w:r w:rsidR="0061156A">
        <w:rPr>
          <w:rFonts w:hint="cs"/>
          <w:rtl/>
        </w:rPr>
        <w:t xml:space="preserve">דף מיוחד או </w:t>
      </w:r>
      <w:r>
        <w:rPr>
          <w:rFonts w:hint="cs"/>
          <w:rtl/>
        </w:rPr>
        <w:t xml:space="preserve">הארגז שהוסיפו לו הפלשתים). לעניינינו, ביומו האחרון משלים משה את חתימת התורה (ראו דברינו </w:t>
      </w:r>
      <w:hyperlink r:id="rId3" w:history="1">
        <w:r w:rsidRPr="00010EC5">
          <w:rPr>
            <w:rStyle w:val="Hyperlink"/>
            <w:rFonts w:hint="cs"/>
            <w:rtl/>
          </w:rPr>
          <w:t xml:space="preserve">תורה חתומה ניתנה או מגילה </w:t>
        </w:r>
        <w:proofErr w:type="spellStart"/>
        <w:r w:rsidRPr="00010EC5">
          <w:rPr>
            <w:rStyle w:val="Hyperlink"/>
            <w:rFonts w:hint="cs"/>
            <w:rtl/>
          </w:rPr>
          <w:t>מגילה</w:t>
        </w:r>
        <w:proofErr w:type="spellEnd"/>
        <w:r w:rsidRPr="00010EC5">
          <w:rPr>
            <w:rStyle w:val="Hyperlink"/>
            <w:rFonts w:hint="cs"/>
            <w:rtl/>
          </w:rPr>
          <w:t xml:space="preserve"> ניתנה</w:t>
        </w:r>
      </w:hyperlink>
      <w:r>
        <w:rPr>
          <w:rFonts w:hint="cs"/>
          <w:rtl/>
        </w:rPr>
        <w:t xml:space="preserve"> בפרשת משפטים) וכותב שלושה עשר ספרי תורה, אחד לכל שבט ואחד "העותק המחייב" </w:t>
      </w:r>
      <w:r>
        <w:rPr>
          <w:lang w:val="en-GB"/>
        </w:rPr>
        <w:t>(par excellence)</w:t>
      </w:r>
      <w:r>
        <w:rPr>
          <w:rFonts w:hint="cs"/>
          <w:rtl/>
          <w:lang w:val="en-GB"/>
        </w:rPr>
        <w:t xml:space="preserve"> למשמרת בארון שבמשכן</w:t>
      </w:r>
      <w:r w:rsidR="0061156A">
        <w:rPr>
          <w:rFonts w:hint="cs"/>
          <w:rtl/>
          <w:lang w:val="en-GB"/>
        </w:rPr>
        <w:t xml:space="preserve"> ולעדות</w:t>
      </w:r>
      <w:r>
        <w:rPr>
          <w:rFonts w:hint="cs"/>
          <w:rtl/>
          <w:lang w:val="en-GB"/>
        </w:rPr>
        <w:t xml:space="preserve">. יש כאן היבט סמלי ברור </w:t>
      </w:r>
      <w:r>
        <w:rPr>
          <w:rtl/>
          <w:lang w:val="en-GB"/>
        </w:rPr>
        <w:t>–</w:t>
      </w:r>
      <w:r>
        <w:rPr>
          <w:rFonts w:hint="cs"/>
          <w:rtl/>
          <w:lang w:val="en-GB"/>
        </w:rPr>
        <w:t xml:space="preserve"> המשכיות הקול שהיה מדבר אל משה מבין שני הכרובים</w:t>
      </w:r>
      <w:r w:rsidR="0071023E">
        <w:rPr>
          <w:rFonts w:hint="cs"/>
          <w:rtl/>
          <w:lang w:val="en-GB"/>
        </w:rPr>
        <w:t xml:space="preserve"> הוא לאחר מות משה, ספר התורה</w:t>
      </w:r>
      <w:r>
        <w:rPr>
          <w:rFonts w:hint="cs"/>
          <w:rtl/>
          <w:lang w:val="en-GB"/>
        </w:rPr>
        <w:t xml:space="preserve">, ראו דברינו </w:t>
      </w:r>
      <w:hyperlink r:id="rId4" w:anchor="gsc.tab=0" w:history="1">
        <w:r w:rsidRPr="00026277">
          <w:rPr>
            <w:rStyle w:val="Hyperlink"/>
            <w:rFonts w:hint="cs"/>
            <w:rtl/>
            <w:lang w:val="en-GB"/>
          </w:rPr>
          <w:t>וישמע את הקול מדבר אליו</w:t>
        </w:r>
      </w:hyperlink>
      <w:r>
        <w:rPr>
          <w:rFonts w:hint="cs"/>
          <w:rtl/>
          <w:lang w:val="en-GB"/>
        </w:rPr>
        <w:t xml:space="preserve"> בפרשת נשא. ובהיבט המעשי, נראה שמכאן ניתן ללמוד שיש עוד סיבה לכניסה לקודש הקדשים ולא רק "אחת בשנה". שהרי לא על מנת שישכב שם כאבן שאין לה הופכין (אבן השתיה), הושם שם ספר התורה של משה, אלא על מנת שבכל עת שתהיה מחלוקת או ספק או חשש לזיוף, נ</w:t>
      </w:r>
      <w:r w:rsidR="0071023E">
        <w:rPr>
          <w:rFonts w:hint="cs"/>
          <w:rtl/>
          <w:lang w:val="en-GB"/>
        </w:rPr>
        <w:t>י</w:t>
      </w:r>
      <w:r>
        <w:rPr>
          <w:rFonts w:hint="cs"/>
          <w:rtl/>
          <w:lang w:val="en-GB"/>
        </w:rPr>
        <w:t xml:space="preserve">תן יהיה להיעזר בו. והרי לנו "תורת משה" במשמעותה המוחשית והפשוטה. ראו פירוש </w:t>
      </w:r>
      <w:proofErr w:type="spellStart"/>
      <w:r w:rsidRPr="009A787B">
        <w:rPr>
          <w:rtl/>
          <w:lang w:val="en-GB"/>
        </w:rPr>
        <w:t>רש"ר</w:t>
      </w:r>
      <w:proofErr w:type="spellEnd"/>
      <w:r w:rsidRPr="009A787B">
        <w:rPr>
          <w:rtl/>
          <w:lang w:val="en-GB"/>
        </w:rPr>
        <w:t xml:space="preserve"> הירש דברים </w:t>
      </w:r>
      <w:r>
        <w:rPr>
          <w:rFonts w:hint="cs"/>
          <w:rtl/>
          <w:lang w:val="en-GB"/>
        </w:rPr>
        <w:t xml:space="preserve">לא י: " ... </w:t>
      </w:r>
      <w:r w:rsidRPr="009A787B">
        <w:rPr>
          <w:rtl/>
          <w:lang w:val="en-GB"/>
        </w:rPr>
        <w:t>עלינו להניח שיש יוצא מן הכלל מסוג זה, שהרי כך 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w:t>
      </w:r>
      <w:r>
        <w:rPr>
          <w:rFonts w:hint="cs"/>
          <w:rtl/>
          <w:lang w:val="en-GB"/>
        </w:rPr>
        <w:t>"</w:t>
      </w:r>
      <w:r w:rsidRPr="009A787B">
        <w:rPr>
          <w:rtl/>
          <w:lang w:val="en-GB"/>
        </w:rPr>
        <w:t>.</w:t>
      </w:r>
      <w:r>
        <w:rPr>
          <w:rFonts w:hint="cs"/>
          <w:rtl/>
          <w:lang w:val="en-GB"/>
        </w:rPr>
        <w:t xml:space="preserve"> זאת, בפרט לשיט</w:t>
      </w:r>
      <w:r w:rsidR="0071023E">
        <w:rPr>
          <w:rFonts w:hint="cs"/>
          <w:rtl/>
          <w:lang w:val="en-GB"/>
        </w:rPr>
        <w:t>ת ר' מאיר</w:t>
      </w:r>
      <w:r>
        <w:rPr>
          <w:rFonts w:hint="cs"/>
          <w:rtl/>
          <w:lang w:val="en-GB"/>
        </w:rPr>
        <w:t xml:space="preserve"> שהספר היה בתוך הארון ולצורך העיון בו היו צריכים לפתוח את הארון (איזו סמליות עם פתיחת הארון בימינו). ואנו רק נוסיף</w:t>
      </w:r>
      <w:r w:rsidR="006070FE">
        <w:rPr>
          <w:rFonts w:hint="cs"/>
          <w:rtl/>
          <w:lang w:val="en-GB"/>
        </w:rPr>
        <w:t>,</w:t>
      </w:r>
      <w:r>
        <w:rPr>
          <w:rFonts w:hint="cs"/>
          <w:rtl/>
          <w:lang w:val="en-GB"/>
        </w:rPr>
        <w:t xml:space="preserve"> שאם אפרים ומנשה כלולים בשנים עשר הספרים שכת</w:t>
      </w:r>
      <w:r w:rsidR="0071023E">
        <w:rPr>
          <w:rFonts w:hint="cs"/>
          <w:rtl/>
          <w:lang w:val="en-GB"/>
        </w:rPr>
        <w:t>ב</w:t>
      </w:r>
      <w:r>
        <w:rPr>
          <w:rFonts w:hint="cs"/>
          <w:rtl/>
          <w:lang w:val="en-GB"/>
        </w:rPr>
        <w:t xml:space="preserve"> משה, אזי בהכרח הספר שהיה בארון שימש את בני לוי </w:t>
      </w:r>
      <w:proofErr w:type="spellStart"/>
      <w:r>
        <w:rPr>
          <w:rFonts w:hint="cs"/>
          <w:rtl/>
          <w:lang w:val="en-GB"/>
        </w:rPr>
        <w:t>והכהנים</w:t>
      </w:r>
      <w:proofErr w:type="spellEnd"/>
      <w:r>
        <w:rPr>
          <w:rFonts w:hint="cs"/>
          <w:rtl/>
          <w:lang w:val="en-GB"/>
        </w:rPr>
        <w:t>.</w:t>
      </w:r>
      <w:r>
        <w:rPr>
          <w:rFonts w:hint="cs"/>
          <w:rtl/>
        </w:rPr>
        <w:t xml:space="preserve"> ובראשונים (תוספות, </w:t>
      </w:r>
      <w:proofErr w:type="spellStart"/>
      <w:r>
        <w:rPr>
          <w:rFonts w:hint="cs"/>
          <w:rtl/>
        </w:rPr>
        <w:t>ראב"ד</w:t>
      </w:r>
      <w:proofErr w:type="spellEnd"/>
      <w:r>
        <w:rPr>
          <w:rFonts w:hint="cs"/>
          <w:rtl/>
        </w:rPr>
        <w:t xml:space="preserve"> ועוד) יש מחלוקת אם בספר זה קראו </w:t>
      </w:r>
      <w:proofErr w:type="spellStart"/>
      <w:r>
        <w:rPr>
          <w:rFonts w:hint="cs"/>
          <w:rtl/>
        </w:rPr>
        <w:t>בהקהל</w:t>
      </w:r>
      <w:proofErr w:type="spellEnd"/>
      <w:r>
        <w:rPr>
          <w:rFonts w:hint="cs"/>
          <w:rtl/>
        </w:rPr>
        <w:t xml:space="preserve"> וביום כיפור ונראה שהפלגנו דיינו בעניין זה.</w:t>
      </w:r>
    </w:p>
  </w:footnote>
  <w:footnote w:id="7">
    <w:p w14:paraId="20A44903" w14:textId="77777777" w:rsidR="006070FE" w:rsidRDefault="006070FE" w:rsidP="006070FE">
      <w:pPr>
        <w:pStyle w:val="a3"/>
        <w:rPr>
          <w:rFonts w:hint="cs"/>
          <w:rtl/>
        </w:rPr>
      </w:pPr>
      <w:r>
        <w:rPr>
          <w:rStyle w:val="a5"/>
        </w:rPr>
        <w:footnoteRef/>
      </w:r>
      <w:r>
        <w:rPr>
          <w:rtl/>
        </w:rPr>
        <w:t xml:space="preserve"> </w:t>
      </w:r>
      <w:proofErr w:type="spellStart"/>
      <w:r>
        <w:rPr>
          <w:rFonts w:hint="cs"/>
          <w:rtl/>
        </w:rPr>
        <w:t>הסוגיה</w:t>
      </w:r>
      <w:proofErr w:type="spellEnd"/>
      <w:r>
        <w:rPr>
          <w:rFonts w:hint="cs"/>
          <w:rtl/>
        </w:rPr>
        <w:t xml:space="preserve"> עוסקת שם במקום שנשאר לספר התורה בארון, לפי שיטת רבי מאיר שספר התורה היה בתוך הארון, לאחר שלוחות הברית תפסו את רובו. בחשבון שהגמרא עושה שם, שתלוי בגודל הלוחות, היא מגיעה למסקנה שנשארו שני טפחים לספר התורה, מה שמאפשר את הכנסתו והוצאתו בלי דוחק (של הספר). והרי לנו הוכחה נוספת שהיו מוציאים ומכניסים את ספר התורה שהיה בארון לצורך זה או אחר, ומילא נכנסים אל קודש הקדשים. ראו אמנם בתוספות על הדף שם שמגביל את הכניסה רק "כדי לתקן ספר תורה כדי שלא יתעפש ויתקלקל", היינו רק לצורך תחזוקת הספר עצמו, והרי זה דומה לאומנים כנ"ל. ועדיין היו נכנסים אל קודש הקדשים מידי פעם בפעם לבדוק מה מצבו של הספר שהניח שם משה.</w:t>
      </w:r>
    </w:p>
  </w:footnote>
  <w:footnote w:id="8">
    <w:p w14:paraId="5991C6D7" w14:textId="77777777" w:rsidR="00152291" w:rsidRDefault="00152291" w:rsidP="00152291">
      <w:pPr>
        <w:pStyle w:val="a3"/>
        <w:rPr>
          <w:rFonts w:hint="cs"/>
          <w:rtl/>
        </w:rPr>
      </w:pPr>
      <w:r>
        <w:rPr>
          <w:rStyle w:val="a5"/>
        </w:rPr>
        <w:footnoteRef/>
      </w:r>
      <w:r>
        <w:rPr>
          <w:rtl/>
        </w:rPr>
        <w:t xml:space="preserve"> </w:t>
      </w:r>
      <w:r>
        <w:rPr>
          <w:rFonts w:hint="cs"/>
          <w:rtl/>
        </w:rPr>
        <w:t xml:space="preserve">בהמשך הדיון בגמרא שם חוזרת השאלה כיצד ספר תורה נכנס בשני טפחים, והתשובה היא שספר התורה שהיה בארון לא דמה לספרי התורה של ימינו שיש להם שני עצים (עמודים) ואפשר לגלול אותם לצד זה או לצד אחר (ותמיד יישאר רווח כלשהו ביניהם), אלא שהיה מגולל על עץ (עמוד) אחד ולפיכך תפס פחות מקום. הקלף של ספר התורה היה מחובר בסוף הספר, בדומה למגילות של ימינו: אסתר, שיר השירים, רות וקהלת (למי שקורא מהקלף) והפתיחה הייתה תמיד בצד ימין היינו בתחילת הספר (מה שמתאים למגילות שנקראות בשלמות וחוזרות להיגלל לראשן לקריאה הבאה, ופחות לספר תורה שלם). ומה למדנו מענין זה? את המונח "ספר העזרה" שמן הסתם קשור יותר לתקופת בית שני בה כבר אין ארון והושם בעזרה. האם היה זה הספר שהניח משה בארון שבמשכן ועבר למקדש, או שמא ספר שכתבונו אנשי בית שני (עזרא הסופר)? על כך יש לדון בנפרד </w:t>
      </w:r>
      <w:proofErr w:type="spellStart"/>
      <w:r>
        <w:rPr>
          <w:rFonts w:hint="cs"/>
          <w:rtl/>
        </w:rPr>
        <w:t>בעז"ה</w:t>
      </w:r>
      <w:proofErr w:type="spellEnd"/>
      <w:r>
        <w:rPr>
          <w:rFonts w:hint="cs"/>
          <w:rtl/>
        </w:rPr>
        <w:t>. כאן, די לנו במקורות אלה על ספר התורה שלצורכו היו נכנסים אל קודש הקדשים.</w:t>
      </w:r>
    </w:p>
  </w:footnote>
  <w:footnote w:id="9">
    <w:p w14:paraId="4885FC46" w14:textId="77777777" w:rsidR="00E4683B" w:rsidRDefault="00E4683B" w:rsidP="00E4683B">
      <w:pPr>
        <w:pStyle w:val="a3"/>
        <w:rPr>
          <w:rFonts w:hint="cs"/>
        </w:rPr>
      </w:pPr>
      <w:r>
        <w:rPr>
          <w:rStyle w:val="a5"/>
        </w:rPr>
        <w:footnoteRef/>
      </w:r>
      <w:r>
        <w:rPr>
          <w:rtl/>
        </w:rPr>
        <w:t xml:space="preserve"> </w:t>
      </w:r>
      <w:r>
        <w:rPr>
          <w:rFonts w:hint="cs"/>
          <w:rtl/>
        </w:rPr>
        <w:t xml:space="preserve">ראו שם גם כיצד נראו ראשי הבדים מבעד לפרוכת, וראו גם בהמשך הגמרא שם ציטוט הפסוק מקדש שלמה: </w:t>
      </w:r>
      <w:proofErr w:type="spellStart"/>
      <w:r>
        <w:rPr>
          <w:rtl/>
        </w:rPr>
        <w:t>כ</w:t>
      </w:r>
      <w:r>
        <w:rPr>
          <w:rFonts w:hint="cs"/>
          <w:rtl/>
        </w:rPr>
        <w:t>"</w:t>
      </w:r>
      <w:r>
        <w:rPr>
          <w:rtl/>
        </w:rPr>
        <w:t>ְּמַעַר</w:t>
      </w:r>
      <w:proofErr w:type="spellEnd"/>
      <w:r>
        <w:rPr>
          <w:rtl/>
        </w:rPr>
        <w:t xml:space="preserve"> אִישׁ </w:t>
      </w:r>
      <w:proofErr w:type="spellStart"/>
      <w:r>
        <w:rPr>
          <w:rtl/>
        </w:rPr>
        <w:t>וְלֹיוֹת</w:t>
      </w:r>
      <w:proofErr w:type="spellEnd"/>
      <w:r>
        <w:rPr>
          <w:rtl/>
        </w:rPr>
        <w:t xml:space="preserve"> סָבִיב</w:t>
      </w:r>
      <w:r>
        <w:rPr>
          <w:rFonts w:hint="cs"/>
          <w:rtl/>
        </w:rPr>
        <w:t>" (</w:t>
      </w:r>
      <w:r>
        <w:rPr>
          <w:rtl/>
        </w:rPr>
        <w:t>מלכים א ז לו</w:t>
      </w:r>
      <w:r>
        <w:rPr>
          <w:rFonts w:hint="cs"/>
          <w:rtl/>
        </w:rPr>
        <w:t xml:space="preserve">), ושם גם דברי הזילות של הגויים על הכרובים. </w:t>
      </w:r>
    </w:p>
  </w:footnote>
  <w:footnote w:id="10">
    <w:p w14:paraId="572BDEEC" w14:textId="77777777" w:rsidR="00E4683B" w:rsidRDefault="00E4683B">
      <w:pPr>
        <w:pStyle w:val="a3"/>
        <w:rPr>
          <w:rFonts w:hint="cs"/>
          <w:rtl/>
        </w:rPr>
      </w:pPr>
      <w:r>
        <w:rPr>
          <w:rStyle w:val="a5"/>
        </w:rPr>
        <w:footnoteRef/>
      </w:r>
      <w:r>
        <w:rPr>
          <w:rtl/>
        </w:rPr>
        <w:t xml:space="preserve"> </w:t>
      </w:r>
      <w:r>
        <w:rPr>
          <w:rFonts w:hint="cs"/>
          <w:rtl/>
        </w:rPr>
        <w:t>שאפילו לבני קהת הלוויים שנשאו את כלי המקדש, היה אסור להביט בכלים בשעה שפורקים או מקימים את המשכן. אז כיצד זה היו פותחים את בית קודשי הקדשים לפני עולי הרגל?</w:t>
      </w:r>
    </w:p>
  </w:footnote>
  <w:footnote w:id="11">
    <w:p w14:paraId="4913E73D" w14:textId="77777777" w:rsidR="0018729C" w:rsidRDefault="0018729C">
      <w:pPr>
        <w:pStyle w:val="a3"/>
        <w:rPr>
          <w:rFonts w:hint="cs"/>
          <w:rtl/>
        </w:rPr>
      </w:pPr>
      <w:r>
        <w:rPr>
          <w:rStyle w:val="a5"/>
        </w:rPr>
        <w:footnoteRef/>
      </w:r>
      <w:r>
        <w:rPr>
          <w:rtl/>
        </w:rPr>
        <w:t xml:space="preserve"> </w:t>
      </w:r>
      <w:r>
        <w:rPr>
          <w:rFonts w:hint="cs"/>
          <w:rtl/>
          <w:lang w:eastAsia="en-US"/>
        </w:rPr>
        <w:t xml:space="preserve">בני ישראל במדבר היו משולים לכלה בבית אביה שמצטנעת אפילו מבעלה, אך במקדש עולמים בארץ ישראל בירושלים, הכלה בבית בעלה ושוב איננה צריכה או רוצה להצטנע. ראו פירוש </w:t>
      </w:r>
      <w:proofErr w:type="spellStart"/>
      <w:r>
        <w:rPr>
          <w:rFonts w:hint="cs"/>
          <w:rtl/>
          <w:lang w:eastAsia="en-US"/>
        </w:rPr>
        <w:t>שטיינזלץ</w:t>
      </w:r>
      <w:proofErr w:type="spellEnd"/>
      <w:r>
        <w:rPr>
          <w:rFonts w:hint="cs"/>
          <w:rtl/>
          <w:lang w:eastAsia="en-US"/>
        </w:rPr>
        <w:t xml:space="preserve"> שם: "</w:t>
      </w:r>
      <w:r w:rsidRPr="003C5B5D">
        <w:rPr>
          <w:rtl/>
          <w:lang w:eastAsia="en-US"/>
        </w:rPr>
        <w:t xml:space="preserve">במדבר כיון שלא </w:t>
      </w:r>
      <w:proofErr w:type="spellStart"/>
      <w:r w:rsidRPr="003C5B5D">
        <w:rPr>
          <w:rtl/>
          <w:lang w:eastAsia="en-US"/>
        </w:rPr>
        <w:t>היתה</w:t>
      </w:r>
      <w:proofErr w:type="spellEnd"/>
      <w:r w:rsidRPr="003C5B5D">
        <w:rPr>
          <w:rtl/>
          <w:lang w:eastAsia="en-US"/>
        </w:rPr>
        <w:t xml:space="preserve"> השראת שכינה בישראל במקום קבוע — אסור היה לראות את הקודש, אולם במקדש במקום הקבע הורשו </w:t>
      </w:r>
      <w:proofErr w:type="spellStart"/>
      <w:r w:rsidRPr="003C5B5D">
        <w:rPr>
          <w:rtl/>
          <w:lang w:eastAsia="en-US"/>
        </w:rPr>
        <w:t>הכל</w:t>
      </w:r>
      <w:proofErr w:type="spellEnd"/>
      <w:r w:rsidRPr="003C5B5D">
        <w:rPr>
          <w:rtl/>
          <w:lang w:eastAsia="en-US"/>
        </w:rPr>
        <w:t xml:space="preserve"> לראותו</w:t>
      </w:r>
      <w:r>
        <w:rPr>
          <w:rFonts w:hint="cs"/>
          <w:rtl/>
          <w:lang w:eastAsia="en-US"/>
        </w:rPr>
        <w:t>"</w:t>
      </w:r>
      <w:r w:rsidRPr="003C5B5D">
        <w:rPr>
          <w:rtl/>
          <w:lang w:eastAsia="en-US"/>
        </w:rPr>
        <w:t>.</w:t>
      </w:r>
      <w:r>
        <w:rPr>
          <w:rFonts w:hint="cs"/>
          <w:rtl/>
          <w:lang w:eastAsia="en-US"/>
        </w:rPr>
        <w:t xml:space="preserve"> כאן אמנם מדובר בראיית קודש הקדשים הארון והכרובים, לא בכניסה אל הקודש, אך נראה לנו לצרף גם "כניסה" זו במראית עין. </w:t>
      </w:r>
      <w:r>
        <w:rPr>
          <w:rFonts w:hint="cs"/>
          <w:rtl/>
        </w:rPr>
        <w:t xml:space="preserve">וכל זה, לא ביום כיפור פעם בשנה, אלא שלוש פעמים בשנה, בכל רגל ורגל! עוד נראה להשוות ההשוואה עניין זה עם האומנים במסכת מידות לעיל, שהיו מורידים אותם </w:t>
      </w:r>
      <w:r>
        <w:rPr>
          <w:rtl/>
        </w:rPr>
        <w:t xml:space="preserve">בתיבות </w:t>
      </w:r>
      <w:r>
        <w:rPr>
          <w:rFonts w:hint="cs"/>
          <w:rtl/>
        </w:rPr>
        <w:t>"</w:t>
      </w:r>
      <w:r>
        <w:rPr>
          <w:rtl/>
        </w:rPr>
        <w:t>כדי שלא יזונו עיניהן מבית קדשי הקדשים</w:t>
      </w:r>
      <w:r>
        <w:rPr>
          <w:rFonts w:hint="cs"/>
          <w:rtl/>
        </w:rPr>
        <w:t xml:space="preserve">". לעלייה לרגל היה מעמד מיוחד. ומה גם שאם מדובר בפסח, נקוט בידינו הכלל שאם רוב העם טמא: "טומאה דחויה בציבור". </w:t>
      </w:r>
    </w:p>
  </w:footnote>
  <w:footnote w:id="12">
    <w:p w14:paraId="1B9AF165" w14:textId="77777777" w:rsidR="0094702D" w:rsidRDefault="0094702D">
      <w:pPr>
        <w:pStyle w:val="a3"/>
        <w:rPr>
          <w:rFonts w:hint="cs"/>
          <w:rtl/>
        </w:rPr>
      </w:pPr>
      <w:r>
        <w:rPr>
          <w:rStyle w:val="a5"/>
        </w:rPr>
        <w:footnoteRef/>
      </w:r>
      <w:r>
        <w:rPr>
          <w:rtl/>
        </w:rPr>
        <w:t xml:space="preserve"> </w:t>
      </w:r>
      <w:r>
        <w:rPr>
          <w:rFonts w:hint="cs"/>
          <w:rtl/>
        </w:rPr>
        <w:t>המדרש שם דן בארבעה בני אדם שהאהילו את עצמם ("עשו עצמם אלוה") והם: פרעה (הקשר לשמות רבה), חירם מלך צור, נבוכדנצר ויואש (או יהואש) מלך יהודה. בזה האחרון נתמקד.</w:t>
      </w:r>
    </w:p>
  </w:footnote>
  <w:footnote w:id="13">
    <w:p w14:paraId="222B6831" w14:textId="77777777" w:rsidR="0094702D" w:rsidRDefault="0094702D">
      <w:pPr>
        <w:pStyle w:val="a3"/>
        <w:rPr>
          <w:rFonts w:hint="cs"/>
        </w:rPr>
      </w:pPr>
      <w:r>
        <w:rPr>
          <w:rStyle w:val="a5"/>
        </w:rPr>
        <w:footnoteRef/>
      </w:r>
      <w:r>
        <w:rPr>
          <w:rtl/>
        </w:rPr>
        <w:t xml:space="preserve"> </w:t>
      </w:r>
      <w:r>
        <w:rPr>
          <w:rFonts w:hint="cs"/>
          <w:rtl/>
        </w:rPr>
        <w:t xml:space="preserve">ראו האירוע במלכים ב תחילת פרק יא (ובדברי הימים </w:t>
      </w:r>
      <w:r w:rsidR="006C7F17">
        <w:rPr>
          <w:rFonts w:hint="cs"/>
          <w:rtl/>
        </w:rPr>
        <w:t xml:space="preserve">ב פרק </w:t>
      </w:r>
      <w:proofErr w:type="spellStart"/>
      <w:r w:rsidR="006C7F17">
        <w:rPr>
          <w:rFonts w:hint="cs"/>
          <w:rtl/>
        </w:rPr>
        <w:t>כב</w:t>
      </w:r>
      <w:proofErr w:type="spellEnd"/>
      <w:r w:rsidR="006C7F17">
        <w:rPr>
          <w:rFonts w:hint="cs"/>
          <w:rtl/>
        </w:rPr>
        <w:t>)</w:t>
      </w:r>
      <w:r>
        <w:rPr>
          <w:rFonts w:hint="cs"/>
          <w:rtl/>
        </w:rPr>
        <w:t xml:space="preserve">, שלאחר </w:t>
      </w:r>
      <w:proofErr w:type="spellStart"/>
      <w:r>
        <w:rPr>
          <w:rFonts w:hint="cs"/>
          <w:rtl/>
        </w:rPr>
        <w:t>שיהוא</w:t>
      </w:r>
      <w:proofErr w:type="spellEnd"/>
      <w:r>
        <w:rPr>
          <w:rFonts w:hint="cs"/>
          <w:rtl/>
        </w:rPr>
        <w:t xml:space="preserve"> השמיד את</w:t>
      </w:r>
      <w:r w:rsidR="006C7F17">
        <w:rPr>
          <w:rFonts w:hint="cs"/>
          <w:rtl/>
        </w:rPr>
        <w:t xml:space="preserve"> בית אחאב, ביקשה עתליה להמית את כל צאצאי המלוכה, </w:t>
      </w:r>
      <w:proofErr w:type="spellStart"/>
      <w:r w:rsidR="006C7F17">
        <w:rPr>
          <w:rFonts w:hint="cs"/>
          <w:rtl/>
        </w:rPr>
        <w:t>ויהושבע</w:t>
      </w:r>
      <w:proofErr w:type="spellEnd"/>
      <w:r w:rsidR="006C7F17">
        <w:rPr>
          <w:rFonts w:hint="cs"/>
          <w:rtl/>
        </w:rPr>
        <w:t xml:space="preserve"> בשיתוף פעולה עם יהוידע הכהן החביאו את יואש בבית ה'. במקרא לא מצוין היכן בדיוק ובא המדרש ואומר שהחביאו אותו בקודש הקדשים.</w:t>
      </w:r>
    </w:p>
  </w:footnote>
  <w:footnote w:id="14">
    <w:p w14:paraId="7648D1A0" w14:textId="77777777" w:rsidR="003F0189" w:rsidRDefault="003F0189">
      <w:pPr>
        <w:pStyle w:val="a3"/>
        <w:rPr>
          <w:rFonts w:hint="cs"/>
        </w:rPr>
      </w:pPr>
      <w:r>
        <w:rPr>
          <w:rStyle w:val="a5"/>
        </w:rPr>
        <w:footnoteRef/>
      </w:r>
      <w:r>
        <w:rPr>
          <w:rtl/>
        </w:rPr>
        <w:t xml:space="preserve"> </w:t>
      </w:r>
      <w:r>
        <w:rPr>
          <w:rFonts w:hint="cs"/>
          <w:rtl/>
        </w:rPr>
        <w:t xml:space="preserve">אפשר שגם מקרה זה חורג מהדוגמאות שבקשנו להביא, אבל אילולי שעשה יהואש מעצמו אלוה (גם זה מהמדרש ואיננו במקרא), היה האירוע מסתיים בכי טוב. המקרא מעיד על יואש שעשה הישר בעיני ה' (כל עוד חי יהוידע הכהן ... מלכים ב </w:t>
      </w:r>
      <w:proofErr w:type="spellStart"/>
      <w:r>
        <w:rPr>
          <w:rFonts w:hint="cs"/>
          <w:rtl/>
        </w:rPr>
        <w:t>יב</w:t>
      </w:r>
      <w:proofErr w:type="spellEnd"/>
      <w:r>
        <w:rPr>
          <w:rFonts w:hint="cs"/>
          <w:rtl/>
        </w:rPr>
        <w:t xml:space="preserve"> ג) ומעניין לציין שיואש הוא זה שחיזק את בדק הבית ובכך אולי גמל למקדש על שנתן לו מסתור! אולי בשש השנים שהתחבא במקדש ראה גם את הבקיעים והסדקים</w:t>
      </w:r>
      <w:r w:rsidRPr="0018729C">
        <w:rPr>
          <w:rtl/>
        </w:rPr>
        <w:t xml:space="preserve"> </w:t>
      </w:r>
      <w:r>
        <w:rPr>
          <w:rFonts w:hint="cs"/>
          <w:rtl/>
        </w:rPr>
        <w:t>שנבעו במקדש, והרי לנו שוב הקשר לאומנים שיורדים אל המקדש לתקנו ולתחזקו.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389D" w14:textId="77777777" w:rsidR="00121DFC" w:rsidRDefault="0062227E" w:rsidP="00121DFC">
    <w:pPr>
      <w:pStyle w:val="1"/>
      <w:tabs>
        <w:tab w:val="clear" w:pos="9469"/>
        <w:tab w:val="right" w:pos="9299"/>
      </w:tabs>
      <w:rPr>
        <w:rFonts w:hint="cs"/>
        <w:rtl/>
        <w:lang w:eastAsia="en-US"/>
      </w:rPr>
    </w:pPr>
    <w:r>
      <w:rPr>
        <w:rFonts w:hint="cs"/>
        <w:rtl/>
        <w:lang w:eastAsia="en-US"/>
      </w:rPr>
      <w:t>דפים מיוחדים</w:t>
    </w:r>
    <w:r w:rsidR="00121DFC">
      <w:rPr>
        <w:rtl/>
        <w:lang w:eastAsia="en-US"/>
      </w:rPr>
      <w:tab/>
    </w:r>
    <w:r w:rsidR="00121DFC">
      <w:rPr>
        <w:rFonts w:hint="cs"/>
        <w:rtl/>
        <w:lang w:eastAsia="en-US"/>
      </w:rPr>
      <w:t>תשפ"</w:t>
    </w:r>
    <w:r w:rsidR="00EB7DF2">
      <w:rPr>
        <w:rFonts w:hint="cs"/>
        <w:rtl/>
        <w:lang w:eastAsia="en-US"/>
      </w:rPr>
      <w:t>ד</w:t>
    </w:r>
  </w:p>
  <w:p w14:paraId="0E4DB761"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19B6" w14:textId="22BB2F46"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665F4">
      <w:rPr>
        <w:szCs w:val="24"/>
        <w:rtl/>
      </w:rPr>
      <w:t>דפים מיוחדים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665F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C59DA"/>
    <w:multiLevelType w:val="hybridMultilevel"/>
    <w:tmpl w:val="7E24B8D2"/>
    <w:lvl w:ilvl="0" w:tplc="AFEEE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789181">
    <w:abstractNumId w:val="8"/>
  </w:num>
  <w:num w:numId="2" w16cid:durableId="1673946192">
    <w:abstractNumId w:val="3"/>
  </w:num>
  <w:num w:numId="3" w16cid:durableId="281882083">
    <w:abstractNumId w:val="2"/>
  </w:num>
  <w:num w:numId="4" w16cid:durableId="340085544">
    <w:abstractNumId w:val="1"/>
  </w:num>
  <w:num w:numId="5" w16cid:durableId="203913398">
    <w:abstractNumId w:val="0"/>
  </w:num>
  <w:num w:numId="6" w16cid:durableId="1031416269">
    <w:abstractNumId w:val="9"/>
  </w:num>
  <w:num w:numId="7" w16cid:durableId="1709989968">
    <w:abstractNumId w:val="7"/>
  </w:num>
  <w:num w:numId="8" w16cid:durableId="361320968">
    <w:abstractNumId w:val="6"/>
  </w:num>
  <w:num w:numId="9" w16cid:durableId="821317175">
    <w:abstractNumId w:val="5"/>
  </w:num>
  <w:num w:numId="10" w16cid:durableId="1638949032">
    <w:abstractNumId w:val="4"/>
  </w:num>
  <w:num w:numId="11" w16cid:durableId="1606112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Rua1AAircKQtAAAA"/>
  </w:docVars>
  <w:rsids>
    <w:rsidRoot w:val="00AA6A06"/>
    <w:rsid w:val="00002622"/>
    <w:rsid w:val="0001166E"/>
    <w:rsid w:val="00011838"/>
    <w:rsid w:val="00016C7C"/>
    <w:rsid w:val="00026277"/>
    <w:rsid w:val="00041383"/>
    <w:rsid w:val="00041D91"/>
    <w:rsid w:val="00045B2C"/>
    <w:rsid w:val="00053B64"/>
    <w:rsid w:val="00061035"/>
    <w:rsid w:val="00064EDE"/>
    <w:rsid w:val="00065714"/>
    <w:rsid w:val="00066D8D"/>
    <w:rsid w:val="000760BF"/>
    <w:rsid w:val="00077571"/>
    <w:rsid w:val="000843CD"/>
    <w:rsid w:val="000856E1"/>
    <w:rsid w:val="000900A5"/>
    <w:rsid w:val="000B1ABF"/>
    <w:rsid w:val="000B4CCB"/>
    <w:rsid w:val="000C44C3"/>
    <w:rsid w:val="000D51EE"/>
    <w:rsid w:val="000D5EFC"/>
    <w:rsid w:val="000F5457"/>
    <w:rsid w:val="000F6DAB"/>
    <w:rsid w:val="00105342"/>
    <w:rsid w:val="00114EFE"/>
    <w:rsid w:val="00121DFC"/>
    <w:rsid w:val="00140B2D"/>
    <w:rsid w:val="00141A7B"/>
    <w:rsid w:val="00142A18"/>
    <w:rsid w:val="0015155E"/>
    <w:rsid w:val="00152291"/>
    <w:rsid w:val="00152639"/>
    <w:rsid w:val="00157311"/>
    <w:rsid w:val="00163D35"/>
    <w:rsid w:val="001677DA"/>
    <w:rsid w:val="0017386C"/>
    <w:rsid w:val="00175065"/>
    <w:rsid w:val="00175BED"/>
    <w:rsid w:val="0018729C"/>
    <w:rsid w:val="00191B2D"/>
    <w:rsid w:val="001A6A4F"/>
    <w:rsid w:val="001E0E7C"/>
    <w:rsid w:val="001E119B"/>
    <w:rsid w:val="001E7B89"/>
    <w:rsid w:val="001E7C74"/>
    <w:rsid w:val="001F3AF0"/>
    <w:rsid w:val="001F631B"/>
    <w:rsid w:val="00202991"/>
    <w:rsid w:val="002076E0"/>
    <w:rsid w:val="002144BD"/>
    <w:rsid w:val="00215CB3"/>
    <w:rsid w:val="00215D91"/>
    <w:rsid w:val="00221F92"/>
    <w:rsid w:val="00263DA6"/>
    <w:rsid w:val="002648C6"/>
    <w:rsid w:val="002669F9"/>
    <w:rsid w:val="00271365"/>
    <w:rsid w:val="00271F2C"/>
    <w:rsid w:val="002742A1"/>
    <w:rsid w:val="002835DE"/>
    <w:rsid w:val="002967E1"/>
    <w:rsid w:val="00296E5C"/>
    <w:rsid w:val="002A4359"/>
    <w:rsid w:val="002A57E6"/>
    <w:rsid w:val="002A5EC1"/>
    <w:rsid w:val="002C7345"/>
    <w:rsid w:val="002D1D0D"/>
    <w:rsid w:val="002D3853"/>
    <w:rsid w:val="002D4561"/>
    <w:rsid w:val="002D7AD1"/>
    <w:rsid w:val="002E3B6B"/>
    <w:rsid w:val="002E6C37"/>
    <w:rsid w:val="002F054E"/>
    <w:rsid w:val="002F1646"/>
    <w:rsid w:val="002F37D0"/>
    <w:rsid w:val="00300AA9"/>
    <w:rsid w:val="003024AA"/>
    <w:rsid w:val="00305AF5"/>
    <w:rsid w:val="0031526B"/>
    <w:rsid w:val="0033439C"/>
    <w:rsid w:val="00343C99"/>
    <w:rsid w:val="0035081A"/>
    <w:rsid w:val="00361C15"/>
    <w:rsid w:val="00362083"/>
    <w:rsid w:val="003665F4"/>
    <w:rsid w:val="00370078"/>
    <w:rsid w:val="00372AE8"/>
    <w:rsid w:val="00380559"/>
    <w:rsid w:val="00384DF9"/>
    <w:rsid w:val="003A0768"/>
    <w:rsid w:val="003A0EBE"/>
    <w:rsid w:val="003A2E3E"/>
    <w:rsid w:val="003A4726"/>
    <w:rsid w:val="003B283D"/>
    <w:rsid w:val="003C090B"/>
    <w:rsid w:val="003C4B00"/>
    <w:rsid w:val="003C5B5D"/>
    <w:rsid w:val="003C5D1D"/>
    <w:rsid w:val="003D11A0"/>
    <w:rsid w:val="003D6719"/>
    <w:rsid w:val="003E38BB"/>
    <w:rsid w:val="003E47FF"/>
    <w:rsid w:val="003E7F31"/>
    <w:rsid w:val="003F0189"/>
    <w:rsid w:val="004061CC"/>
    <w:rsid w:val="00410063"/>
    <w:rsid w:val="00410AF3"/>
    <w:rsid w:val="00410F73"/>
    <w:rsid w:val="00413FF1"/>
    <w:rsid w:val="00414C22"/>
    <w:rsid w:val="0042175F"/>
    <w:rsid w:val="004218F5"/>
    <w:rsid w:val="00426E20"/>
    <w:rsid w:val="004309BA"/>
    <w:rsid w:val="004351F5"/>
    <w:rsid w:val="00440795"/>
    <w:rsid w:val="004516C6"/>
    <w:rsid w:val="00456430"/>
    <w:rsid w:val="00457655"/>
    <w:rsid w:val="00462C18"/>
    <w:rsid w:val="00464374"/>
    <w:rsid w:val="004808AA"/>
    <w:rsid w:val="0049743B"/>
    <w:rsid w:val="00497505"/>
    <w:rsid w:val="00497AB5"/>
    <w:rsid w:val="004C4CFD"/>
    <w:rsid w:val="004C54F9"/>
    <w:rsid w:val="004D112F"/>
    <w:rsid w:val="004D3868"/>
    <w:rsid w:val="004D6402"/>
    <w:rsid w:val="004D6800"/>
    <w:rsid w:val="004D7ADB"/>
    <w:rsid w:val="004F23CD"/>
    <w:rsid w:val="004F31F4"/>
    <w:rsid w:val="00505E29"/>
    <w:rsid w:val="00507212"/>
    <w:rsid w:val="00511B9A"/>
    <w:rsid w:val="005136DB"/>
    <w:rsid w:val="00516A16"/>
    <w:rsid w:val="00527EE6"/>
    <w:rsid w:val="00542705"/>
    <w:rsid w:val="0055139A"/>
    <w:rsid w:val="0055636A"/>
    <w:rsid w:val="0056701A"/>
    <w:rsid w:val="00582468"/>
    <w:rsid w:val="00590D32"/>
    <w:rsid w:val="00590FC8"/>
    <w:rsid w:val="00592B1C"/>
    <w:rsid w:val="005940F8"/>
    <w:rsid w:val="0059783C"/>
    <w:rsid w:val="005A24FD"/>
    <w:rsid w:val="005A3059"/>
    <w:rsid w:val="005A34CB"/>
    <w:rsid w:val="005A7433"/>
    <w:rsid w:val="005A7E5A"/>
    <w:rsid w:val="005B1B2E"/>
    <w:rsid w:val="005C5EF2"/>
    <w:rsid w:val="005D49A7"/>
    <w:rsid w:val="005D6CE2"/>
    <w:rsid w:val="005D7836"/>
    <w:rsid w:val="005E0802"/>
    <w:rsid w:val="005E2760"/>
    <w:rsid w:val="005E7B6C"/>
    <w:rsid w:val="005F42B4"/>
    <w:rsid w:val="005F4E7A"/>
    <w:rsid w:val="005F4F4E"/>
    <w:rsid w:val="005F5CBC"/>
    <w:rsid w:val="00606018"/>
    <w:rsid w:val="006070FE"/>
    <w:rsid w:val="00607508"/>
    <w:rsid w:val="0061156A"/>
    <w:rsid w:val="00613E7E"/>
    <w:rsid w:val="006172D8"/>
    <w:rsid w:val="0062227E"/>
    <w:rsid w:val="0063050C"/>
    <w:rsid w:val="00632DE4"/>
    <w:rsid w:val="00634E93"/>
    <w:rsid w:val="0064305B"/>
    <w:rsid w:val="00645127"/>
    <w:rsid w:val="0064535A"/>
    <w:rsid w:val="00650341"/>
    <w:rsid w:val="00651159"/>
    <w:rsid w:val="00651CEB"/>
    <w:rsid w:val="00652FFC"/>
    <w:rsid w:val="0066060C"/>
    <w:rsid w:val="00662837"/>
    <w:rsid w:val="006635F7"/>
    <w:rsid w:val="006702F6"/>
    <w:rsid w:val="00671253"/>
    <w:rsid w:val="0067315F"/>
    <w:rsid w:val="00685988"/>
    <w:rsid w:val="006A64DF"/>
    <w:rsid w:val="006B36A6"/>
    <w:rsid w:val="006C468D"/>
    <w:rsid w:val="006C7D4F"/>
    <w:rsid w:val="006C7F17"/>
    <w:rsid w:val="006E072B"/>
    <w:rsid w:val="006E2B0F"/>
    <w:rsid w:val="0071023E"/>
    <w:rsid w:val="007142E2"/>
    <w:rsid w:val="00714E6D"/>
    <w:rsid w:val="00727461"/>
    <w:rsid w:val="00732457"/>
    <w:rsid w:val="00734305"/>
    <w:rsid w:val="007360C3"/>
    <w:rsid w:val="007572EC"/>
    <w:rsid w:val="00763446"/>
    <w:rsid w:val="00771454"/>
    <w:rsid w:val="00773244"/>
    <w:rsid w:val="007736EB"/>
    <w:rsid w:val="00775D76"/>
    <w:rsid w:val="00791698"/>
    <w:rsid w:val="00791AA7"/>
    <w:rsid w:val="00795A0E"/>
    <w:rsid w:val="007A0D78"/>
    <w:rsid w:val="007B6A21"/>
    <w:rsid w:val="007C2404"/>
    <w:rsid w:val="007C4407"/>
    <w:rsid w:val="007C6FAD"/>
    <w:rsid w:val="007D00DA"/>
    <w:rsid w:val="007D4302"/>
    <w:rsid w:val="007D55E5"/>
    <w:rsid w:val="007E548B"/>
    <w:rsid w:val="007F1193"/>
    <w:rsid w:val="007F1ED4"/>
    <w:rsid w:val="007F61E7"/>
    <w:rsid w:val="007F749A"/>
    <w:rsid w:val="0080046C"/>
    <w:rsid w:val="0080145E"/>
    <w:rsid w:val="00801E0F"/>
    <w:rsid w:val="00802DC8"/>
    <w:rsid w:val="00812439"/>
    <w:rsid w:val="00815BBA"/>
    <w:rsid w:val="008173E9"/>
    <w:rsid w:val="008269AD"/>
    <w:rsid w:val="00831563"/>
    <w:rsid w:val="00833F70"/>
    <w:rsid w:val="00860028"/>
    <w:rsid w:val="00863FD9"/>
    <w:rsid w:val="008650CE"/>
    <w:rsid w:val="00882F30"/>
    <w:rsid w:val="00883231"/>
    <w:rsid w:val="008846CA"/>
    <w:rsid w:val="008901D4"/>
    <w:rsid w:val="00896D2D"/>
    <w:rsid w:val="008A3773"/>
    <w:rsid w:val="008A37F6"/>
    <w:rsid w:val="008B52BD"/>
    <w:rsid w:val="008B6D30"/>
    <w:rsid w:val="008C0092"/>
    <w:rsid w:val="008D215A"/>
    <w:rsid w:val="008D7803"/>
    <w:rsid w:val="008D7863"/>
    <w:rsid w:val="008F15BD"/>
    <w:rsid w:val="00915A37"/>
    <w:rsid w:val="009266F1"/>
    <w:rsid w:val="00942099"/>
    <w:rsid w:val="009437D6"/>
    <w:rsid w:val="00944353"/>
    <w:rsid w:val="00945BFC"/>
    <w:rsid w:val="0094702D"/>
    <w:rsid w:val="009639AA"/>
    <w:rsid w:val="00966521"/>
    <w:rsid w:val="009805A5"/>
    <w:rsid w:val="00982F5E"/>
    <w:rsid w:val="00986DE9"/>
    <w:rsid w:val="009900C2"/>
    <w:rsid w:val="0099205C"/>
    <w:rsid w:val="009A4B9A"/>
    <w:rsid w:val="009B09C8"/>
    <w:rsid w:val="009B29D8"/>
    <w:rsid w:val="009B5510"/>
    <w:rsid w:val="009C15E0"/>
    <w:rsid w:val="009C3552"/>
    <w:rsid w:val="009C4CA3"/>
    <w:rsid w:val="009D18C6"/>
    <w:rsid w:val="009D55F9"/>
    <w:rsid w:val="009D76B5"/>
    <w:rsid w:val="009D7BB6"/>
    <w:rsid w:val="009E0E50"/>
    <w:rsid w:val="009E3365"/>
    <w:rsid w:val="009E5B27"/>
    <w:rsid w:val="009E5EBD"/>
    <w:rsid w:val="009E757E"/>
    <w:rsid w:val="009F50E6"/>
    <w:rsid w:val="009F75EC"/>
    <w:rsid w:val="00A070CF"/>
    <w:rsid w:val="00A151CE"/>
    <w:rsid w:val="00A27800"/>
    <w:rsid w:val="00A32C0D"/>
    <w:rsid w:val="00A41949"/>
    <w:rsid w:val="00A539A8"/>
    <w:rsid w:val="00A54BB9"/>
    <w:rsid w:val="00A54EDD"/>
    <w:rsid w:val="00A64C84"/>
    <w:rsid w:val="00A7672E"/>
    <w:rsid w:val="00A878E4"/>
    <w:rsid w:val="00A904C9"/>
    <w:rsid w:val="00A90B93"/>
    <w:rsid w:val="00A927D8"/>
    <w:rsid w:val="00A941D8"/>
    <w:rsid w:val="00A97524"/>
    <w:rsid w:val="00AA6A06"/>
    <w:rsid w:val="00AC6161"/>
    <w:rsid w:val="00AD486B"/>
    <w:rsid w:val="00AE1404"/>
    <w:rsid w:val="00AE5550"/>
    <w:rsid w:val="00AE6344"/>
    <w:rsid w:val="00AF3C28"/>
    <w:rsid w:val="00AF4E49"/>
    <w:rsid w:val="00AF7E53"/>
    <w:rsid w:val="00B3162B"/>
    <w:rsid w:val="00B351F2"/>
    <w:rsid w:val="00B40631"/>
    <w:rsid w:val="00B46D0C"/>
    <w:rsid w:val="00B46E94"/>
    <w:rsid w:val="00B57DC1"/>
    <w:rsid w:val="00B63D43"/>
    <w:rsid w:val="00B670E3"/>
    <w:rsid w:val="00B73290"/>
    <w:rsid w:val="00B75998"/>
    <w:rsid w:val="00B90EDD"/>
    <w:rsid w:val="00B927E3"/>
    <w:rsid w:val="00BA0194"/>
    <w:rsid w:val="00BA44D9"/>
    <w:rsid w:val="00BA61C8"/>
    <w:rsid w:val="00BC0278"/>
    <w:rsid w:val="00BD1B9B"/>
    <w:rsid w:val="00BD1CB9"/>
    <w:rsid w:val="00BD37CE"/>
    <w:rsid w:val="00BD57F7"/>
    <w:rsid w:val="00BF0F4F"/>
    <w:rsid w:val="00BF34A4"/>
    <w:rsid w:val="00BF6410"/>
    <w:rsid w:val="00C0751F"/>
    <w:rsid w:val="00C15CCE"/>
    <w:rsid w:val="00C17781"/>
    <w:rsid w:val="00C17CD0"/>
    <w:rsid w:val="00C233A0"/>
    <w:rsid w:val="00C24F18"/>
    <w:rsid w:val="00C26266"/>
    <w:rsid w:val="00C3215A"/>
    <w:rsid w:val="00C37AAB"/>
    <w:rsid w:val="00C40770"/>
    <w:rsid w:val="00C61C1B"/>
    <w:rsid w:val="00C96DBD"/>
    <w:rsid w:val="00CA7959"/>
    <w:rsid w:val="00CC0773"/>
    <w:rsid w:val="00CD3BA6"/>
    <w:rsid w:val="00CF08AA"/>
    <w:rsid w:val="00CF5415"/>
    <w:rsid w:val="00CF7511"/>
    <w:rsid w:val="00D0053D"/>
    <w:rsid w:val="00D0070C"/>
    <w:rsid w:val="00D0493B"/>
    <w:rsid w:val="00D076B1"/>
    <w:rsid w:val="00D21DF4"/>
    <w:rsid w:val="00D26A05"/>
    <w:rsid w:val="00D41319"/>
    <w:rsid w:val="00D41A38"/>
    <w:rsid w:val="00D50FE1"/>
    <w:rsid w:val="00D511C3"/>
    <w:rsid w:val="00D55ACF"/>
    <w:rsid w:val="00D603FF"/>
    <w:rsid w:val="00D63538"/>
    <w:rsid w:val="00D66F9C"/>
    <w:rsid w:val="00D71866"/>
    <w:rsid w:val="00D72C7C"/>
    <w:rsid w:val="00D750C6"/>
    <w:rsid w:val="00D8086E"/>
    <w:rsid w:val="00D8510B"/>
    <w:rsid w:val="00D922CA"/>
    <w:rsid w:val="00D928DC"/>
    <w:rsid w:val="00DA0E02"/>
    <w:rsid w:val="00DA1B58"/>
    <w:rsid w:val="00DA5B9C"/>
    <w:rsid w:val="00DC220B"/>
    <w:rsid w:val="00DD12A7"/>
    <w:rsid w:val="00DD351B"/>
    <w:rsid w:val="00DD3816"/>
    <w:rsid w:val="00DD4759"/>
    <w:rsid w:val="00DE0025"/>
    <w:rsid w:val="00DE10D2"/>
    <w:rsid w:val="00DF54C9"/>
    <w:rsid w:val="00E04B6E"/>
    <w:rsid w:val="00E0542D"/>
    <w:rsid w:val="00E05BAC"/>
    <w:rsid w:val="00E156A0"/>
    <w:rsid w:val="00E203AF"/>
    <w:rsid w:val="00E231FF"/>
    <w:rsid w:val="00E2783B"/>
    <w:rsid w:val="00E4095E"/>
    <w:rsid w:val="00E458F9"/>
    <w:rsid w:val="00E4683B"/>
    <w:rsid w:val="00E468A6"/>
    <w:rsid w:val="00E5300F"/>
    <w:rsid w:val="00E532BE"/>
    <w:rsid w:val="00E542BB"/>
    <w:rsid w:val="00E5497D"/>
    <w:rsid w:val="00E569BB"/>
    <w:rsid w:val="00E637A0"/>
    <w:rsid w:val="00E673D4"/>
    <w:rsid w:val="00E72066"/>
    <w:rsid w:val="00E76A69"/>
    <w:rsid w:val="00E81C56"/>
    <w:rsid w:val="00E853F5"/>
    <w:rsid w:val="00E86BED"/>
    <w:rsid w:val="00E90B51"/>
    <w:rsid w:val="00E91005"/>
    <w:rsid w:val="00E9283B"/>
    <w:rsid w:val="00E97A3B"/>
    <w:rsid w:val="00EA5410"/>
    <w:rsid w:val="00EB150F"/>
    <w:rsid w:val="00EB2124"/>
    <w:rsid w:val="00EB2C22"/>
    <w:rsid w:val="00EB7DF2"/>
    <w:rsid w:val="00EC0C62"/>
    <w:rsid w:val="00EC6480"/>
    <w:rsid w:val="00ED2051"/>
    <w:rsid w:val="00ED7F14"/>
    <w:rsid w:val="00EE4E6E"/>
    <w:rsid w:val="00EE6B1A"/>
    <w:rsid w:val="00EF2728"/>
    <w:rsid w:val="00EF58AB"/>
    <w:rsid w:val="00F14600"/>
    <w:rsid w:val="00F16785"/>
    <w:rsid w:val="00F31E4D"/>
    <w:rsid w:val="00F3587B"/>
    <w:rsid w:val="00F37E74"/>
    <w:rsid w:val="00F556DC"/>
    <w:rsid w:val="00F64E5A"/>
    <w:rsid w:val="00F75CFC"/>
    <w:rsid w:val="00F82B90"/>
    <w:rsid w:val="00F87EAD"/>
    <w:rsid w:val="00F90283"/>
    <w:rsid w:val="00F9135A"/>
    <w:rsid w:val="00F930B6"/>
    <w:rsid w:val="00F95486"/>
    <w:rsid w:val="00FA7926"/>
    <w:rsid w:val="00FB0439"/>
    <w:rsid w:val="00FC469E"/>
    <w:rsid w:val="00FC7C96"/>
    <w:rsid w:val="00FD7678"/>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9EEF87"/>
  <w15:chartTrackingRefBased/>
  <w15:docId w15:val="{9C492439-F2E3-4298-9775-C52C8002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A16"/>
    <w:pPr>
      <w:bidi/>
    </w:pPr>
    <w:rPr>
      <w:rFonts w:cs="Narkisim"/>
      <w:sz w:val="22"/>
      <w:szCs w:val="22"/>
      <w:lang w:val="en-US" w:eastAsia="he-IL"/>
    </w:rPr>
  </w:style>
  <w:style w:type="paragraph" w:styleId="1">
    <w:name w:val="heading 1"/>
    <w:basedOn w:val="a"/>
    <w:next w:val="a"/>
    <w:link w:val="10"/>
    <w:qFormat/>
    <w:rsid w:val="00516A16"/>
    <w:pPr>
      <w:keepNext/>
      <w:tabs>
        <w:tab w:val="right" w:pos="9469"/>
      </w:tabs>
      <w:jc w:val="both"/>
      <w:outlineLvl w:val="0"/>
    </w:pPr>
    <w:rPr>
      <w:rFonts w:cs="David"/>
      <w:b/>
      <w:bCs/>
      <w:szCs w:val="28"/>
    </w:rPr>
  </w:style>
  <w:style w:type="character" w:default="1" w:styleId="a0">
    <w:name w:val="Default Paragraph Font"/>
    <w:uiPriority w:val="1"/>
    <w:semiHidden/>
    <w:unhideWhenUsed/>
    <w:rsid w:val="00516A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16A16"/>
  </w:style>
  <w:style w:type="paragraph" w:styleId="a3">
    <w:name w:val="footnote text"/>
    <w:basedOn w:val="a"/>
    <w:link w:val="a4"/>
    <w:rsid w:val="00516A16"/>
    <w:pPr>
      <w:ind w:left="170" w:hanging="170"/>
      <w:jc w:val="both"/>
    </w:pPr>
    <w:rPr>
      <w:sz w:val="20"/>
      <w:szCs w:val="20"/>
    </w:rPr>
  </w:style>
  <w:style w:type="character" w:styleId="a5">
    <w:name w:val="footnote reference"/>
    <w:semiHidden/>
    <w:rsid w:val="00516A16"/>
    <w:rPr>
      <w:vertAlign w:val="superscript"/>
    </w:rPr>
  </w:style>
  <w:style w:type="paragraph" w:styleId="a6">
    <w:name w:val="header"/>
    <w:basedOn w:val="a"/>
    <w:link w:val="a7"/>
    <w:rsid w:val="00516A16"/>
    <w:pPr>
      <w:tabs>
        <w:tab w:val="center" w:pos="4153"/>
        <w:tab w:val="right" w:pos="8306"/>
      </w:tabs>
    </w:pPr>
  </w:style>
  <w:style w:type="paragraph" w:styleId="a8">
    <w:name w:val="footer"/>
    <w:basedOn w:val="a"/>
    <w:link w:val="a9"/>
    <w:rsid w:val="00516A16"/>
    <w:pPr>
      <w:tabs>
        <w:tab w:val="center" w:pos="4153"/>
        <w:tab w:val="right" w:pos="8306"/>
      </w:tabs>
    </w:pPr>
  </w:style>
  <w:style w:type="paragraph" w:customStyle="1" w:styleId="aa">
    <w:name w:val="כותרת"/>
    <w:basedOn w:val="a"/>
    <w:rsid w:val="00516A16"/>
    <w:pPr>
      <w:spacing w:before="240" w:line="320" w:lineRule="atLeast"/>
      <w:jc w:val="center"/>
    </w:pPr>
    <w:rPr>
      <w:rFonts w:cs="David"/>
      <w:b/>
      <w:bCs/>
      <w:spacing w:val="20"/>
      <w:szCs w:val="32"/>
    </w:rPr>
  </w:style>
  <w:style w:type="paragraph" w:customStyle="1" w:styleId="ab">
    <w:name w:val="כותרת קטע"/>
    <w:basedOn w:val="a"/>
    <w:link w:val="Char"/>
    <w:rsid w:val="00516A16"/>
    <w:pPr>
      <w:spacing w:before="240" w:line="300" w:lineRule="atLeast"/>
    </w:pPr>
    <w:rPr>
      <w:rFonts w:cs="Arial"/>
      <w:b/>
      <w:bCs/>
      <w:szCs w:val="24"/>
    </w:rPr>
  </w:style>
  <w:style w:type="paragraph" w:customStyle="1" w:styleId="ac">
    <w:name w:val="מקור"/>
    <w:basedOn w:val="a"/>
    <w:rsid w:val="00516A16"/>
    <w:pPr>
      <w:spacing w:line="320" w:lineRule="atLeast"/>
      <w:jc w:val="both"/>
    </w:pPr>
    <w:rPr>
      <w:rFonts w:cs="David"/>
      <w:szCs w:val="24"/>
    </w:rPr>
  </w:style>
  <w:style w:type="paragraph" w:customStyle="1" w:styleId="ad">
    <w:name w:val="מחלקי המים"/>
    <w:basedOn w:val="a"/>
    <w:rsid w:val="00516A16"/>
    <w:pPr>
      <w:spacing w:line="320" w:lineRule="atLeast"/>
      <w:jc w:val="both"/>
    </w:pPr>
    <w:rPr>
      <w:b/>
      <w:bCs/>
      <w:szCs w:val="24"/>
    </w:rPr>
  </w:style>
  <w:style w:type="character" w:styleId="Hyperlink">
    <w:name w:val="Hyperlink"/>
    <w:rsid w:val="00516A16"/>
    <w:rPr>
      <w:color w:val="0000FF"/>
      <w:u w:val="single"/>
    </w:rPr>
  </w:style>
  <w:style w:type="paragraph" w:styleId="ae">
    <w:name w:val="Balloon Text"/>
    <w:basedOn w:val="a"/>
    <w:link w:val="af"/>
    <w:uiPriority w:val="99"/>
    <w:semiHidden/>
    <w:unhideWhenUsed/>
    <w:rsid w:val="00516A16"/>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516A16"/>
    <w:rPr>
      <w:rFonts w:cs="Narkisim"/>
      <w:lang w:val="en-US" w:eastAsia="he-IL"/>
    </w:rPr>
  </w:style>
  <w:style w:type="character" w:customStyle="1" w:styleId="10">
    <w:name w:val="כותרת 1 תו"/>
    <w:link w:val="1"/>
    <w:rsid w:val="00516A16"/>
    <w:rPr>
      <w:rFonts w:cs="David"/>
      <w:b/>
      <w:bCs/>
      <w:sz w:val="22"/>
      <w:szCs w:val="28"/>
      <w:lang w:val="en-US" w:eastAsia="he-IL"/>
    </w:rPr>
  </w:style>
  <w:style w:type="character" w:customStyle="1" w:styleId="a7">
    <w:name w:val="כותרת עליונה תו"/>
    <w:link w:val="a6"/>
    <w:rsid w:val="00516A16"/>
    <w:rPr>
      <w:rFonts w:cs="Narkisim"/>
      <w:sz w:val="22"/>
      <w:szCs w:val="22"/>
      <w:lang w:val="en-US" w:eastAsia="he-IL"/>
    </w:rPr>
  </w:style>
  <w:style w:type="character" w:customStyle="1" w:styleId="a9">
    <w:name w:val="כותרת תחתונה תו"/>
    <w:link w:val="a8"/>
    <w:rsid w:val="00516A16"/>
    <w:rPr>
      <w:rFonts w:cs="Narkisim"/>
      <w:sz w:val="22"/>
      <w:szCs w:val="22"/>
      <w:lang w:val="en-US" w:eastAsia="he-IL"/>
    </w:rPr>
  </w:style>
  <w:style w:type="character" w:customStyle="1" w:styleId="af">
    <w:name w:val="טקסט בלונים תו"/>
    <w:link w:val="ae"/>
    <w:uiPriority w:val="99"/>
    <w:semiHidden/>
    <w:rsid w:val="00516A16"/>
    <w:rPr>
      <w:rFonts w:ascii="Tahoma" w:hAnsi="Tahoma" w:cs="Tahoma"/>
      <w:sz w:val="16"/>
      <w:szCs w:val="16"/>
      <w:lang w:val="en-US" w:eastAsia="he-IL"/>
    </w:rPr>
  </w:style>
  <w:style w:type="paragraph" w:customStyle="1" w:styleId="af1">
    <w:name w:val="פסוק"/>
    <w:basedOn w:val="ac"/>
    <w:qFormat/>
    <w:rsid w:val="00516A16"/>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 w:id="1937907457">
      <w:bodyDiv w:val="1"/>
      <w:marLeft w:val="0"/>
      <w:marRight w:val="0"/>
      <w:marTop w:val="0"/>
      <w:marBottom w:val="0"/>
      <w:divBdr>
        <w:top w:val="none" w:sz="0" w:space="0" w:color="auto"/>
        <w:left w:val="none" w:sz="0" w:space="0" w:color="auto"/>
        <w:bottom w:val="none" w:sz="0" w:space="0" w:color="auto"/>
        <w:right w:val="none" w:sz="0" w:space="0" w:color="auto"/>
      </w:divBdr>
      <w:divsChild>
        <w:div w:id="133959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95%D7%A8%D7%94-%D7%97%D7%AA%D7%95%D7%9E%D7%94-%D7%A0%D7%99%D7%AA%D7%A0%D7%94-%D7%90%D7%95-%D7%9E%D7%92%D7%99%D7%9C%D7%94-%D7%9E%D7%92%D7%99%D7%9C%D7%94-%D7%A0%D7%99%D7%AA%D7%A0%D7%94" TargetMode="External"/><Relationship Id="rId2" Type="http://schemas.openxmlformats.org/officeDocument/2006/relationships/hyperlink" Target="https://fjms.genizah.org/?UIT=" TargetMode="External"/><Relationship Id="rId1" Type="http://schemas.openxmlformats.org/officeDocument/2006/relationships/hyperlink" Target="https://wiki.temple.org.il/wt/%D7%A2%D7%9C%D7%99%D7%99%D7%94" TargetMode="External"/><Relationship Id="rId4" Type="http://schemas.openxmlformats.org/officeDocument/2006/relationships/hyperlink" Target="https://www.mayim.org.il/?parasha=%D7%95%D7%99%D7%A9%D7%9E%D7%A2-%D7%90%D7%AA-%D7%94%D7%A7%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526</Words>
  <Characters>2206</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2727</CharactersWithSpaces>
  <SharedDoc>false</SharedDoc>
  <HLinks>
    <vt:vector size="24" baseType="variant">
      <vt:variant>
        <vt:i4>3539066</vt:i4>
      </vt:variant>
      <vt:variant>
        <vt:i4>9</vt:i4>
      </vt:variant>
      <vt:variant>
        <vt:i4>0</vt:i4>
      </vt:variant>
      <vt:variant>
        <vt:i4>5</vt:i4>
      </vt:variant>
      <vt:variant>
        <vt:lpwstr>https://www.mayim.org.il/?parasha=%D7%95%D7%99%D7%A9%D7%9E%D7%A2-%D7%90%D7%AA-%D7%94%D7%A7%D7%95%D7%9C</vt:lpwstr>
      </vt:variant>
      <vt:variant>
        <vt:lpwstr>gsc.tab=0</vt:lpwstr>
      </vt:variant>
      <vt:variant>
        <vt:i4>6357103</vt:i4>
      </vt:variant>
      <vt:variant>
        <vt:i4>6</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7340154</vt:i4>
      </vt:variant>
      <vt:variant>
        <vt:i4>3</vt:i4>
      </vt:variant>
      <vt:variant>
        <vt:i4>0</vt:i4>
      </vt:variant>
      <vt:variant>
        <vt:i4>5</vt:i4>
      </vt:variant>
      <vt:variant>
        <vt:lpwstr>https://fjms.genizah.org/?UIT=</vt:lpwstr>
      </vt:variant>
      <vt:variant>
        <vt:lpwstr/>
      </vt:variant>
      <vt:variant>
        <vt:i4>393291</vt:i4>
      </vt:variant>
      <vt:variant>
        <vt:i4>0</vt:i4>
      </vt:variant>
      <vt:variant>
        <vt:i4>0</vt:i4>
      </vt:variant>
      <vt:variant>
        <vt:i4>5</vt:i4>
      </vt:variant>
      <vt:variant>
        <vt:lpwstr>https://wiki.temple.org.il/wt/%D7%A2%D7%9C%D7%99%D7%99%D7%94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נכנס לקודש הקדשים ומתי</dc:title>
  <dc:subject>דפים מיוחדים</dc:subject>
  <dc:creator>Asher Yuval</dc:creator>
  <cp:keywords/>
  <cp:lastModifiedBy>Shimon Afek</cp:lastModifiedBy>
  <cp:revision>3</cp:revision>
  <cp:lastPrinted>2023-11-28T16:26:00Z</cp:lastPrinted>
  <dcterms:created xsi:type="dcterms:W3CDTF">2023-11-28T16:26:00Z</dcterms:created>
  <dcterms:modified xsi:type="dcterms:W3CDTF">2023-11-28T16:26:00Z</dcterms:modified>
</cp:coreProperties>
</file>