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E383" w14:textId="77777777" w:rsidR="00AB4622" w:rsidRDefault="00AB4622" w:rsidP="00AB4622">
      <w:pPr>
        <w:pStyle w:val="aa"/>
        <w:rPr>
          <w:rFonts w:hint="cs"/>
          <w:rtl/>
        </w:rPr>
      </w:pPr>
      <w:r>
        <w:rPr>
          <w:rFonts w:hint="cs"/>
          <w:rtl/>
        </w:rPr>
        <w:t>טהורה לבעל וטהורה לבועל</w:t>
      </w:r>
    </w:p>
    <w:p w14:paraId="7791CB77" w14:textId="77777777" w:rsidR="00AB4622" w:rsidRDefault="00AB4622" w:rsidP="00AB4622">
      <w:pPr>
        <w:pStyle w:val="aa"/>
        <w:rPr>
          <w:rFonts w:hint="cs"/>
          <w:rtl/>
        </w:rPr>
      </w:pPr>
      <w:r>
        <w:rPr>
          <w:rFonts w:hint="cs"/>
          <w:rtl/>
        </w:rPr>
        <w:t>מבט אחר על פרשת סוטה?</w:t>
      </w:r>
    </w:p>
    <w:p w14:paraId="2F377AE3" w14:textId="77777777" w:rsidR="00AB4622" w:rsidRPr="00DA6FD6" w:rsidRDefault="00AB4622" w:rsidP="00AB4622">
      <w:pPr>
        <w:pStyle w:val="ab"/>
        <w:rPr>
          <w:rtl/>
          <w:lang w:val="he-IL"/>
        </w:rPr>
      </w:pPr>
      <w:r w:rsidRPr="00DA6FD6">
        <w:rPr>
          <w:rtl/>
          <w:lang w:val="he-IL"/>
        </w:rPr>
        <w:t xml:space="preserve">ספרי במדבר פרשת נשא פיסקא יט </w:t>
      </w:r>
      <w:r w:rsidR="007F20C9">
        <w:rPr>
          <w:rtl/>
          <w:lang w:val="he-IL"/>
        </w:rPr>
        <w:t>–</w:t>
      </w:r>
      <w:r w:rsidR="007F20C9">
        <w:rPr>
          <w:rFonts w:hint="cs"/>
          <w:rtl/>
          <w:lang w:val="he-IL"/>
        </w:rPr>
        <w:t xml:space="preserve"> אם לא נטמאה וטהורה היא</w:t>
      </w:r>
    </w:p>
    <w:p w14:paraId="7E721B2C" w14:textId="77777777" w:rsidR="00AB4622" w:rsidRDefault="00AB4622" w:rsidP="00AB4622">
      <w:pPr>
        <w:pStyle w:val="ac"/>
        <w:rPr>
          <w:rFonts w:hint="cs"/>
          <w:rtl/>
          <w:lang w:val="he-IL"/>
        </w:rPr>
      </w:pPr>
      <w:r w:rsidRPr="00DA6FD6">
        <w:rPr>
          <w:rtl/>
          <w:lang w:val="he-IL"/>
        </w:rPr>
        <w:t>ואם לא נטמאה האשה וטהורה היא, טהורה לבעל וטהורה לבועל וטהורה לתרומה</w:t>
      </w:r>
      <w:r>
        <w:rPr>
          <w:rFonts w:hint="cs"/>
          <w:rtl/>
          <w:lang w:val="he-IL"/>
        </w:rPr>
        <w:t>.</w:t>
      </w:r>
      <w:r>
        <w:rPr>
          <w:rStyle w:val="a5"/>
          <w:rtl/>
          <w:lang w:val="he-IL"/>
        </w:rPr>
        <w:footnoteReference w:id="1"/>
      </w:r>
    </w:p>
    <w:p w14:paraId="7A895679" w14:textId="77777777" w:rsidR="00AB4622" w:rsidRPr="008C7CC9" w:rsidRDefault="00AB4622" w:rsidP="00AB4622">
      <w:pPr>
        <w:pStyle w:val="ab"/>
        <w:rPr>
          <w:rtl/>
          <w:lang w:val="he-IL"/>
        </w:rPr>
      </w:pPr>
      <w:r>
        <w:rPr>
          <w:rFonts w:hint="cs"/>
          <w:rtl/>
          <w:lang w:val="he-IL"/>
        </w:rPr>
        <w:t>מ</w:t>
      </w:r>
      <w:r w:rsidRPr="008C7CC9">
        <w:rPr>
          <w:rtl/>
          <w:lang w:val="he-IL"/>
        </w:rPr>
        <w:t xml:space="preserve">סכת סוטה פרק ה </w:t>
      </w:r>
      <w:r>
        <w:rPr>
          <w:rFonts w:hint="cs"/>
          <w:rtl/>
          <w:lang w:val="he-IL"/>
        </w:rPr>
        <w:t>משנה א</w:t>
      </w:r>
      <w:r w:rsidR="00AD2D7D">
        <w:rPr>
          <w:rFonts w:hint="cs"/>
          <w:rtl/>
          <w:lang w:val="he-IL"/>
        </w:rPr>
        <w:t xml:space="preserve"> </w:t>
      </w:r>
      <w:r w:rsidR="00AD2D7D">
        <w:rPr>
          <w:rtl/>
          <w:lang w:val="he-IL"/>
        </w:rPr>
        <w:t>–</w:t>
      </w:r>
      <w:r w:rsidR="00AD2D7D">
        <w:rPr>
          <w:rFonts w:hint="cs"/>
          <w:rtl/>
          <w:lang w:val="he-IL"/>
        </w:rPr>
        <w:t xml:space="preserve"> המים בודקים גם "אותו"</w:t>
      </w:r>
    </w:p>
    <w:p w14:paraId="01C76AF4" w14:textId="77777777" w:rsidR="00AB4622" w:rsidRDefault="00AB4622" w:rsidP="00AB4622">
      <w:pPr>
        <w:pStyle w:val="ac"/>
        <w:rPr>
          <w:rFonts w:hint="cs"/>
          <w:rtl/>
          <w:lang w:val="he-IL"/>
        </w:rPr>
      </w:pPr>
      <w:r w:rsidRPr="008C7CC9">
        <w:rPr>
          <w:rtl/>
          <w:lang w:val="he-IL"/>
        </w:rPr>
        <w:t>כשם שהמים בודקין אותה</w:t>
      </w:r>
      <w:r>
        <w:rPr>
          <w:rFonts w:hint="cs"/>
          <w:rtl/>
          <w:lang w:val="he-IL"/>
        </w:rPr>
        <w:t>,</w:t>
      </w:r>
      <w:r w:rsidRPr="008C7CC9">
        <w:rPr>
          <w:rtl/>
          <w:lang w:val="he-IL"/>
        </w:rPr>
        <w:t xml:space="preserve"> כך המים בודקין אותו</w:t>
      </w:r>
      <w:r>
        <w:rPr>
          <w:rFonts w:hint="cs"/>
          <w:rtl/>
          <w:lang w:val="he-IL"/>
        </w:rPr>
        <w:t>,</w:t>
      </w:r>
      <w:r w:rsidRPr="008C7CC9">
        <w:rPr>
          <w:rtl/>
          <w:lang w:val="he-IL"/>
        </w:rPr>
        <w:t xml:space="preserve"> שנאמר</w:t>
      </w:r>
      <w:r>
        <w:rPr>
          <w:rFonts w:hint="cs"/>
          <w:rtl/>
          <w:lang w:val="he-IL"/>
        </w:rPr>
        <w:t>:</w:t>
      </w:r>
      <w:r w:rsidRPr="008C7CC9">
        <w:rPr>
          <w:rtl/>
          <w:lang w:val="he-IL"/>
        </w:rPr>
        <w:t xml:space="preserve"> </w:t>
      </w:r>
      <w:r>
        <w:rPr>
          <w:rFonts w:hint="cs"/>
          <w:rtl/>
          <w:lang w:val="he-IL"/>
        </w:rPr>
        <w:t>"</w:t>
      </w:r>
      <w:r w:rsidRPr="008C7CC9">
        <w:rPr>
          <w:rtl/>
          <w:lang w:val="he-IL"/>
        </w:rPr>
        <w:t>ובאו</w:t>
      </w:r>
      <w:r>
        <w:rPr>
          <w:rFonts w:hint="cs"/>
          <w:rtl/>
          <w:lang w:val="he-IL"/>
        </w:rPr>
        <w:t>"</w:t>
      </w:r>
      <w:r w:rsidRPr="008C7CC9">
        <w:rPr>
          <w:rtl/>
          <w:lang w:val="he-IL"/>
        </w:rPr>
        <w:t xml:space="preserve"> </w:t>
      </w:r>
      <w:r>
        <w:rPr>
          <w:rFonts w:hint="cs"/>
          <w:rtl/>
          <w:lang w:val="he-IL"/>
        </w:rPr>
        <w:t>"</w:t>
      </w:r>
      <w:r w:rsidRPr="008C7CC9">
        <w:rPr>
          <w:rtl/>
          <w:lang w:val="he-IL"/>
        </w:rPr>
        <w:t>ובאו</w:t>
      </w:r>
      <w:r>
        <w:rPr>
          <w:rFonts w:hint="cs"/>
          <w:rtl/>
          <w:lang w:val="he-IL"/>
        </w:rPr>
        <w:t>"</w:t>
      </w:r>
      <w:r w:rsidRPr="008C7CC9">
        <w:rPr>
          <w:rtl/>
          <w:lang w:val="he-IL"/>
        </w:rPr>
        <w:t xml:space="preserve"> (במדבר ה</w:t>
      </w:r>
      <w:r>
        <w:rPr>
          <w:rFonts w:hint="cs"/>
          <w:rtl/>
          <w:lang w:val="he-IL"/>
        </w:rPr>
        <w:t xml:space="preserve"> כב כז</w:t>
      </w:r>
      <w:r w:rsidRPr="008C7CC9">
        <w:rPr>
          <w:rtl/>
          <w:lang w:val="he-IL"/>
        </w:rPr>
        <w:t>)</w:t>
      </w:r>
      <w:r>
        <w:rPr>
          <w:rFonts w:hint="cs"/>
          <w:rtl/>
          <w:lang w:val="he-IL"/>
        </w:rPr>
        <w:t>.</w:t>
      </w:r>
      <w:r>
        <w:rPr>
          <w:rStyle w:val="a5"/>
          <w:rtl/>
          <w:lang w:val="he-IL"/>
        </w:rPr>
        <w:footnoteReference w:id="2"/>
      </w:r>
      <w:r w:rsidRPr="008C7CC9">
        <w:rPr>
          <w:rtl/>
          <w:lang w:val="he-IL"/>
        </w:rPr>
        <w:t xml:space="preserve"> כשם שאסורה לבעל כך אסורה לבועל</w:t>
      </w:r>
      <w:r>
        <w:rPr>
          <w:rFonts w:hint="cs"/>
          <w:rtl/>
          <w:lang w:val="he-IL"/>
        </w:rPr>
        <w:t>,</w:t>
      </w:r>
      <w:r w:rsidRPr="008C7CC9">
        <w:rPr>
          <w:rtl/>
          <w:lang w:val="he-IL"/>
        </w:rPr>
        <w:t xml:space="preserve"> שנאמר</w:t>
      </w:r>
      <w:r>
        <w:rPr>
          <w:rFonts w:hint="cs"/>
          <w:rtl/>
          <w:lang w:val="he-IL"/>
        </w:rPr>
        <w:t>:</w:t>
      </w:r>
      <w:r w:rsidRPr="008C7CC9">
        <w:rPr>
          <w:rtl/>
          <w:lang w:val="he-IL"/>
        </w:rPr>
        <w:t xml:space="preserve"> </w:t>
      </w:r>
      <w:r>
        <w:rPr>
          <w:rFonts w:hint="cs"/>
          <w:rtl/>
          <w:lang w:val="he-IL"/>
        </w:rPr>
        <w:t>"</w:t>
      </w:r>
      <w:r w:rsidRPr="008C7CC9">
        <w:rPr>
          <w:rtl/>
          <w:lang w:val="he-IL"/>
        </w:rPr>
        <w:t>נטמאה</w:t>
      </w:r>
      <w:r>
        <w:rPr>
          <w:rFonts w:hint="cs"/>
          <w:rtl/>
          <w:lang w:val="he-IL"/>
        </w:rPr>
        <w:t>"</w:t>
      </w:r>
      <w:r w:rsidRPr="008C7CC9">
        <w:rPr>
          <w:rtl/>
          <w:lang w:val="he-IL"/>
        </w:rPr>
        <w:t xml:space="preserve"> </w:t>
      </w:r>
      <w:r>
        <w:rPr>
          <w:rFonts w:hint="cs"/>
          <w:rtl/>
          <w:lang w:val="he-IL"/>
        </w:rPr>
        <w:t>"</w:t>
      </w:r>
      <w:r w:rsidRPr="008C7CC9">
        <w:rPr>
          <w:rtl/>
          <w:lang w:val="he-IL"/>
        </w:rPr>
        <w:t>ונטמאה</w:t>
      </w:r>
      <w:r>
        <w:rPr>
          <w:rFonts w:hint="cs"/>
          <w:rtl/>
          <w:lang w:val="he-IL"/>
        </w:rPr>
        <w:t>"</w:t>
      </w:r>
      <w:r w:rsidRPr="008C7CC9">
        <w:rPr>
          <w:rtl/>
          <w:lang w:val="he-IL"/>
        </w:rPr>
        <w:t xml:space="preserve"> (שם) </w:t>
      </w:r>
      <w:r>
        <w:rPr>
          <w:rFonts w:hint="cs"/>
          <w:rtl/>
          <w:lang w:val="he-IL"/>
        </w:rPr>
        <w:t xml:space="preserve">- </w:t>
      </w:r>
      <w:r w:rsidRPr="008C7CC9">
        <w:rPr>
          <w:rtl/>
          <w:lang w:val="he-IL"/>
        </w:rPr>
        <w:t>דברי רבי עקיבא</w:t>
      </w:r>
      <w:r>
        <w:rPr>
          <w:rFonts w:hint="cs"/>
          <w:rtl/>
          <w:lang w:val="he-IL"/>
        </w:rPr>
        <w:t>.</w:t>
      </w:r>
      <w:r w:rsidRPr="008C7CC9">
        <w:rPr>
          <w:rtl/>
          <w:lang w:val="he-IL"/>
        </w:rPr>
        <w:t xml:space="preserve"> אמר רבי יהושע</w:t>
      </w:r>
      <w:r>
        <w:rPr>
          <w:rFonts w:hint="cs"/>
          <w:rtl/>
          <w:lang w:val="he-IL"/>
        </w:rPr>
        <w:t>:</w:t>
      </w:r>
      <w:r w:rsidRPr="008C7CC9">
        <w:rPr>
          <w:rtl/>
          <w:lang w:val="he-IL"/>
        </w:rPr>
        <w:t xml:space="preserve"> כך היה דורש זכריה בן הקצב</w:t>
      </w:r>
      <w:r>
        <w:rPr>
          <w:rFonts w:hint="cs"/>
          <w:rtl/>
          <w:lang w:val="he-IL"/>
        </w:rPr>
        <w:t>.</w:t>
      </w:r>
      <w:r w:rsidRPr="008C7CC9">
        <w:rPr>
          <w:rtl/>
          <w:lang w:val="he-IL"/>
        </w:rPr>
        <w:t xml:space="preserve"> רבי אומר</w:t>
      </w:r>
      <w:r>
        <w:rPr>
          <w:rFonts w:hint="cs"/>
          <w:rtl/>
          <w:lang w:val="he-IL"/>
        </w:rPr>
        <w:t>:</w:t>
      </w:r>
      <w:r w:rsidRPr="008C7CC9">
        <w:rPr>
          <w:rtl/>
          <w:lang w:val="he-IL"/>
        </w:rPr>
        <w:t xml:space="preserve"> שני פעמים האמורים בפרשה </w:t>
      </w:r>
      <w:r>
        <w:rPr>
          <w:rFonts w:hint="cs"/>
          <w:rtl/>
          <w:lang w:val="he-IL"/>
        </w:rPr>
        <w:t>"</w:t>
      </w:r>
      <w:r w:rsidRPr="008C7CC9">
        <w:rPr>
          <w:rtl/>
          <w:lang w:val="he-IL"/>
        </w:rPr>
        <w:t>אם נטמאה</w:t>
      </w:r>
      <w:r>
        <w:rPr>
          <w:rFonts w:hint="cs"/>
          <w:rtl/>
          <w:lang w:val="he-IL"/>
        </w:rPr>
        <w:t>"</w:t>
      </w:r>
      <w:r w:rsidRPr="008C7CC9">
        <w:rPr>
          <w:rtl/>
          <w:lang w:val="he-IL"/>
        </w:rPr>
        <w:t xml:space="preserve"> </w:t>
      </w:r>
      <w:r>
        <w:rPr>
          <w:rFonts w:hint="cs"/>
          <w:rtl/>
          <w:lang w:val="he-IL"/>
        </w:rPr>
        <w:t>"</w:t>
      </w:r>
      <w:r w:rsidRPr="008C7CC9">
        <w:rPr>
          <w:rtl/>
          <w:lang w:val="he-IL"/>
        </w:rPr>
        <w:t>נטמאה</w:t>
      </w:r>
      <w:r>
        <w:rPr>
          <w:rFonts w:hint="cs"/>
          <w:rtl/>
          <w:lang w:val="he-IL"/>
        </w:rPr>
        <w:t xml:space="preserve">" - </w:t>
      </w:r>
      <w:r w:rsidRPr="008C7CC9">
        <w:rPr>
          <w:rtl/>
          <w:lang w:val="he-IL"/>
        </w:rPr>
        <w:t>אחד לבעל ואחד לבועל</w:t>
      </w:r>
      <w:r>
        <w:rPr>
          <w:rFonts w:hint="cs"/>
          <w:rtl/>
          <w:lang w:val="he-IL"/>
        </w:rPr>
        <w:t>.</w:t>
      </w:r>
      <w:r>
        <w:rPr>
          <w:rStyle w:val="a5"/>
          <w:rtl/>
          <w:lang w:val="he-IL"/>
        </w:rPr>
        <w:footnoteReference w:id="3"/>
      </w:r>
    </w:p>
    <w:p w14:paraId="5A5EC404" w14:textId="77777777" w:rsidR="00AB4622" w:rsidRPr="00DA6FD6" w:rsidRDefault="00AB4622" w:rsidP="00AB4622">
      <w:pPr>
        <w:pStyle w:val="ab"/>
        <w:rPr>
          <w:rtl/>
          <w:lang w:val="he-IL"/>
        </w:rPr>
      </w:pPr>
      <w:r w:rsidRPr="00DA6FD6">
        <w:rPr>
          <w:rtl/>
          <w:lang w:val="he-IL"/>
        </w:rPr>
        <w:t xml:space="preserve">ספרי במדבר פרשת נשא פיסקא טו </w:t>
      </w:r>
      <w:r w:rsidR="00AD2D7D">
        <w:rPr>
          <w:rtl/>
          <w:lang w:val="he-IL"/>
        </w:rPr>
        <w:t>–</w:t>
      </w:r>
      <w:r w:rsidR="00AD2D7D">
        <w:rPr>
          <w:rFonts w:hint="cs"/>
          <w:rtl/>
          <w:lang w:val="he-IL"/>
        </w:rPr>
        <w:t xml:space="preserve"> העונש הוא על שניהם</w:t>
      </w:r>
    </w:p>
    <w:p w14:paraId="0092C233" w14:textId="77777777" w:rsidR="00AB4622" w:rsidRDefault="00AB4622" w:rsidP="00AB4622">
      <w:pPr>
        <w:pStyle w:val="ac"/>
        <w:rPr>
          <w:rFonts w:hint="cs"/>
          <w:rtl/>
          <w:lang w:val="he-IL"/>
        </w:rPr>
      </w:pPr>
      <w:r>
        <w:rPr>
          <w:rFonts w:hint="cs"/>
          <w:rtl/>
          <w:lang w:val="he-IL"/>
        </w:rPr>
        <w:t>"</w:t>
      </w:r>
      <w:r w:rsidRPr="00DA6FD6">
        <w:rPr>
          <w:rtl/>
          <w:lang w:val="he-IL"/>
        </w:rPr>
        <w:t>בתת ה' את יריכך נופלת וגו' ובאו המים המאררים האלה במעיך לצבות בטן ולנפיל ירך</w:t>
      </w:r>
      <w:r>
        <w:rPr>
          <w:rFonts w:hint="cs"/>
          <w:rtl/>
          <w:lang w:val="he-IL"/>
        </w:rPr>
        <w:t xml:space="preserve">" - </w:t>
      </w:r>
      <w:r w:rsidRPr="00DA6FD6">
        <w:rPr>
          <w:rtl/>
          <w:lang w:val="he-IL"/>
        </w:rPr>
        <w:t>ר' יוסי הגלילי אומר</w:t>
      </w:r>
      <w:r>
        <w:rPr>
          <w:rFonts w:hint="cs"/>
          <w:rtl/>
          <w:lang w:val="he-IL"/>
        </w:rPr>
        <w:t>:</w:t>
      </w:r>
      <w:r w:rsidRPr="00DA6FD6">
        <w:rPr>
          <w:rtl/>
          <w:lang w:val="he-IL"/>
        </w:rPr>
        <w:t xml:space="preserve"> זה בטנו ויריכו של בועל</w:t>
      </w:r>
      <w:r>
        <w:rPr>
          <w:rFonts w:hint="cs"/>
          <w:rtl/>
          <w:lang w:val="he-IL"/>
        </w:rPr>
        <w:t>.</w:t>
      </w:r>
      <w:r w:rsidRPr="00DA6FD6">
        <w:rPr>
          <w:rtl/>
          <w:lang w:val="he-IL"/>
        </w:rPr>
        <w:t xml:space="preserve"> אתה אומר זה בטנו ויריכו של בועל</w:t>
      </w:r>
      <w:r>
        <w:rPr>
          <w:rFonts w:hint="cs"/>
          <w:rtl/>
          <w:lang w:val="he-IL"/>
        </w:rPr>
        <w:t>,</w:t>
      </w:r>
      <w:r w:rsidRPr="00DA6FD6">
        <w:rPr>
          <w:rtl/>
          <w:lang w:val="he-IL"/>
        </w:rPr>
        <w:t xml:space="preserve"> או אינה אלא בטנה ויריכה של נבעלת</w:t>
      </w:r>
      <w:r>
        <w:rPr>
          <w:rFonts w:hint="cs"/>
          <w:rtl/>
          <w:lang w:val="he-IL"/>
        </w:rPr>
        <w:t>?</w:t>
      </w:r>
      <w:r w:rsidRPr="00DA6FD6">
        <w:rPr>
          <w:rtl/>
          <w:lang w:val="he-IL"/>
        </w:rPr>
        <w:t xml:space="preserve"> כשהוא אומר</w:t>
      </w:r>
      <w:r>
        <w:rPr>
          <w:rFonts w:hint="cs"/>
          <w:rtl/>
          <w:lang w:val="he-IL"/>
        </w:rPr>
        <w:t>:</w:t>
      </w:r>
      <w:r w:rsidRPr="00DA6FD6">
        <w:rPr>
          <w:rtl/>
          <w:lang w:val="he-IL"/>
        </w:rPr>
        <w:t xml:space="preserve"> </w:t>
      </w:r>
      <w:r>
        <w:rPr>
          <w:rFonts w:hint="cs"/>
          <w:rtl/>
          <w:lang w:val="he-IL"/>
        </w:rPr>
        <w:t>"</w:t>
      </w:r>
      <w:r w:rsidRPr="00DA6FD6">
        <w:rPr>
          <w:rtl/>
          <w:lang w:val="he-IL"/>
        </w:rPr>
        <w:t>וצבתה בטנה ונפלה יריכה</w:t>
      </w:r>
      <w:r>
        <w:rPr>
          <w:rFonts w:hint="cs"/>
          <w:rtl/>
          <w:lang w:val="he-IL"/>
        </w:rPr>
        <w:t>" -</w:t>
      </w:r>
      <w:r w:rsidRPr="00DA6FD6">
        <w:rPr>
          <w:rtl/>
          <w:lang w:val="he-IL"/>
        </w:rPr>
        <w:t xml:space="preserve"> הרי בטנה ויריכה של נבעלת אמו</w:t>
      </w:r>
      <w:r>
        <w:rPr>
          <w:rtl/>
          <w:lang w:val="he-IL"/>
        </w:rPr>
        <w:t>ּ</w:t>
      </w:r>
      <w:r w:rsidRPr="00DA6FD6">
        <w:rPr>
          <w:rtl/>
          <w:lang w:val="he-IL"/>
        </w:rPr>
        <w:t>ר</w:t>
      </w:r>
      <w:r>
        <w:rPr>
          <w:rFonts w:hint="cs"/>
          <w:rtl/>
          <w:lang w:val="he-IL"/>
        </w:rPr>
        <w:t>.</w:t>
      </w:r>
      <w:r w:rsidRPr="00DA6FD6">
        <w:rPr>
          <w:rtl/>
          <w:lang w:val="he-IL"/>
        </w:rPr>
        <w:t xml:space="preserve"> הא מה ת</w:t>
      </w:r>
      <w:r>
        <w:rPr>
          <w:rFonts w:hint="cs"/>
          <w:rtl/>
          <w:lang w:val="he-IL"/>
        </w:rPr>
        <w:t xml:space="preserve">למוד לומר: </w:t>
      </w:r>
      <w:r w:rsidRPr="00DA6FD6">
        <w:rPr>
          <w:rtl/>
          <w:lang w:val="he-IL"/>
        </w:rPr>
        <w:t>"לצבות בטן ולנפיל ירך</w:t>
      </w:r>
      <w:r>
        <w:rPr>
          <w:rFonts w:hint="cs"/>
          <w:rtl/>
          <w:lang w:val="he-IL"/>
        </w:rPr>
        <w:t>"?</w:t>
      </w:r>
      <w:r w:rsidRPr="00DA6FD6">
        <w:rPr>
          <w:rtl/>
          <w:lang w:val="he-IL"/>
        </w:rPr>
        <w:t xml:space="preserve"> </w:t>
      </w:r>
      <w:r>
        <w:rPr>
          <w:rFonts w:hint="cs"/>
          <w:rtl/>
          <w:lang w:val="he-IL"/>
        </w:rPr>
        <w:t xml:space="preserve">- </w:t>
      </w:r>
      <w:r w:rsidRPr="00DA6FD6">
        <w:rPr>
          <w:rtl/>
          <w:lang w:val="he-IL"/>
        </w:rPr>
        <w:t>זה בטנו ויריכו של בועל</w:t>
      </w:r>
      <w:r>
        <w:rPr>
          <w:rFonts w:hint="cs"/>
          <w:rtl/>
          <w:lang w:val="he-IL"/>
        </w:rPr>
        <w:t>.</w:t>
      </w:r>
      <w:r w:rsidRPr="00DA6FD6">
        <w:rPr>
          <w:rtl/>
          <w:lang w:val="he-IL"/>
        </w:rPr>
        <w:t xml:space="preserve"> מגיד הכתוב כשם שהפורענות פוקדת</w:t>
      </w:r>
      <w:r>
        <w:rPr>
          <w:rtl/>
          <w:lang w:val="he-IL"/>
        </w:rPr>
        <w:t>ָ</w:t>
      </w:r>
      <w:r w:rsidRPr="00DA6FD6">
        <w:rPr>
          <w:rtl/>
          <w:lang w:val="he-IL"/>
        </w:rPr>
        <w:t>ה</w:t>
      </w:r>
      <w:r>
        <w:rPr>
          <w:rFonts w:hint="eastAsia"/>
          <w:rtl/>
          <w:lang w:val="he-IL"/>
        </w:rPr>
        <w:t>ּ</w:t>
      </w:r>
      <w:r>
        <w:rPr>
          <w:rFonts w:hint="cs"/>
          <w:rtl/>
          <w:lang w:val="he-IL"/>
        </w:rPr>
        <w:t>,</w:t>
      </w:r>
      <w:r w:rsidRPr="00DA6FD6">
        <w:rPr>
          <w:rtl/>
          <w:lang w:val="he-IL"/>
        </w:rPr>
        <w:t xml:space="preserve"> כך הפורענות פוקדתו</w:t>
      </w:r>
      <w:r>
        <w:rPr>
          <w:rFonts w:hint="cs"/>
          <w:rtl/>
          <w:lang w:val="he-IL"/>
        </w:rPr>
        <w:t>.</w:t>
      </w:r>
      <w:r>
        <w:rPr>
          <w:rtl/>
          <w:lang w:val="he-IL"/>
        </w:rPr>
        <w:t xml:space="preserve"> והלא דברים קל וחומר</w:t>
      </w:r>
      <w:r>
        <w:rPr>
          <w:rFonts w:hint="cs"/>
          <w:rtl/>
          <w:lang w:val="he-IL"/>
        </w:rPr>
        <w:t xml:space="preserve">, </w:t>
      </w:r>
      <w:r w:rsidRPr="00DA6FD6">
        <w:rPr>
          <w:rtl/>
          <w:lang w:val="he-IL"/>
        </w:rPr>
        <w:t>אם מדת פורענות ממועטת המביא תקלה לחבירו הרי הוא כיוצא בו</w:t>
      </w:r>
      <w:r>
        <w:rPr>
          <w:rFonts w:hint="cs"/>
          <w:rtl/>
          <w:lang w:val="he-IL"/>
        </w:rPr>
        <w:t>.</w:t>
      </w:r>
      <w:r w:rsidRPr="00DA6FD6">
        <w:rPr>
          <w:rtl/>
          <w:lang w:val="he-IL"/>
        </w:rPr>
        <w:t xml:space="preserve"> </w:t>
      </w:r>
      <w:r>
        <w:rPr>
          <w:rtl/>
          <w:lang w:val="he-IL"/>
        </w:rPr>
        <w:t>קל וחומר</w:t>
      </w:r>
      <w:r w:rsidRPr="00DA6FD6">
        <w:rPr>
          <w:rtl/>
          <w:lang w:val="he-IL"/>
        </w:rPr>
        <w:t xml:space="preserve"> למדת הטוב מרובה.</w:t>
      </w:r>
      <w:r>
        <w:rPr>
          <w:rStyle w:val="a5"/>
          <w:rtl/>
          <w:lang w:val="he-IL"/>
        </w:rPr>
        <w:footnoteReference w:id="4"/>
      </w:r>
    </w:p>
    <w:p w14:paraId="1930C27F" w14:textId="77777777" w:rsidR="0073452C" w:rsidRDefault="0073452C" w:rsidP="0073452C">
      <w:pPr>
        <w:pStyle w:val="ab"/>
        <w:rPr>
          <w:rtl/>
          <w:lang w:eastAsia="en-US"/>
        </w:rPr>
      </w:pPr>
      <w:r>
        <w:rPr>
          <w:rtl/>
          <w:lang w:eastAsia="en-US"/>
        </w:rPr>
        <w:t xml:space="preserve">מסכת סוטה דף ב עמוד א </w:t>
      </w:r>
      <w:r w:rsidR="002D52E2">
        <w:rPr>
          <w:rtl/>
          <w:lang w:eastAsia="en-US"/>
        </w:rPr>
        <w:t>–</w:t>
      </w:r>
      <w:r w:rsidR="002D52E2">
        <w:rPr>
          <w:rFonts w:hint="cs"/>
          <w:rtl/>
          <w:lang w:eastAsia="en-US"/>
        </w:rPr>
        <w:t xml:space="preserve"> תוכחה לבעל?</w:t>
      </w:r>
    </w:p>
    <w:p w14:paraId="7EA23CCE" w14:textId="77777777" w:rsidR="0073452C" w:rsidRDefault="0073452C" w:rsidP="0073452C">
      <w:pPr>
        <w:pStyle w:val="ac"/>
        <w:rPr>
          <w:rFonts w:hint="cs"/>
          <w:rtl/>
          <w:lang w:val="he-IL"/>
        </w:rPr>
      </w:pPr>
      <w:r>
        <w:rPr>
          <w:rtl/>
          <w:lang w:eastAsia="en-US"/>
        </w:rPr>
        <w:t>א"ר שמואל בר רב יצחק: כי הוה פתח ריש לקיש בסוטה, אמר הכי: אין מזווגין לו לאדם אשה אלא לפי מעשיו, שנא</w:t>
      </w:r>
      <w:r>
        <w:rPr>
          <w:rFonts w:hint="cs"/>
          <w:rtl/>
          <w:lang w:eastAsia="en-US"/>
        </w:rPr>
        <w:t>מר</w:t>
      </w:r>
      <w:r>
        <w:rPr>
          <w:rtl/>
          <w:lang w:eastAsia="en-US"/>
        </w:rPr>
        <w:t xml:space="preserve">: </w:t>
      </w:r>
      <w:r>
        <w:rPr>
          <w:rFonts w:hint="cs"/>
          <w:rtl/>
          <w:lang w:eastAsia="en-US"/>
        </w:rPr>
        <w:t>"</w:t>
      </w:r>
      <w:r>
        <w:rPr>
          <w:rtl/>
          <w:lang w:eastAsia="en-US"/>
        </w:rPr>
        <w:t>כי לא ינוח שבט הרשע על גורל הצדיקים</w:t>
      </w:r>
      <w:r>
        <w:rPr>
          <w:rFonts w:hint="cs"/>
          <w:rtl/>
          <w:lang w:eastAsia="en-US"/>
        </w:rPr>
        <w:t>" (תהלים קה ג)</w:t>
      </w:r>
      <w:r>
        <w:rPr>
          <w:rtl/>
          <w:lang w:eastAsia="en-US"/>
        </w:rPr>
        <w:t>.</w:t>
      </w:r>
      <w:r>
        <w:rPr>
          <w:rStyle w:val="a5"/>
          <w:rtl/>
          <w:lang w:eastAsia="en-US"/>
        </w:rPr>
        <w:footnoteReference w:id="5"/>
      </w:r>
    </w:p>
    <w:p w14:paraId="310398CB" w14:textId="77777777" w:rsidR="00187A5F" w:rsidRPr="00187A5F" w:rsidRDefault="00187A5F" w:rsidP="00187A5F">
      <w:pPr>
        <w:pStyle w:val="ab"/>
        <w:rPr>
          <w:rFonts w:hint="cs"/>
          <w:rtl/>
          <w:lang w:val="he-IL"/>
        </w:rPr>
      </w:pPr>
      <w:r w:rsidRPr="00187A5F">
        <w:rPr>
          <w:rFonts w:hint="cs"/>
          <w:rtl/>
          <w:lang w:val="he-IL"/>
        </w:rPr>
        <w:lastRenderedPageBreak/>
        <w:t>אחרית דבר</w:t>
      </w:r>
    </w:p>
    <w:p w14:paraId="72097FD5" w14:textId="77777777" w:rsidR="00AB4622" w:rsidRDefault="00AB4622" w:rsidP="0092659D">
      <w:pPr>
        <w:pStyle w:val="ac"/>
        <w:spacing w:before="120"/>
        <w:rPr>
          <w:rFonts w:cs="Narkisim" w:hint="cs"/>
          <w:szCs w:val="22"/>
          <w:rtl/>
          <w:lang w:val="he-IL"/>
        </w:rPr>
      </w:pPr>
      <w:r w:rsidRPr="007955E8">
        <w:rPr>
          <w:rFonts w:cs="Narkisim" w:hint="cs"/>
          <w:szCs w:val="22"/>
          <w:rtl/>
          <w:lang w:val="he-IL"/>
        </w:rPr>
        <w:t xml:space="preserve">כפשוטו, הביטוי "טהורה לבעל, טהורה לבועל", נאמר כמשקל נגד לביטוי "אסורה לבעל ואסורה לבועל". </w:t>
      </w:r>
      <w:r w:rsidR="0073452C">
        <w:rPr>
          <w:rFonts w:cs="Narkisim" w:hint="cs"/>
          <w:szCs w:val="22"/>
          <w:rtl/>
          <w:lang w:val="he-IL"/>
        </w:rPr>
        <w:t xml:space="preserve">אם </w:t>
      </w:r>
      <w:r w:rsidRPr="007955E8">
        <w:rPr>
          <w:rFonts w:cs="Narkisim" w:hint="cs"/>
          <w:szCs w:val="22"/>
          <w:rtl/>
          <w:lang w:val="he-IL"/>
        </w:rPr>
        <w:t>במבחן המים נוקו האישה והבועל</w:t>
      </w:r>
      <w:r w:rsidR="0073452C">
        <w:rPr>
          <w:rFonts w:cs="Narkisim" w:hint="cs"/>
          <w:szCs w:val="22"/>
          <w:rtl/>
          <w:lang w:val="he-IL"/>
        </w:rPr>
        <w:t xml:space="preserve">, חוזר </w:t>
      </w:r>
      <w:r w:rsidRPr="007955E8">
        <w:rPr>
          <w:rFonts w:cs="Narkisim" w:hint="cs"/>
          <w:szCs w:val="22"/>
          <w:rtl/>
          <w:lang w:val="he-IL"/>
        </w:rPr>
        <w:t xml:space="preserve">המצב לקדמותו, כולל שאם תתגרש </w:t>
      </w:r>
      <w:r>
        <w:rPr>
          <w:rFonts w:cs="Narkisim" w:hint="cs"/>
          <w:szCs w:val="22"/>
          <w:rtl/>
          <w:lang w:val="he-IL"/>
        </w:rPr>
        <w:t xml:space="preserve">או תתאלמן </w:t>
      </w:r>
      <w:r w:rsidR="00187A5F">
        <w:rPr>
          <w:rFonts w:cs="Narkisim" w:hint="cs"/>
          <w:szCs w:val="22"/>
          <w:rtl/>
          <w:lang w:val="he-IL"/>
        </w:rPr>
        <w:t xml:space="preserve">האישה </w:t>
      </w:r>
      <w:r w:rsidRPr="007955E8">
        <w:rPr>
          <w:rFonts w:cs="Narkisim" w:hint="cs"/>
          <w:szCs w:val="22"/>
          <w:rtl/>
          <w:lang w:val="he-IL"/>
        </w:rPr>
        <w:t xml:space="preserve">תהיה מותרת להינשא </w:t>
      </w:r>
      <w:r>
        <w:rPr>
          <w:rFonts w:cs="Narkisim" w:hint="cs"/>
          <w:szCs w:val="22"/>
          <w:rtl/>
          <w:lang w:val="he-IL"/>
        </w:rPr>
        <w:t xml:space="preserve">"לכל העולם" ובכללם </w:t>
      </w:r>
      <w:r w:rsidRPr="007955E8">
        <w:rPr>
          <w:rFonts w:cs="Narkisim" w:hint="cs"/>
          <w:szCs w:val="22"/>
          <w:rtl/>
          <w:lang w:val="he-IL"/>
        </w:rPr>
        <w:t xml:space="preserve">גם לזה שנחשדה שחטאה </w:t>
      </w:r>
      <w:r>
        <w:rPr>
          <w:rFonts w:cs="Narkisim" w:hint="cs"/>
          <w:szCs w:val="22"/>
          <w:rtl/>
          <w:lang w:val="he-IL"/>
        </w:rPr>
        <w:t>את</w:t>
      </w:r>
      <w:r w:rsidRPr="007955E8">
        <w:rPr>
          <w:rFonts w:cs="Narkisim" w:hint="cs"/>
          <w:szCs w:val="22"/>
          <w:rtl/>
          <w:lang w:val="he-IL"/>
        </w:rPr>
        <w:t xml:space="preserve">ו. </w:t>
      </w:r>
      <w:r w:rsidR="002D52E2">
        <w:rPr>
          <w:rFonts w:cs="Narkisim" w:hint="cs"/>
          <w:szCs w:val="22"/>
          <w:rtl/>
          <w:lang w:val="he-IL"/>
        </w:rPr>
        <w:t xml:space="preserve">זו המשמעות הפשוטה וה'יבשה' במישור ההלכתי. </w:t>
      </w:r>
      <w:r w:rsidRPr="007955E8">
        <w:rPr>
          <w:rFonts w:cs="Narkisim" w:hint="cs"/>
          <w:szCs w:val="22"/>
          <w:rtl/>
          <w:lang w:val="he-IL"/>
        </w:rPr>
        <w:t xml:space="preserve">אולם חכמים שדייקו ודקדקו בכל דבריהם וידעו היטב כוחה של </w:t>
      </w:r>
      <w:r>
        <w:rPr>
          <w:rFonts w:cs="Narkisim" w:hint="cs"/>
          <w:szCs w:val="22"/>
          <w:rtl/>
          <w:lang w:val="he-IL"/>
        </w:rPr>
        <w:t xml:space="preserve">כל </w:t>
      </w:r>
      <w:r w:rsidRPr="007955E8">
        <w:rPr>
          <w:rFonts w:cs="Narkisim" w:hint="cs"/>
          <w:szCs w:val="22"/>
          <w:rtl/>
          <w:lang w:val="he-IL"/>
        </w:rPr>
        <w:t>מילה, הותירו לנו, במיל</w:t>
      </w:r>
      <w:r>
        <w:rPr>
          <w:rFonts w:cs="Narkisim" w:hint="cs"/>
          <w:szCs w:val="22"/>
          <w:rtl/>
          <w:lang w:val="he-IL"/>
        </w:rPr>
        <w:t>ים</w:t>
      </w:r>
      <w:r w:rsidRPr="007955E8">
        <w:rPr>
          <w:rFonts w:cs="Narkisim" w:hint="cs"/>
          <w:szCs w:val="22"/>
          <w:rtl/>
          <w:lang w:val="he-IL"/>
        </w:rPr>
        <w:t xml:space="preserve"> "</w:t>
      </w:r>
      <w:r>
        <w:rPr>
          <w:rFonts w:cs="Narkisim" w:hint="cs"/>
          <w:szCs w:val="22"/>
          <w:rtl/>
          <w:lang w:val="he-IL"/>
        </w:rPr>
        <w:t>טהורה ל</w:t>
      </w:r>
      <w:r w:rsidRPr="007955E8">
        <w:rPr>
          <w:rFonts w:cs="Narkisim" w:hint="cs"/>
          <w:szCs w:val="22"/>
          <w:rtl/>
          <w:lang w:val="he-IL"/>
        </w:rPr>
        <w:t xml:space="preserve">בועל", </w:t>
      </w:r>
      <w:r>
        <w:rPr>
          <w:rFonts w:cs="Narkisim" w:hint="cs"/>
          <w:szCs w:val="22"/>
          <w:rtl/>
          <w:lang w:val="he-IL"/>
        </w:rPr>
        <w:t>אפשרות לקריאה נוספת.</w:t>
      </w:r>
      <w:r w:rsidRPr="007955E8">
        <w:rPr>
          <w:rFonts w:cs="Narkisim" w:hint="cs"/>
          <w:szCs w:val="22"/>
          <w:rtl/>
          <w:lang w:val="he-IL"/>
        </w:rPr>
        <w:t xml:space="preserve"> </w:t>
      </w:r>
      <w:r>
        <w:rPr>
          <w:rFonts w:cs="Narkisim" w:hint="cs"/>
          <w:szCs w:val="22"/>
          <w:rtl/>
          <w:lang w:val="he-IL"/>
        </w:rPr>
        <w:t xml:space="preserve">שהרי מה היה כאן? </w:t>
      </w:r>
      <w:r w:rsidRPr="007955E8">
        <w:rPr>
          <w:rFonts w:cs="Narkisim" w:hint="cs"/>
          <w:szCs w:val="22"/>
          <w:rtl/>
          <w:lang w:val="he-IL"/>
        </w:rPr>
        <w:t xml:space="preserve">לא כל בעל שקם בבוקר ומקנא לאשתו יכול להביאה למבחן סוטה, רק אם נסתרה עפ"י עד אחד. היה משהו בין האשה לבועל לכאורה, אדם שאיננו בעלה שפגשה אותו ואולי פרקה בחברתו את רגשותיה בחיי הנישואין שלה, אולי </w:t>
      </w:r>
      <w:r>
        <w:rPr>
          <w:rFonts w:cs="Narkisim" w:hint="cs"/>
          <w:szCs w:val="22"/>
          <w:rtl/>
          <w:lang w:val="he-IL"/>
        </w:rPr>
        <w:t xml:space="preserve">גם </w:t>
      </w:r>
      <w:r w:rsidRPr="007955E8">
        <w:rPr>
          <w:rFonts w:cs="Narkisim" w:hint="cs"/>
          <w:szCs w:val="22"/>
          <w:rtl/>
          <w:lang w:val="he-IL"/>
        </w:rPr>
        <w:t>את עקרותה. חיי נישואין מושלמים לא היו כאן. האישה יוצאת מהבית, כי לא טוב לה שם</w:t>
      </w:r>
      <w:r>
        <w:rPr>
          <w:rFonts w:cs="Narkisim" w:hint="cs"/>
          <w:szCs w:val="22"/>
          <w:rtl/>
          <w:lang w:val="he-IL"/>
        </w:rPr>
        <w:t xml:space="preserve"> ומחפשת חברה</w:t>
      </w:r>
      <w:r w:rsidRPr="007955E8">
        <w:rPr>
          <w:rFonts w:cs="Narkisim" w:hint="cs"/>
          <w:szCs w:val="22"/>
          <w:rtl/>
          <w:lang w:val="he-IL"/>
        </w:rPr>
        <w:t>. את התורה מעניין בראש ובראשונה אם נעשה כאן מעשה ערווה! אם נעשה, העונש ברור וחד. ואם לא, א</w:t>
      </w:r>
      <w:r>
        <w:rPr>
          <w:rFonts w:cs="Narkisim" w:hint="cs"/>
          <w:szCs w:val="22"/>
          <w:rtl/>
          <w:lang w:val="he-IL"/>
        </w:rPr>
        <w:t>זי</w:t>
      </w:r>
      <w:r w:rsidRPr="007955E8">
        <w:rPr>
          <w:rFonts w:cs="Narkisim" w:hint="cs"/>
          <w:szCs w:val="22"/>
          <w:rtl/>
          <w:lang w:val="he-IL"/>
        </w:rPr>
        <w:t xml:space="preserve"> נוקתה הא</w:t>
      </w:r>
      <w:r>
        <w:rPr>
          <w:rFonts w:cs="Narkisim" w:hint="cs"/>
          <w:szCs w:val="22"/>
          <w:rtl/>
          <w:lang w:val="he-IL"/>
        </w:rPr>
        <w:t>י</w:t>
      </w:r>
      <w:r w:rsidRPr="007955E8">
        <w:rPr>
          <w:rFonts w:cs="Narkisim" w:hint="cs"/>
          <w:szCs w:val="22"/>
          <w:rtl/>
          <w:lang w:val="he-IL"/>
        </w:rPr>
        <w:t>שה ונוקה גם הבועל לכאורה</w:t>
      </w:r>
      <w:r>
        <w:rPr>
          <w:rFonts w:cs="Narkisim" w:hint="cs"/>
          <w:szCs w:val="22"/>
          <w:rtl/>
          <w:lang w:val="he-IL"/>
        </w:rPr>
        <w:t>.</w:t>
      </w:r>
      <w:r w:rsidR="0092659D">
        <w:rPr>
          <w:rFonts w:cs="Narkisim" w:hint="cs"/>
          <w:szCs w:val="22"/>
          <w:rtl/>
          <w:lang w:val="he-IL"/>
        </w:rPr>
        <w:t xml:space="preserve"> זה </w:t>
      </w:r>
      <w:r w:rsidR="002D52E2">
        <w:rPr>
          <w:rFonts w:cs="Narkisim" w:hint="cs"/>
          <w:szCs w:val="22"/>
          <w:rtl/>
          <w:lang w:val="he-IL"/>
        </w:rPr>
        <w:t xml:space="preserve">פשט המאמר </w:t>
      </w:r>
      <w:r w:rsidR="0092659D">
        <w:rPr>
          <w:rFonts w:cs="Narkisim" w:hint="cs"/>
          <w:szCs w:val="22"/>
          <w:rtl/>
          <w:lang w:val="he-IL"/>
        </w:rPr>
        <w:t xml:space="preserve">"אסורה לבעל ולבועל" מצד אחד, או "טהורה לבעל ולבועל" מהעבר השני, בהיבט ההלכתי הפשוט. </w:t>
      </w:r>
      <w:r>
        <w:rPr>
          <w:rFonts w:cs="Narkisim" w:hint="cs"/>
          <w:szCs w:val="22"/>
          <w:rtl/>
          <w:lang w:val="he-IL"/>
        </w:rPr>
        <w:t xml:space="preserve"> </w:t>
      </w:r>
    </w:p>
    <w:p w14:paraId="7179F148" w14:textId="77777777" w:rsidR="00AB4622" w:rsidRDefault="00AB4622" w:rsidP="0092659D">
      <w:pPr>
        <w:pStyle w:val="ac"/>
        <w:spacing w:before="120"/>
        <w:rPr>
          <w:rFonts w:cs="Narkisim" w:hint="cs"/>
          <w:szCs w:val="22"/>
          <w:rtl/>
          <w:lang w:val="he-IL"/>
        </w:rPr>
      </w:pPr>
      <w:r>
        <w:rPr>
          <w:rFonts w:cs="Narkisim" w:hint="cs"/>
          <w:szCs w:val="22"/>
          <w:rtl/>
          <w:lang w:val="he-IL"/>
        </w:rPr>
        <w:t xml:space="preserve">אך </w:t>
      </w:r>
      <w:r w:rsidR="0092659D">
        <w:rPr>
          <w:rFonts w:cs="Narkisim" w:hint="cs"/>
          <w:szCs w:val="22"/>
          <w:rtl/>
          <w:lang w:val="he-IL"/>
        </w:rPr>
        <w:t xml:space="preserve">אם אכן נטהרו האשה (והבועל החשוד), </w:t>
      </w:r>
      <w:r w:rsidRPr="007955E8">
        <w:rPr>
          <w:rFonts w:cs="Narkisim" w:hint="cs"/>
          <w:szCs w:val="22"/>
          <w:rtl/>
          <w:lang w:val="he-IL"/>
        </w:rPr>
        <w:t xml:space="preserve">כעת מה? הבעל והאישה חוזרים לחיות כזוג מאושר? האם הם מסוגלים ליישב את הנושאים שביניהם ולהשיב את המצב לקדמותו אחרי כל הסאגה הזו? </w:t>
      </w:r>
      <w:r>
        <w:rPr>
          <w:rFonts w:cs="Narkisim" w:hint="cs"/>
          <w:szCs w:val="22"/>
          <w:rtl/>
          <w:lang w:val="he-IL"/>
        </w:rPr>
        <w:t xml:space="preserve">תאמר, האישה חוזרת להיות שפחה-אישה בבית עם ריבוי נשים ולמי אכפת. אבל במילים "טהורה לבועל" אפשר שחז"ל מציעים פתרון אחר ואולי עדיף. </w:t>
      </w:r>
      <w:r w:rsidRPr="007955E8">
        <w:rPr>
          <w:rFonts w:cs="Narkisim" w:hint="cs"/>
          <w:szCs w:val="22"/>
          <w:rtl/>
          <w:lang w:val="he-IL"/>
        </w:rPr>
        <w:t>ש</w:t>
      </w:r>
      <w:r w:rsidR="002D52E2">
        <w:rPr>
          <w:rFonts w:cs="Narkisim" w:hint="cs"/>
          <w:szCs w:val="22"/>
          <w:rtl/>
          <w:lang w:val="he-IL"/>
        </w:rPr>
        <w:t xml:space="preserve">אחרי כל הסאגה הזו </w:t>
      </w:r>
      <w:r w:rsidRPr="007955E8">
        <w:rPr>
          <w:rFonts w:cs="Narkisim" w:hint="cs"/>
          <w:szCs w:val="22"/>
          <w:rtl/>
          <w:lang w:val="he-IL"/>
        </w:rPr>
        <w:t>חיי הנישואין יפורקו</w:t>
      </w:r>
      <w:r w:rsidR="00187A5F">
        <w:rPr>
          <w:rFonts w:cs="Narkisim" w:hint="cs"/>
          <w:szCs w:val="22"/>
          <w:rtl/>
          <w:lang w:val="he-IL"/>
        </w:rPr>
        <w:t xml:space="preserve">. האיש ילך לדרכו וגם </w:t>
      </w:r>
      <w:r w:rsidRPr="007955E8">
        <w:rPr>
          <w:rFonts w:cs="Narkisim" w:hint="cs"/>
          <w:szCs w:val="22"/>
          <w:rtl/>
          <w:lang w:val="he-IL"/>
        </w:rPr>
        <w:t>הא</w:t>
      </w:r>
      <w:r>
        <w:rPr>
          <w:rFonts w:cs="Narkisim" w:hint="cs"/>
          <w:szCs w:val="22"/>
          <w:rtl/>
          <w:lang w:val="he-IL"/>
        </w:rPr>
        <w:t>י</w:t>
      </w:r>
      <w:r w:rsidRPr="007955E8">
        <w:rPr>
          <w:rFonts w:cs="Narkisim" w:hint="cs"/>
          <w:szCs w:val="22"/>
          <w:rtl/>
          <w:lang w:val="he-IL"/>
        </w:rPr>
        <w:t>שה תלך לדרכה</w:t>
      </w:r>
      <w:r>
        <w:rPr>
          <w:rFonts w:cs="Narkisim" w:hint="cs"/>
          <w:szCs w:val="22"/>
          <w:rtl/>
          <w:lang w:val="he-IL"/>
        </w:rPr>
        <w:t>.</w:t>
      </w:r>
      <w:r w:rsidRPr="007955E8">
        <w:rPr>
          <w:rFonts w:cs="Narkisim" w:hint="cs"/>
          <w:szCs w:val="22"/>
          <w:rtl/>
          <w:lang w:val="he-IL"/>
        </w:rPr>
        <w:t xml:space="preserve"> </w:t>
      </w:r>
      <w:r w:rsidR="0092659D">
        <w:rPr>
          <w:rFonts w:cs="Narkisim" w:hint="cs"/>
          <w:szCs w:val="22"/>
          <w:rtl/>
          <w:lang w:val="he-IL"/>
        </w:rPr>
        <w:t xml:space="preserve">שהרי התורה מכירה באפשרות של גירושין </w:t>
      </w:r>
      <w:r w:rsidR="002D52E2">
        <w:rPr>
          <w:rFonts w:cs="Narkisim" w:hint="cs"/>
          <w:szCs w:val="22"/>
          <w:rtl/>
          <w:lang w:val="he-IL"/>
        </w:rPr>
        <w:t>כאשר</w:t>
      </w:r>
      <w:r w:rsidR="0092659D">
        <w:rPr>
          <w:rFonts w:cs="Narkisim" w:hint="cs"/>
          <w:szCs w:val="22"/>
          <w:rtl/>
          <w:lang w:val="he-IL"/>
        </w:rPr>
        <w:t xml:space="preserve"> אין יותר מציאת חן בין בני הזוג: "</w:t>
      </w:r>
      <w:r w:rsidR="0092659D" w:rsidRPr="0092659D">
        <w:rPr>
          <w:rFonts w:cs="Narkisim"/>
          <w:szCs w:val="22"/>
          <w:rtl/>
          <w:lang w:val="he-IL"/>
        </w:rPr>
        <w:t>וְהָיָה אִם לֹא תִמְצָא חֵן בְּעֵינָיו</w:t>
      </w:r>
      <w:r w:rsidR="0092659D">
        <w:rPr>
          <w:rFonts w:cs="Narkisim" w:hint="cs"/>
          <w:szCs w:val="22"/>
          <w:rtl/>
          <w:lang w:val="he-IL"/>
        </w:rPr>
        <w:t>"</w:t>
      </w:r>
      <w:r w:rsidR="0092659D" w:rsidRPr="0092659D">
        <w:rPr>
          <w:rFonts w:cs="Narkisim"/>
          <w:szCs w:val="22"/>
          <w:rtl/>
          <w:lang w:val="he-IL"/>
        </w:rPr>
        <w:t xml:space="preserve"> </w:t>
      </w:r>
      <w:r w:rsidR="0092659D">
        <w:rPr>
          <w:rFonts w:cs="Narkisim" w:hint="cs"/>
          <w:szCs w:val="22"/>
          <w:rtl/>
          <w:lang w:val="he-IL"/>
        </w:rPr>
        <w:t xml:space="preserve">(דברים כד א). </w:t>
      </w:r>
      <w:r w:rsidRPr="007955E8">
        <w:rPr>
          <w:rFonts w:cs="Narkisim" w:hint="cs"/>
          <w:szCs w:val="22"/>
          <w:rtl/>
          <w:lang w:val="he-IL"/>
        </w:rPr>
        <w:t>לאן</w:t>
      </w:r>
      <w:r w:rsidR="0092659D">
        <w:rPr>
          <w:rFonts w:cs="Narkisim" w:hint="cs"/>
          <w:szCs w:val="22"/>
          <w:rtl/>
          <w:lang w:val="he-IL"/>
        </w:rPr>
        <w:t xml:space="preserve"> תלך האשה</w:t>
      </w:r>
      <w:r w:rsidRPr="007955E8">
        <w:rPr>
          <w:rFonts w:cs="Narkisim" w:hint="cs"/>
          <w:szCs w:val="22"/>
          <w:rtl/>
          <w:lang w:val="he-IL"/>
        </w:rPr>
        <w:t xml:space="preserve">? </w:t>
      </w:r>
      <w:r>
        <w:rPr>
          <w:rFonts w:cs="Narkisim" w:hint="cs"/>
          <w:szCs w:val="22"/>
          <w:rtl/>
          <w:lang w:val="he-IL"/>
        </w:rPr>
        <w:t xml:space="preserve">"לכל העולם", גם </w:t>
      </w:r>
      <w:r w:rsidRPr="007955E8">
        <w:rPr>
          <w:rFonts w:cs="Narkisim" w:hint="cs"/>
          <w:szCs w:val="22"/>
          <w:rtl/>
          <w:lang w:val="he-IL"/>
        </w:rPr>
        <w:t>לאותו אחד שמכונה בכל מקום "הבועל"</w:t>
      </w:r>
      <w:r w:rsidR="0092659D">
        <w:rPr>
          <w:rFonts w:cs="Narkisim" w:hint="cs"/>
          <w:szCs w:val="22"/>
          <w:rtl/>
          <w:lang w:val="he-IL"/>
        </w:rPr>
        <w:t xml:space="preserve"> שיצא "טהור"</w:t>
      </w:r>
      <w:r w:rsidRPr="007955E8">
        <w:rPr>
          <w:rFonts w:cs="Narkisim" w:hint="cs"/>
          <w:szCs w:val="22"/>
          <w:rtl/>
          <w:lang w:val="he-IL"/>
        </w:rPr>
        <w:t xml:space="preserve">. שם </w:t>
      </w:r>
      <w:r>
        <w:rPr>
          <w:rFonts w:cs="Narkisim" w:hint="cs"/>
          <w:szCs w:val="22"/>
          <w:rtl/>
          <w:lang w:val="he-IL"/>
        </w:rPr>
        <w:t xml:space="preserve">אולי </w:t>
      </w:r>
      <w:r w:rsidRPr="007955E8">
        <w:rPr>
          <w:rFonts w:cs="Narkisim" w:hint="cs"/>
          <w:szCs w:val="22"/>
          <w:rtl/>
          <w:lang w:val="he-IL"/>
        </w:rPr>
        <w:t>נמצא עתידה ועתיד הידיד שלה. והבעל ילך גם הוא בדרך חדשה. ואפילו הפסוק: "ונקתה ונזרעה זרע", שאותו דרש רבי עקיבא "שאם הייתה עקרה – נפקדת"</w:t>
      </w:r>
      <w:r>
        <w:rPr>
          <w:rFonts w:cs="Narkisim" w:hint="cs"/>
          <w:szCs w:val="22"/>
          <w:rtl/>
          <w:lang w:val="he-IL"/>
        </w:rPr>
        <w:t xml:space="preserve"> ומן הסתם התכוון לבעל, אפשר ש</w:t>
      </w:r>
      <w:r w:rsidRPr="007955E8">
        <w:rPr>
          <w:rFonts w:cs="Narkisim" w:hint="cs"/>
          <w:szCs w:val="22"/>
          <w:rtl/>
          <w:lang w:val="he-IL"/>
        </w:rPr>
        <w:t>יתקיים בחיי נישואין חדשים עם הבועל לכאורה. עם מי שעבר יחד איתה</w:t>
      </w:r>
      <w:r>
        <w:rPr>
          <w:rFonts w:cs="Narkisim" w:hint="cs"/>
          <w:szCs w:val="22"/>
          <w:rtl/>
          <w:lang w:val="he-IL"/>
        </w:rPr>
        <w:t>, אף שלא נכח פיסית בבית המקדש,</w:t>
      </w:r>
      <w:r w:rsidRPr="007955E8">
        <w:rPr>
          <w:rFonts w:cs="Narkisim" w:hint="cs"/>
          <w:szCs w:val="22"/>
          <w:rtl/>
          <w:lang w:val="he-IL"/>
        </w:rPr>
        <w:t xml:space="preserve"> את הסאגה הזו. </w:t>
      </w:r>
    </w:p>
    <w:p w14:paraId="6E2A4E5D" w14:textId="77777777" w:rsidR="00AB4622" w:rsidRDefault="00AB4622" w:rsidP="001D4A0D">
      <w:pPr>
        <w:pStyle w:val="ac"/>
        <w:spacing w:before="120"/>
        <w:rPr>
          <w:rFonts w:cs="Narkisim" w:hint="cs"/>
          <w:szCs w:val="22"/>
          <w:rtl/>
          <w:lang w:val="he-IL"/>
        </w:rPr>
      </w:pPr>
      <w:r w:rsidRPr="007955E8">
        <w:rPr>
          <w:rFonts w:cs="Narkisim" w:hint="cs"/>
          <w:szCs w:val="22"/>
          <w:rtl/>
          <w:lang w:val="he-IL"/>
        </w:rPr>
        <w:t xml:space="preserve">כך או כך, המילים: </w:t>
      </w:r>
      <w:r>
        <w:rPr>
          <w:rFonts w:cs="Narkisim" w:hint="cs"/>
          <w:szCs w:val="22"/>
          <w:rtl/>
          <w:lang w:val="he-IL"/>
        </w:rPr>
        <w:t>"</w:t>
      </w:r>
      <w:r w:rsidRPr="007955E8">
        <w:rPr>
          <w:rFonts w:cs="Narkisim" w:hint="cs"/>
          <w:szCs w:val="22"/>
          <w:rtl/>
          <w:lang w:val="he-IL"/>
        </w:rPr>
        <w:t>טהורה לבועל" מהדהדים בעוצמה ואולי לא בכדי הושמטו מהמשנה</w:t>
      </w:r>
      <w:r>
        <w:rPr>
          <w:rFonts w:cs="Narkisim" w:hint="cs"/>
          <w:szCs w:val="22"/>
          <w:rtl/>
          <w:lang w:val="he-IL"/>
        </w:rPr>
        <w:t xml:space="preserve"> ומהתוספתא</w:t>
      </w:r>
      <w:r w:rsidRPr="007955E8">
        <w:rPr>
          <w:rFonts w:cs="Narkisim" w:hint="cs"/>
          <w:szCs w:val="22"/>
          <w:rtl/>
          <w:lang w:val="he-IL"/>
        </w:rPr>
        <w:t xml:space="preserve"> ונשארו רק ב</w:t>
      </w:r>
      <w:r>
        <w:rPr>
          <w:rFonts w:cs="Narkisim" w:hint="cs"/>
          <w:szCs w:val="22"/>
          <w:rtl/>
          <w:lang w:val="he-IL"/>
        </w:rPr>
        <w:t xml:space="preserve">מדרש </w:t>
      </w:r>
      <w:r w:rsidRPr="007955E8">
        <w:rPr>
          <w:rFonts w:cs="Narkisim" w:hint="cs"/>
          <w:szCs w:val="22"/>
          <w:rtl/>
          <w:lang w:val="he-IL"/>
        </w:rPr>
        <w:t>ספר</w:t>
      </w:r>
      <w:r>
        <w:rPr>
          <w:rFonts w:cs="Narkisim" w:hint="eastAsia"/>
          <w:szCs w:val="22"/>
          <w:rtl/>
          <w:lang w:val="he-IL"/>
        </w:rPr>
        <w:t>ֵ</w:t>
      </w:r>
      <w:r w:rsidRPr="007955E8">
        <w:rPr>
          <w:rFonts w:cs="Narkisim" w:hint="cs"/>
          <w:szCs w:val="22"/>
          <w:rtl/>
          <w:lang w:val="he-IL"/>
        </w:rPr>
        <w:t>י.</w:t>
      </w:r>
    </w:p>
    <w:p w14:paraId="680D45B0" w14:textId="77777777" w:rsidR="00AB4622" w:rsidRDefault="00AB4622" w:rsidP="00AB4622">
      <w:pPr>
        <w:pStyle w:val="ac"/>
        <w:spacing w:line="260" w:lineRule="atLeast"/>
        <w:rPr>
          <w:rFonts w:cs="Narkisim" w:hint="cs"/>
          <w:szCs w:val="22"/>
          <w:rtl/>
          <w:lang w:val="he-IL"/>
        </w:rPr>
      </w:pPr>
    </w:p>
    <w:p w14:paraId="60374D2C" w14:textId="77777777" w:rsidR="00AB4622" w:rsidRDefault="00AB4622" w:rsidP="00AB4622">
      <w:pPr>
        <w:pStyle w:val="ad"/>
        <w:rPr>
          <w:rFonts w:hint="cs"/>
          <w:rtl/>
          <w:lang w:val="he-IL"/>
        </w:rPr>
      </w:pPr>
      <w:r>
        <w:rPr>
          <w:rFonts w:hint="cs"/>
          <w:rtl/>
          <w:lang w:val="he-IL"/>
        </w:rPr>
        <w:t>שבת שלום</w:t>
      </w:r>
    </w:p>
    <w:p w14:paraId="449881D4" w14:textId="77777777" w:rsidR="00AB4622" w:rsidRDefault="00AB4622" w:rsidP="00AB4622">
      <w:pPr>
        <w:pStyle w:val="ad"/>
        <w:rPr>
          <w:rFonts w:hint="cs"/>
          <w:rtl/>
          <w:lang w:val="he-IL"/>
        </w:rPr>
      </w:pPr>
      <w:r>
        <w:rPr>
          <w:rFonts w:hint="cs"/>
          <w:rtl/>
          <w:lang w:val="he-IL"/>
        </w:rPr>
        <w:t>מחלקי המים</w:t>
      </w:r>
    </w:p>
    <w:p w14:paraId="29B96A9F" w14:textId="77777777" w:rsidR="00AB4622" w:rsidRPr="007955E8" w:rsidRDefault="00AB4622" w:rsidP="00AB4622">
      <w:pPr>
        <w:pStyle w:val="ac"/>
        <w:spacing w:line="260" w:lineRule="atLeast"/>
        <w:rPr>
          <w:rFonts w:cs="Narkisim" w:hint="cs"/>
          <w:szCs w:val="22"/>
          <w:rtl/>
          <w:lang w:val="he-IL"/>
        </w:rPr>
      </w:pPr>
    </w:p>
    <w:p w14:paraId="493C2FFA" w14:textId="77777777" w:rsidR="00E92E56" w:rsidRPr="00AB4622" w:rsidRDefault="00E92E56" w:rsidP="00AB4622">
      <w:pPr>
        <w:rPr>
          <w:rFonts w:hint="cs"/>
          <w:rtl/>
        </w:rPr>
      </w:pPr>
    </w:p>
    <w:sectPr w:rsidR="00E92E56" w:rsidRPr="00AB4622" w:rsidSect="007F20C9">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4CFA" w14:textId="77777777" w:rsidR="008B19D8" w:rsidRDefault="008B19D8">
      <w:r>
        <w:separator/>
      </w:r>
    </w:p>
  </w:endnote>
  <w:endnote w:type="continuationSeparator" w:id="0">
    <w:p w14:paraId="602B4BDB" w14:textId="77777777" w:rsidR="008B19D8" w:rsidRDefault="008B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E26D" w14:textId="77777777" w:rsidR="007837FB" w:rsidRPr="00F8747C" w:rsidRDefault="007837FB"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2659D">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2659D">
      <w:rPr>
        <w:rStyle w:val="af"/>
        <w:noProof/>
        <w:rtl/>
      </w:rPr>
      <w:t>2</w:t>
    </w:r>
    <w:r w:rsidRPr="00F8747C">
      <w:rPr>
        <w:rStyle w:val="af"/>
      </w:rPr>
      <w:fldChar w:fldCharType="end"/>
    </w:r>
  </w:p>
  <w:p w14:paraId="7BA62638" w14:textId="77777777" w:rsidR="007837FB" w:rsidRPr="00827984" w:rsidRDefault="007837FB"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57F9" w14:textId="77777777" w:rsidR="008B19D8" w:rsidRDefault="008B19D8">
      <w:r>
        <w:rPr>
          <w:rFonts w:cs="Miriam"/>
        </w:rPr>
        <w:separator/>
      </w:r>
    </w:p>
  </w:footnote>
  <w:footnote w:type="continuationSeparator" w:id="0">
    <w:p w14:paraId="4DF60A9F" w14:textId="77777777" w:rsidR="008B19D8" w:rsidRDefault="008B19D8">
      <w:r>
        <w:continuationSeparator/>
      </w:r>
    </w:p>
  </w:footnote>
  <w:footnote w:id="1">
    <w:p w14:paraId="629D5BAA" w14:textId="77777777" w:rsidR="00AB4622" w:rsidRDefault="00AB4622" w:rsidP="001B21B3">
      <w:pPr>
        <w:pStyle w:val="a3"/>
        <w:rPr>
          <w:rFonts w:hint="cs"/>
          <w:rtl/>
        </w:rPr>
      </w:pPr>
      <w:r>
        <w:rPr>
          <w:rStyle w:val="a5"/>
        </w:rPr>
        <w:footnoteRef/>
      </w:r>
      <w:r>
        <w:rPr>
          <w:rtl/>
        </w:rPr>
        <w:t xml:space="preserve"> </w:t>
      </w:r>
      <w:r>
        <w:rPr>
          <w:rFonts w:hint="cs"/>
          <w:rtl/>
          <w:lang w:val="he-IL"/>
        </w:rPr>
        <w:t>להלן נראה במשנה ובתוספתא (בתוך הערה 3) שאם באו בה המים המאררים ומתברר שנטמאה: "אסורה לבעל ואסורה לבועל". כמשקל נגדי, בא מדרש ספרי (שמדבר כמובן גם הוא על צד האיסור אפילו עוד לפני מבחן המים, רק משום שיצא עליה שם רע) ורואה צורך להדגיש גם את הצד השני, היינו שאם לא נטמאה, אז: "טהורה לבעל וטהורה לבועל". הא</w:t>
      </w:r>
      <w:r w:rsidR="001B21B3">
        <w:rPr>
          <w:rFonts w:hint="cs"/>
          <w:rtl/>
          <w:lang w:val="he-IL"/>
        </w:rPr>
        <w:t>י</w:t>
      </w:r>
      <w:r>
        <w:rPr>
          <w:rFonts w:hint="cs"/>
          <w:rtl/>
          <w:lang w:val="he-IL"/>
        </w:rPr>
        <w:t xml:space="preserve">שה נקיה וגם האיש שנחשד איתה נקי. המשנה והתוספתא (שנראה להלן) לא דקדקו להדגיש צד זה ולכאורה מקורות אלה משלימים זה את זה ויש לקוראם כחטיבה אחת. אבל עדיין אפשר לשאול על </w:t>
      </w:r>
      <w:r w:rsidR="001B21B3">
        <w:rPr>
          <w:rFonts w:hint="cs"/>
          <w:rtl/>
          <w:lang w:val="he-IL"/>
        </w:rPr>
        <w:t xml:space="preserve">מדרש </w:t>
      </w:r>
      <w:r>
        <w:rPr>
          <w:rFonts w:hint="cs"/>
          <w:rtl/>
          <w:lang w:val="he-IL"/>
        </w:rPr>
        <w:t>ספרי, חכמים שדקדקו בלשונם, כיצד יכולים לומר: "טהורה לבועל"? הכיצד? מה פירוש הדבר?</w:t>
      </w:r>
      <w:r>
        <w:rPr>
          <w:rFonts w:hint="cs"/>
          <w:rtl/>
        </w:rPr>
        <w:t xml:space="preserve"> למה האיש שנחשד (ועכשיו שהיא טהורה ממילא גם הוא טהור) נקרא 'בועל'? למה חשוב להדגיש שכעת הם מותרים זה לזה באופן דומה לכך שהיא ובעלה מותרים כעת זה בזה? </w:t>
      </w:r>
      <w:r w:rsidR="001B21B3">
        <w:rPr>
          <w:rFonts w:hint="cs"/>
          <w:rtl/>
        </w:rPr>
        <w:t xml:space="preserve">למה לא לומר בפשטות שכעת שהאישה נמצאה טהורה היא מותרת לכל העולם (ובכלל זה גם 'הבועל'). </w:t>
      </w:r>
      <w:r>
        <w:rPr>
          <w:rFonts w:hint="cs"/>
          <w:rtl/>
        </w:rPr>
        <w:t>מה רצו חכמים לומר במילים אלה?</w:t>
      </w:r>
    </w:p>
  </w:footnote>
  <w:footnote w:id="2">
    <w:p w14:paraId="49D26B97" w14:textId="77777777" w:rsidR="00AB4622" w:rsidRDefault="00AB4622" w:rsidP="00AB4622">
      <w:pPr>
        <w:pStyle w:val="a3"/>
        <w:rPr>
          <w:rFonts w:hint="cs"/>
        </w:rPr>
      </w:pPr>
      <w:r>
        <w:rPr>
          <w:rStyle w:val="a5"/>
        </w:rPr>
        <w:footnoteRef/>
      </w:r>
      <w:r>
        <w:rPr>
          <w:rtl/>
        </w:rPr>
        <w:t xml:space="preserve"> </w:t>
      </w:r>
      <w:r>
        <w:rPr>
          <w:rFonts w:hint="cs"/>
          <w:rtl/>
        </w:rPr>
        <w:t xml:space="preserve">"אותו" הוא הבועל לכאורה, </w:t>
      </w:r>
      <w:r w:rsidR="00AD2D7D">
        <w:rPr>
          <w:rFonts w:hint="cs"/>
          <w:rtl/>
        </w:rPr>
        <w:t xml:space="preserve">היינו מי שהאשה נסתרה איתו (או שמא הוא איתה). נקרא כאן בקיצור "הבועל" אבל באמת הוא רק </w:t>
      </w:r>
      <w:r>
        <w:rPr>
          <w:rFonts w:hint="cs"/>
          <w:rtl/>
        </w:rPr>
        <w:t>חשוד</w:t>
      </w:r>
      <w:r w:rsidR="00AD2D7D">
        <w:rPr>
          <w:rFonts w:hint="cs"/>
          <w:rtl/>
        </w:rPr>
        <w:t xml:space="preserve"> כמי שקיים יחסים עם האשה</w:t>
      </w:r>
      <w:r>
        <w:rPr>
          <w:rFonts w:hint="cs"/>
          <w:rtl/>
        </w:rPr>
        <w:t>. עניין זה שגם הבועל נבדק (למרות שאינו נוכח), נראה בהרחבה להלן והוא חשוב לעניינינו.</w:t>
      </w:r>
    </w:p>
  </w:footnote>
  <w:footnote w:id="3">
    <w:p w14:paraId="287649BD" w14:textId="77777777" w:rsidR="00AB4622" w:rsidRDefault="00AB4622" w:rsidP="00AB4622">
      <w:pPr>
        <w:pStyle w:val="a3"/>
        <w:rPr>
          <w:rFonts w:hint="cs"/>
          <w:rtl/>
        </w:rPr>
      </w:pPr>
      <w:r>
        <w:rPr>
          <w:rStyle w:val="a5"/>
        </w:rPr>
        <w:footnoteRef/>
      </w:r>
      <w:r>
        <w:rPr>
          <w:rtl/>
        </w:rPr>
        <w:t xml:space="preserve"> </w:t>
      </w:r>
      <w:r>
        <w:rPr>
          <w:rFonts w:hint="cs"/>
          <w:rtl/>
          <w:lang w:val="he-IL"/>
        </w:rPr>
        <w:t xml:space="preserve">ובלשונה היותר ציורי ומוסרי של </w:t>
      </w:r>
      <w:r w:rsidRPr="008C7CC9">
        <w:rPr>
          <w:rtl/>
          <w:lang w:val="he-IL"/>
        </w:rPr>
        <w:t xml:space="preserve">תוספתא מסכת סוטה פרק ד </w:t>
      </w:r>
      <w:r>
        <w:rPr>
          <w:rFonts w:hint="cs"/>
          <w:rtl/>
          <w:lang w:val="he-IL"/>
        </w:rPr>
        <w:t>הלכה טז: "</w:t>
      </w:r>
      <w:r w:rsidRPr="008C7CC9">
        <w:rPr>
          <w:rtl/>
          <w:lang w:val="he-IL"/>
        </w:rPr>
        <w:t>כשם שאסורה לבעל כך אסורה לבועל</w:t>
      </w:r>
      <w:r>
        <w:rPr>
          <w:rFonts w:hint="cs"/>
          <w:rtl/>
          <w:lang w:val="he-IL"/>
        </w:rPr>
        <w:t>.</w:t>
      </w:r>
      <w:r w:rsidRPr="008C7CC9">
        <w:rPr>
          <w:rtl/>
          <w:lang w:val="he-IL"/>
        </w:rPr>
        <w:t xml:space="preserve"> נמצאת או</w:t>
      </w:r>
      <w:r>
        <w:rPr>
          <w:rFonts w:hint="cs"/>
          <w:rtl/>
          <w:lang w:val="he-IL"/>
        </w:rPr>
        <w:t>מר</w:t>
      </w:r>
      <w:r w:rsidRPr="008C7CC9">
        <w:rPr>
          <w:rtl/>
          <w:lang w:val="he-IL"/>
        </w:rPr>
        <w:t xml:space="preserve"> בסוטה שנתנה עיניה בשאין ראוי לה</w:t>
      </w:r>
      <w:r>
        <w:rPr>
          <w:rFonts w:hint="cs"/>
          <w:rtl/>
          <w:lang w:val="he-IL"/>
        </w:rPr>
        <w:t>:</w:t>
      </w:r>
      <w:r w:rsidRPr="008C7CC9">
        <w:rPr>
          <w:rtl/>
          <w:lang w:val="he-IL"/>
        </w:rPr>
        <w:t xml:space="preserve"> מה שבקשה לא נתן לה ומה שבידה נוטל ממנה</w:t>
      </w:r>
      <w:r>
        <w:rPr>
          <w:rFonts w:hint="cs"/>
          <w:rtl/>
          <w:lang w:val="he-IL"/>
        </w:rPr>
        <w:t xml:space="preserve">". אבל צריך לחזור ולומר שהכל הוא בגדר חשד ונתון לבדיקה. "בועל" כאן הוא במשמעות של מי שנחשד כבועל, בלשוננו היום בועל לכאורה, לא שיש עדים ברורים שבעל (שאם כן, לא מדובר בסוטה אלא באשה וגבר שנאפו). מכאן גם ההבנה של </w:t>
      </w:r>
      <w:r w:rsidR="00AD2D7D">
        <w:rPr>
          <w:rFonts w:hint="cs"/>
          <w:rtl/>
          <w:lang w:val="he-IL"/>
        </w:rPr>
        <w:t xml:space="preserve">מדרש </w:t>
      </w:r>
      <w:r>
        <w:rPr>
          <w:rFonts w:hint="cs"/>
          <w:rtl/>
          <w:lang w:val="he-IL"/>
        </w:rPr>
        <w:t>ספרי לעיל</w:t>
      </w:r>
      <w:r w:rsidR="001B21B3">
        <w:rPr>
          <w:rFonts w:hint="cs"/>
          <w:rtl/>
          <w:lang w:val="he-IL"/>
        </w:rPr>
        <w:t>,</w:t>
      </w:r>
      <w:r>
        <w:rPr>
          <w:rFonts w:hint="cs"/>
          <w:rtl/>
          <w:lang w:val="he-IL"/>
        </w:rPr>
        <w:t xml:space="preserve"> שהוא משקל נגד לאמירת המשנה. המשנה אומרת: אסורה לבעל ואסורה לבועל, בא הספרי מדרש התנאים ואומר: ואם נקתה, אז מותרת לבעל ומותרת לבועל. טהורה לבעל ויכולה לחזור לחיי אישות מלאים. וטהורה לבועל </w:t>
      </w:r>
      <w:r>
        <w:rPr>
          <w:rtl/>
          <w:lang w:val="he-IL"/>
        </w:rPr>
        <w:t>–</w:t>
      </w:r>
      <w:r>
        <w:rPr>
          <w:rFonts w:hint="cs"/>
          <w:rtl/>
          <w:lang w:val="he-IL"/>
        </w:rPr>
        <w:t xml:space="preserve"> למי שנחשד כבועל. ואז מה? כיצד תהיה באופן מעשי "טהורה לבועל"? התשובה: אם תיפרד מבעלה בדרך של גירושין או אלמנות. יכולה היא ללכת ולהינשא למי שנחשדה כבועל שלה ('חבר' בימינו) ויצא זכאי, כשם שהיא יצאה זכאית. ועדיין, נראה שמשהו כאן צורם. אולי לא בכדי השמיטה המשנה ביטוי מקביל זה.</w:t>
      </w:r>
      <w:r>
        <w:rPr>
          <w:rFonts w:hint="cs"/>
          <w:rtl/>
        </w:rPr>
        <w:t xml:space="preserve"> למי שיש זמן, מומלץ מאד להשוות את תיאור כל הדין בספרי ובמשנה! נראה כאילו עורך המשנה חש לבעייתיות שהעלנו</w:t>
      </w:r>
      <w:r w:rsidR="001B21B3">
        <w:rPr>
          <w:rFonts w:hint="cs"/>
          <w:rtl/>
        </w:rPr>
        <w:t xml:space="preserve"> והשמיט מה שהשמיט</w:t>
      </w:r>
      <w:r>
        <w:rPr>
          <w:rFonts w:hint="cs"/>
          <w:rtl/>
        </w:rPr>
        <w:t>. אך ב</w:t>
      </w:r>
      <w:r w:rsidR="001B21B3">
        <w:rPr>
          <w:rFonts w:hint="cs"/>
          <w:rtl/>
        </w:rPr>
        <w:t xml:space="preserve">מדרש </w:t>
      </w:r>
      <w:r>
        <w:rPr>
          <w:rFonts w:hint="cs"/>
          <w:rtl/>
        </w:rPr>
        <w:t>ספרי הדברים כתובים.</w:t>
      </w:r>
    </w:p>
  </w:footnote>
  <w:footnote w:id="4">
    <w:p w14:paraId="5CF78EE2" w14:textId="77777777" w:rsidR="00AB4622" w:rsidRDefault="00AB4622" w:rsidP="00AB4622">
      <w:pPr>
        <w:pStyle w:val="a3"/>
        <w:rPr>
          <w:rFonts w:hint="cs"/>
          <w:rtl/>
        </w:rPr>
      </w:pPr>
      <w:r>
        <w:rPr>
          <w:rStyle w:val="a5"/>
        </w:rPr>
        <w:footnoteRef/>
      </w:r>
      <w:r>
        <w:rPr>
          <w:rtl/>
        </w:rPr>
        <w:t xml:space="preserve"> </w:t>
      </w:r>
      <w:r>
        <w:rPr>
          <w:rFonts w:hint="cs"/>
          <w:rtl/>
          <w:lang w:val="he-IL"/>
        </w:rPr>
        <w:t xml:space="preserve">שני אנשים עומדים כאן למבחן מול קנאותו של הבעל. </w:t>
      </w:r>
      <w:r w:rsidR="00AD2D7D">
        <w:rPr>
          <w:rFonts w:hint="cs"/>
          <w:rtl/>
          <w:lang w:val="he-IL"/>
        </w:rPr>
        <w:t xml:space="preserve">לא כל קנאות הופכת לדין סוטה. </w:t>
      </w:r>
      <w:r>
        <w:rPr>
          <w:rFonts w:hint="cs"/>
          <w:rtl/>
          <w:lang w:val="he-IL"/>
        </w:rPr>
        <w:t xml:space="preserve">יש דברים בגו. יש עד אחד שנסתרה עם גבר אחר. לא סתם הבעל מקנא כאן. יש חבר, יש ידיד, </w:t>
      </w:r>
      <w:r w:rsidR="00AD2D7D">
        <w:rPr>
          <w:rFonts w:hint="cs"/>
          <w:rtl/>
          <w:lang w:val="he-IL"/>
        </w:rPr>
        <w:t xml:space="preserve">אבל </w:t>
      </w:r>
      <w:r>
        <w:rPr>
          <w:rFonts w:hint="cs"/>
          <w:rtl/>
          <w:lang w:val="he-IL"/>
        </w:rPr>
        <w:t>האם יש גם מאהב? האם נעשתה עבירה? זה מה שמעניין את התורה: האם נעשתה כאן עבירת עריות או לא. מבחן המים של הסוטה הוא לא רק מבחן אישי שלה, אלא של כל הסיפור. של הקשר שהיה (יש?) לה עם אדם אחר</w:t>
      </w:r>
      <w:r w:rsidR="00187A5F">
        <w:rPr>
          <w:rFonts w:hint="cs"/>
          <w:rtl/>
          <w:lang w:val="he-IL"/>
        </w:rPr>
        <w:t xml:space="preserve"> ומה טיבו</w:t>
      </w:r>
      <w:r>
        <w:rPr>
          <w:rFonts w:hint="cs"/>
          <w:rtl/>
          <w:lang w:val="he-IL"/>
        </w:rPr>
        <w:t>.</w:t>
      </w:r>
      <w:r w:rsidR="0073452C">
        <w:rPr>
          <w:rFonts w:hint="cs"/>
          <w:rtl/>
          <w:lang w:val="he-IL"/>
        </w:rPr>
        <w:t xml:space="preserve"> אדם שלא עומד פיסית בטקס הסוטה במקדש, אבל בהחלט "נוכח" ועומד למבחן באשר הוא נמצא פיסית באותו רגע.</w:t>
      </w:r>
      <w:r>
        <w:rPr>
          <w:rFonts w:hint="cs"/>
          <w:rtl/>
          <w:lang w:val="he-IL"/>
        </w:rPr>
        <w:t xml:space="preserve"> האם הקל וחומר שהספרי מביא בסוף דבריו של מדת הטוב המרובה תקף גם במקרה שלנו, או שהוא מובא רק כמוטיב מוסרי</w:t>
      </w:r>
      <w:r w:rsidR="00AD2D7D">
        <w:rPr>
          <w:rFonts w:hint="cs"/>
          <w:rtl/>
          <w:lang w:val="he-IL"/>
        </w:rPr>
        <w:t>, לשם איזון הדרשה</w:t>
      </w:r>
      <w:r>
        <w:rPr>
          <w:rFonts w:hint="cs"/>
          <w:rtl/>
          <w:lang w:val="he-IL"/>
        </w:rPr>
        <w:t xml:space="preserve"> ולעניינים אחרים? האם יש מצב שגם במקרה שלנו, אם לא נטמאה האישה והחשד לעבירת עריות יתברר כלא נכון, תהיה כאן "מדת הטוב"? האם אפשר לצאת בטוב מכל העניין הזה?</w:t>
      </w:r>
    </w:p>
  </w:footnote>
  <w:footnote w:id="5">
    <w:p w14:paraId="203148EC" w14:textId="77777777" w:rsidR="0073452C" w:rsidRDefault="0073452C" w:rsidP="0073452C">
      <w:pPr>
        <w:pStyle w:val="a3"/>
        <w:rPr>
          <w:rFonts w:hint="cs"/>
          <w:rtl/>
        </w:rPr>
      </w:pPr>
      <w:r>
        <w:rPr>
          <w:rStyle w:val="a5"/>
        </w:rPr>
        <w:footnoteRef/>
      </w:r>
      <w:r>
        <w:rPr>
          <w:rtl/>
        </w:rPr>
        <w:t xml:space="preserve"> </w:t>
      </w:r>
      <w:r>
        <w:rPr>
          <w:rFonts w:hint="cs"/>
          <w:rtl/>
        </w:rPr>
        <w:t xml:space="preserve">בפסוק זה מספר תהלים היה ריש לקיש פותח את הלימוד במסכת סוטה. למה דווקא פתיחה זו למסכת סוטה? </w:t>
      </w:r>
      <w:r w:rsidR="007F20C9">
        <w:rPr>
          <w:rFonts w:hint="cs"/>
          <w:rtl/>
        </w:rPr>
        <w:t>ראו</w:t>
      </w:r>
      <w:r>
        <w:rPr>
          <w:rFonts w:hint="cs"/>
          <w:rtl/>
        </w:rPr>
        <w:t xml:space="preserve"> במקבילה של דרשה זו בגמרא סנהדרין כב ע"א, האמירות המרובות על "אשת נעורים", מי שמתה אשתו שחרב עליו עולמו וכו' </w:t>
      </w:r>
      <w:r>
        <w:rPr>
          <w:rtl/>
        </w:rPr>
        <w:t>–</w:t>
      </w:r>
      <w:r>
        <w:rPr>
          <w:rFonts w:hint="cs"/>
          <w:rtl/>
        </w:rPr>
        <w:t xml:space="preserve"> דברים שהרחבנו עליהם בדברינו </w:t>
      </w:r>
      <w:hyperlink r:id="rId1" w:history="1">
        <w:r w:rsidRPr="0073452C">
          <w:rPr>
            <w:rStyle w:val="Hyperlink"/>
            <w:rFonts w:hint="cs"/>
            <w:rtl/>
          </w:rPr>
          <w:t>זיווגו של אדם</w:t>
        </w:r>
      </w:hyperlink>
      <w:r>
        <w:rPr>
          <w:rFonts w:hint="cs"/>
          <w:rtl/>
        </w:rPr>
        <w:t xml:space="preserve"> בפרשת חיי שרה. אפשר שריש לקיש מבקש בפתיחה ללימוד מסכת סוטה להציג תוכחה עקיפה לבעל המקנא ו</w:t>
      </w:r>
      <w:r w:rsidR="002D52E2">
        <w:rPr>
          <w:rFonts w:hint="cs"/>
          <w:rtl/>
        </w:rPr>
        <w:t xml:space="preserve">להכניס גם אותו לתמונה. לא </w:t>
      </w:r>
      <w:r>
        <w:rPr>
          <w:rFonts w:hint="cs"/>
          <w:rtl/>
        </w:rPr>
        <w:t>להקטין מ</w:t>
      </w:r>
      <w:r w:rsidR="002D52E2">
        <w:rPr>
          <w:rFonts w:hint="cs"/>
          <w:rtl/>
        </w:rPr>
        <w:t>החש ל</w:t>
      </w:r>
      <w:r>
        <w:rPr>
          <w:rFonts w:hint="cs"/>
          <w:rtl/>
        </w:rPr>
        <w:t xml:space="preserve">חטא של האשה, </w:t>
      </w:r>
      <w:r w:rsidR="002D52E2">
        <w:rPr>
          <w:rFonts w:hint="cs"/>
          <w:rtl/>
        </w:rPr>
        <w:t>אבל לאזן את התמונה ובהצגת מראה אל מול פני הבעל</w:t>
      </w:r>
      <w:r>
        <w:rPr>
          <w:rFonts w:hint="cs"/>
          <w:rtl/>
        </w:rPr>
        <w:t xml:space="preserve">: קבלת אשה הראויה ומתאימה לך לפי מעשיך ומה לך מתלונן כעת? </w:t>
      </w:r>
      <w:r w:rsidR="002D52E2">
        <w:rPr>
          <w:rFonts w:hint="cs"/>
          <w:rtl/>
        </w:rPr>
        <w:t xml:space="preserve">איפה חלקך במצב אליו הגעתם. </w:t>
      </w:r>
      <w:r>
        <w:rPr>
          <w:rFonts w:hint="cs"/>
          <w:rtl/>
        </w:rPr>
        <w:t xml:space="preserve">אולי תבדוק את טיב היחסים שביניכם תחילה. "לא ינוח שבט הרשע על גורל הצדיקים" </w:t>
      </w:r>
      <w:r>
        <w:rPr>
          <w:rtl/>
        </w:rPr>
        <w:t>–</w:t>
      </w:r>
      <w:r>
        <w:rPr>
          <w:rFonts w:hint="cs"/>
          <w:rtl/>
        </w:rPr>
        <w:t xml:space="preserve"> אם אשתך רשעה בעיניך ועשתה מעשי רשעות, מן הסתם אתה אינך צדיק גדול.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5B29" w14:textId="77777777" w:rsidR="007837FB" w:rsidRPr="00974531" w:rsidRDefault="007837FB" w:rsidP="00AB4622">
    <w:pPr>
      <w:pStyle w:val="1"/>
      <w:tabs>
        <w:tab w:val="clear" w:pos="9469"/>
        <w:tab w:val="right" w:pos="9299"/>
      </w:tabs>
      <w:rPr>
        <w:rFonts w:hint="cs"/>
        <w:sz w:val="28"/>
        <w:rtl/>
      </w:rPr>
    </w:pPr>
    <w:r w:rsidRPr="00974531">
      <w:rPr>
        <w:sz w:val="28"/>
        <w:rtl/>
      </w:rPr>
      <w:t xml:space="preserve">פרשת </w:t>
    </w:r>
    <w:r>
      <w:rPr>
        <w:rFonts w:hint="cs"/>
        <w:sz w:val="28"/>
        <w:rtl/>
      </w:rPr>
      <w:t>נשא</w:t>
    </w:r>
    <w:r w:rsidRPr="00974531">
      <w:rPr>
        <w:sz w:val="28"/>
        <w:rtl/>
      </w:rPr>
      <w:tab/>
    </w:r>
    <w:r w:rsidRPr="00974531">
      <w:rPr>
        <w:rFonts w:hint="cs"/>
        <w:sz w:val="28"/>
        <w:rtl/>
      </w:rPr>
      <w:t>תש</w:t>
    </w:r>
    <w:r>
      <w:rPr>
        <w:rFonts w:hint="cs"/>
        <w:sz w:val="28"/>
        <w:rtl/>
      </w:rPr>
      <w:t>ע"</w:t>
    </w:r>
    <w:r w:rsidR="00AB4622">
      <w:rPr>
        <w:rFonts w:hint="cs"/>
        <w:sz w:val="28"/>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57D33" w14:textId="77777777" w:rsidR="007837FB" w:rsidRDefault="007837FB">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8D1C54">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DD6BE5">
      <w:rPr>
        <w:noProof/>
        <w:szCs w:val="22"/>
        <w:rtl/>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64794392">
    <w:abstractNumId w:val="8"/>
  </w:num>
  <w:num w:numId="2" w16cid:durableId="927735620">
    <w:abstractNumId w:val="3"/>
  </w:num>
  <w:num w:numId="3" w16cid:durableId="690254907">
    <w:abstractNumId w:val="2"/>
  </w:num>
  <w:num w:numId="4" w16cid:durableId="1075471280">
    <w:abstractNumId w:val="1"/>
  </w:num>
  <w:num w:numId="5" w16cid:durableId="585917151">
    <w:abstractNumId w:val="0"/>
  </w:num>
  <w:num w:numId="6" w16cid:durableId="1484354892">
    <w:abstractNumId w:val="9"/>
  </w:num>
  <w:num w:numId="7" w16cid:durableId="957680802">
    <w:abstractNumId w:val="7"/>
  </w:num>
  <w:num w:numId="8" w16cid:durableId="1730033459">
    <w:abstractNumId w:val="6"/>
  </w:num>
  <w:num w:numId="9" w16cid:durableId="1304845949">
    <w:abstractNumId w:val="5"/>
  </w:num>
  <w:num w:numId="10" w16cid:durableId="953709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2tjQ3NDQ2NDC2MDJU0lEKTi0uzszPAykwqgUAqamp6SwAAAA="/>
  </w:docVars>
  <w:rsids>
    <w:rsidRoot w:val="00974531"/>
    <w:rsid w:val="00011AF2"/>
    <w:rsid w:val="00034D44"/>
    <w:rsid w:val="00043867"/>
    <w:rsid w:val="00044D17"/>
    <w:rsid w:val="00053162"/>
    <w:rsid w:val="0005341A"/>
    <w:rsid w:val="00054FA8"/>
    <w:rsid w:val="00062F0F"/>
    <w:rsid w:val="00065E78"/>
    <w:rsid w:val="000664A0"/>
    <w:rsid w:val="00073ECC"/>
    <w:rsid w:val="000822F6"/>
    <w:rsid w:val="00087B09"/>
    <w:rsid w:val="00091D0D"/>
    <w:rsid w:val="00093492"/>
    <w:rsid w:val="000A5B36"/>
    <w:rsid w:val="000B3B78"/>
    <w:rsid w:val="000C67A3"/>
    <w:rsid w:val="000C7109"/>
    <w:rsid w:val="000E655C"/>
    <w:rsid w:val="000F1B82"/>
    <w:rsid w:val="000F2E7E"/>
    <w:rsid w:val="00100782"/>
    <w:rsid w:val="001025FA"/>
    <w:rsid w:val="00104991"/>
    <w:rsid w:val="00116D4B"/>
    <w:rsid w:val="001258F3"/>
    <w:rsid w:val="001265BD"/>
    <w:rsid w:val="0012745E"/>
    <w:rsid w:val="00135946"/>
    <w:rsid w:val="001416C6"/>
    <w:rsid w:val="00153EEF"/>
    <w:rsid w:val="00170528"/>
    <w:rsid w:val="001714FC"/>
    <w:rsid w:val="00173026"/>
    <w:rsid w:val="00175A1B"/>
    <w:rsid w:val="001773A0"/>
    <w:rsid w:val="00187A5F"/>
    <w:rsid w:val="0019491E"/>
    <w:rsid w:val="001974D6"/>
    <w:rsid w:val="001A3041"/>
    <w:rsid w:val="001A3674"/>
    <w:rsid w:val="001B03D8"/>
    <w:rsid w:val="001B0D4C"/>
    <w:rsid w:val="001B21B3"/>
    <w:rsid w:val="001B50E7"/>
    <w:rsid w:val="001C2A2A"/>
    <w:rsid w:val="001C4E66"/>
    <w:rsid w:val="001D1F1E"/>
    <w:rsid w:val="001D257E"/>
    <w:rsid w:val="001D4A0D"/>
    <w:rsid w:val="001E6680"/>
    <w:rsid w:val="002019D7"/>
    <w:rsid w:val="0021058F"/>
    <w:rsid w:val="00213E12"/>
    <w:rsid w:val="00220878"/>
    <w:rsid w:val="0022089A"/>
    <w:rsid w:val="002225BC"/>
    <w:rsid w:val="00222EDE"/>
    <w:rsid w:val="00226394"/>
    <w:rsid w:val="00226C53"/>
    <w:rsid w:val="0023612C"/>
    <w:rsid w:val="00236967"/>
    <w:rsid w:val="00241FFE"/>
    <w:rsid w:val="002522A2"/>
    <w:rsid w:val="00253DEB"/>
    <w:rsid w:val="00254132"/>
    <w:rsid w:val="00254722"/>
    <w:rsid w:val="00262E28"/>
    <w:rsid w:val="0026703E"/>
    <w:rsid w:val="002734EA"/>
    <w:rsid w:val="00273809"/>
    <w:rsid w:val="00282AE8"/>
    <w:rsid w:val="00293745"/>
    <w:rsid w:val="00297CE2"/>
    <w:rsid w:val="002A1DC0"/>
    <w:rsid w:val="002A2B6F"/>
    <w:rsid w:val="002B1776"/>
    <w:rsid w:val="002B2BC9"/>
    <w:rsid w:val="002C00F8"/>
    <w:rsid w:val="002C232E"/>
    <w:rsid w:val="002D1AB3"/>
    <w:rsid w:val="002D2B00"/>
    <w:rsid w:val="002D32ED"/>
    <w:rsid w:val="002D39F4"/>
    <w:rsid w:val="002D52E2"/>
    <w:rsid w:val="002D75F9"/>
    <w:rsid w:val="002D794C"/>
    <w:rsid w:val="002E15E4"/>
    <w:rsid w:val="002E20F0"/>
    <w:rsid w:val="002F28C2"/>
    <w:rsid w:val="002F3CA3"/>
    <w:rsid w:val="002F61EE"/>
    <w:rsid w:val="002F6407"/>
    <w:rsid w:val="003048EB"/>
    <w:rsid w:val="00304E21"/>
    <w:rsid w:val="003201C2"/>
    <w:rsid w:val="0033696C"/>
    <w:rsid w:val="003400B3"/>
    <w:rsid w:val="00353D22"/>
    <w:rsid w:val="00363688"/>
    <w:rsid w:val="0037457B"/>
    <w:rsid w:val="003829A2"/>
    <w:rsid w:val="00383836"/>
    <w:rsid w:val="00385018"/>
    <w:rsid w:val="0039288A"/>
    <w:rsid w:val="003C27B9"/>
    <w:rsid w:val="003C2F66"/>
    <w:rsid w:val="003D2F2D"/>
    <w:rsid w:val="003D4B7B"/>
    <w:rsid w:val="003D5076"/>
    <w:rsid w:val="003D6594"/>
    <w:rsid w:val="003D79F1"/>
    <w:rsid w:val="003E32B0"/>
    <w:rsid w:val="003E404E"/>
    <w:rsid w:val="003E4CA5"/>
    <w:rsid w:val="003F1CEB"/>
    <w:rsid w:val="00401B9A"/>
    <w:rsid w:val="00410A35"/>
    <w:rsid w:val="0041325C"/>
    <w:rsid w:val="00414F62"/>
    <w:rsid w:val="00415FE5"/>
    <w:rsid w:val="00417213"/>
    <w:rsid w:val="00424EE2"/>
    <w:rsid w:val="004261A7"/>
    <w:rsid w:val="00434026"/>
    <w:rsid w:val="004420B1"/>
    <w:rsid w:val="00443A3A"/>
    <w:rsid w:val="00444630"/>
    <w:rsid w:val="004603AF"/>
    <w:rsid w:val="004613CF"/>
    <w:rsid w:val="004628FB"/>
    <w:rsid w:val="00463604"/>
    <w:rsid w:val="004671AA"/>
    <w:rsid w:val="00471E33"/>
    <w:rsid w:val="00476D68"/>
    <w:rsid w:val="00476F09"/>
    <w:rsid w:val="00483364"/>
    <w:rsid w:val="004870CD"/>
    <w:rsid w:val="00487E0D"/>
    <w:rsid w:val="00493E90"/>
    <w:rsid w:val="0049587F"/>
    <w:rsid w:val="004A2684"/>
    <w:rsid w:val="004A4164"/>
    <w:rsid w:val="004B4F64"/>
    <w:rsid w:val="004D3A37"/>
    <w:rsid w:val="004D6191"/>
    <w:rsid w:val="004E27FE"/>
    <w:rsid w:val="004E4117"/>
    <w:rsid w:val="004F12D2"/>
    <w:rsid w:val="00514490"/>
    <w:rsid w:val="0051587B"/>
    <w:rsid w:val="00527037"/>
    <w:rsid w:val="00536679"/>
    <w:rsid w:val="00540681"/>
    <w:rsid w:val="005449E6"/>
    <w:rsid w:val="005452FE"/>
    <w:rsid w:val="00545816"/>
    <w:rsid w:val="00550FDC"/>
    <w:rsid w:val="005523B6"/>
    <w:rsid w:val="00552DFD"/>
    <w:rsid w:val="00554CB2"/>
    <w:rsid w:val="00557F81"/>
    <w:rsid w:val="00565142"/>
    <w:rsid w:val="00594E3B"/>
    <w:rsid w:val="005A64D1"/>
    <w:rsid w:val="005B09BD"/>
    <w:rsid w:val="005C215A"/>
    <w:rsid w:val="005C2795"/>
    <w:rsid w:val="005D2A7F"/>
    <w:rsid w:val="005D62E3"/>
    <w:rsid w:val="005E1A8D"/>
    <w:rsid w:val="005E4B6E"/>
    <w:rsid w:val="005E5CAA"/>
    <w:rsid w:val="005E7CCF"/>
    <w:rsid w:val="005E7E24"/>
    <w:rsid w:val="005F3757"/>
    <w:rsid w:val="00601153"/>
    <w:rsid w:val="00602325"/>
    <w:rsid w:val="00622395"/>
    <w:rsid w:val="00632870"/>
    <w:rsid w:val="00650F57"/>
    <w:rsid w:val="006518A4"/>
    <w:rsid w:val="0065606A"/>
    <w:rsid w:val="006564D7"/>
    <w:rsid w:val="00662428"/>
    <w:rsid w:val="00685B6A"/>
    <w:rsid w:val="00690DE3"/>
    <w:rsid w:val="006A063C"/>
    <w:rsid w:val="006A65C0"/>
    <w:rsid w:val="006C0664"/>
    <w:rsid w:val="006C79C6"/>
    <w:rsid w:val="006D03E3"/>
    <w:rsid w:val="006E2D27"/>
    <w:rsid w:val="006E3377"/>
    <w:rsid w:val="006E6803"/>
    <w:rsid w:val="006E74C1"/>
    <w:rsid w:val="006F0C1A"/>
    <w:rsid w:val="006F270E"/>
    <w:rsid w:val="0070420A"/>
    <w:rsid w:val="0071003B"/>
    <w:rsid w:val="0071035B"/>
    <w:rsid w:val="00714E12"/>
    <w:rsid w:val="00722AA7"/>
    <w:rsid w:val="00724B6A"/>
    <w:rsid w:val="00724C90"/>
    <w:rsid w:val="007339F8"/>
    <w:rsid w:val="00733CAD"/>
    <w:rsid w:val="0073452C"/>
    <w:rsid w:val="00735A7E"/>
    <w:rsid w:val="00744119"/>
    <w:rsid w:val="00744285"/>
    <w:rsid w:val="00745969"/>
    <w:rsid w:val="007476C1"/>
    <w:rsid w:val="00751B3D"/>
    <w:rsid w:val="00757660"/>
    <w:rsid w:val="00757C2D"/>
    <w:rsid w:val="00765DC4"/>
    <w:rsid w:val="00766293"/>
    <w:rsid w:val="00767CAF"/>
    <w:rsid w:val="00775761"/>
    <w:rsid w:val="007778DE"/>
    <w:rsid w:val="007837FB"/>
    <w:rsid w:val="007879FD"/>
    <w:rsid w:val="00792A54"/>
    <w:rsid w:val="00793C3B"/>
    <w:rsid w:val="007947C0"/>
    <w:rsid w:val="00794EEA"/>
    <w:rsid w:val="007975C6"/>
    <w:rsid w:val="007A2266"/>
    <w:rsid w:val="007B1911"/>
    <w:rsid w:val="007B20FD"/>
    <w:rsid w:val="007C1DC5"/>
    <w:rsid w:val="007C4D0F"/>
    <w:rsid w:val="007C7F3B"/>
    <w:rsid w:val="007D487C"/>
    <w:rsid w:val="007E4393"/>
    <w:rsid w:val="007F0F42"/>
    <w:rsid w:val="007F1B53"/>
    <w:rsid w:val="007F1EC0"/>
    <w:rsid w:val="007F20C9"/>
    <w:rsid w:val="007F4D1A"/>
    <w:rsid w:val="007F50CD"/>
    <w:rsid w:val="008077FB"/>
    <w:rsid w:val="00811DAB"/>
    <w:rsid w:val="00822C33"/>
    <w:rsid w:val="0082554D"/>
    <w:rsid w:val="0082734D"/>
    <w:rsid w:val="00827984"/>
    <w:rsid w:val="008424C6"/>
    <w:rsid w:val="00842794"/>
    <w:rsid w:val="00843E4A"/>
    <w:rsid w:val="00853C45"/>
    <w:rsid w:val="0085761D"/>
    <w:rsid w:val="008619FE"/>
    <w:rsid w:val="00864BDB"/>
    <w:rsid w:val="008655E1"/>
    <w:rsid w:val="0087324D"/>
    <w:rsid w:val="00877A5C"/>
    <w:rsid w:val="0088365F"/>
    <w:rsid w:val="00895E85"/>
    <w:rsid w:val="008A5A4D"/>
    <w:rsid w:val="008B19D8"/>
    <w:rsid w:val="008B3B5E"/>
    <w:rsid w:val="008B4AE7"/>
    <w:rsid w:val="008B5252"/>
    <w:rsid w:val="008B550A"/>
    <w:rsid w:val="008B6179"/>
    <w:rsid w:val="008B6692"/>
    <w:rsid w:val="008B6DE0"/>
    <w:rsid w:val="008C4048"/>
    <w:rsid w:val="008C63B7"/>
    <w:rsid w:val="008C7FDC"/>
    <w:rsid w:val="008D027F"/>
    <w:rsid w:val="008D0676"/>
    <w:rsid w:val="008D1C54"/>
    <w:rsid w:val="008E13ED"/>
    <w:rsid w:val="008E37EC"/>
    <w:rsid w:val="008F498E"/>
    <w:rsid w:val="008F58D5"/>
    <w:rsid w:val="00901B66"/>
    <w:rsid w:val="00904BC9"/>
    <w:rsid w:val="0091186B"/>
    <w:rsid w:val="0091517F"/>
    <w:rsid w:val="0091545D"/>
    <w:rsid w:val="009162DF"/>
    <w:rsid w:val="0091695C"/>
    <w:rsid w:val="00924670"/>
    <w:rsid w:val="00924BF2"/>
    <w:rsid w:val="0092659D"/>
    <w:rsid w:val="009319D5"/>
    <w:rsid w:val="009339FA"/>
    <w:rsid w:val="0093748A"/>
    <w:rsid w:val="009422FA"/>
    <w:rsid w:val="00945098"/>
    <w:rsid w:val="00951DD0"/>
    <w:rsid w:val="00960633"/>
    <w:rsid w:val="00962AE1"/>
    <w:rsid w:val="00974531"/>
    <w:rsid w:val="00977169"/>
    <w:rsid w:val="009815F0"/>
    <w:rsid w:val="009A526D"/>
    <w:rsid w:val="009D0AF3"/>
    <w:rsid w:val="009E0DB3"/>
    <w:rsid w:val="009E582B"/>
    <w:rsid w:val="009E7C7F"/>
    <w:rsid w:val="009F39F2"/>
    <w:rsid w:val="009F45CA"/>
    <w:rsid w:val="00A02577"/>
    <w:rsid w:val="00A05A37"/>
    <w:rsid w:val="00A16B78"/>
    <w:rsid w:val="00A20559"/>
    <w:rsid w:val="00A2217D"/>
    <w:rsid w:val="00A24D8E"/>
    <w:rsid w:val="00A25C6B"/>
    <w:rsid w:val="00A2725D"/>
    <w:rsid w:val="00A274A0"/>
    <w:rsid w:val="00A43A0C"/>
    <w:rsid w:val="00A51C56"/>
    <w:rsid w:val="00A579B6"/>
    <w:rsid w:val="00A704B9"/>
    <w:rsid w:val="00A7305B"/>
    <w:rsid w:val="00A773A4"/>
    <w:rsid w:val="00A774AB"/>
    <w:rsid w:val="00A814D8"/>
    <w:rsid w:val="00A84CC9"/>
    <w:rsid w:val="00A94FD0"/>
    <w:rsid w:val="00A95155"/>
    <w:rsid w:val="00A951BC"/>
    <w:rsid w:val="00AB1DF3"/>
    <w:rsid w:val="00AB209A"/>
    <w:rsid w:val="00AB2D08"/>
    <w:rsid w:val="00AB3900"/>
    <w:rsid w:val="00AB4622"/>
    <w:rsid w:val="00AC52C2"/>
    <w:rsid w:val="00AD2D7D"/>
    <w:rsid w:val="00AD4E8F"/>
    <w:rsid w:val="00AD52E5"/>
    <w:rsid w:val="00AD69C6"/>
    <w:rsid w:val="00AF442A"/>
    <w:rsid w:val="00AF7D2E"/>
    <w:rsid w:val="00B04BF2"/>
    <w:rsid w:val="00B06AAE"/>
    <w:rsid w:val="00B12588"/>
    <w:rsid w:val="00B14FD3"/>
    <w:rsid w:val="00B1696E"/>
    <w:rsid w:val="00B22E90"/>
    <w:rsid w:val="00B23402"/>
    <w:rsid w:val="00B43D07"/>
    <w:rsid w:val="00B43E01"/>
    <w:rsid w:val="00B46879"/>
    <w:rsid w:val="00B629F2"/>
    <w:rsid w:val="00B75C3B"/>
    <w:rsid w:val="00B76BA5"/>
    <w:rsid w:val="00B813EB"/>
    <w:rsid w:val="00B81E7E"/>
    <w:rsid w:val="00B93FC7"/>
    <w:rsid w:val="00BA181D"/>
    <w:rsid w:val="00BA713D"/>
    <w:rsid w:val="00BD06BB"/>
    <w:rsid w:val="00BD7370"/>
    <w:rsid w:val="00BD7479"/>
    <w:rsid w:val="00BD7CAB"/>
    <w:rsid w:val="00BF41E1"/>
    <w:rsid w:val="00C108CB"/>
    <w:rsid w:val="00C11832"/>
    <w:rsid w:val="00C26ED9"/>
    <w:rsid w:val="00C27B20"/>
    <w:rsid w:val="00C30EED"/>
    <w:rsid w:val="00C343C3"/>
    <w:rsid w:val="00C40B39"/>
    <w:rsid w:val="00C41FBC"/>
    <w:rsid w:val="00C4528F"/>
    <w:rsid w:val="00C47563"/>
    <w:rsid w:val="00C60D18"/>
    <w:rsid w:val="00C64927"/>
    <w:rsid w:val="00C71D13"/>
    <w:rsid w:val="00C72E52"/>
    <w:rsid w:val="00C768E8"/>
    <w:rsid w:val="00C80AE5"/>
    <w:rsid w:val="00C85330"/>
    <w:rsid w:val="00C85FF4"/>
    <w:rsid w:val="00C975B9"/>
    <w:rsid w:val="00CA0225"/>
    <w:rsid w:val="00CA1AA1"/>
    <w:rsid w:val="00CA22F3"/>
    <w:rsid w:val="00CB515A"/>
    <w:rsid w:val="00CB74C6"/>
    <w:rsid w:val="00CC0E75"/>
    <w:rsid w:val="00CC1BD8"/>
    <w:rsid w:val="00CC2525"/>
    <w:rsid w:val="00CE1A53"/>
    <w:rsid w:val="00CF5371"/>
    <w:rsid w:val="00CF5AB9"/>
    <w:rsid w:val="00D039E1"/>
    <w:rsid w:val="00D100C2"/>
    <w:rsid w:val="00D122E2"/>
    <w:rsid w:val="00D15ACE"/>
    <w:rsid w:val="00D15BC4"/>
    <w:rsid w:val="00D208E1"/>
    <w:rsid w:val="00D2169B"/>
    <w:rsid w:val="00D251A4"/>
    <w:rsid w:val="00D257E1"/>
    <w:rsid w:val="00D26BBB"/>
    <w:rsid w:val="00D456A9"/>
    <w:rsid w:val="00D5060B"/>
    <w:rsid w:val="00D62BD5"/>
    <w:rsid w:val="00D71642"/>
    <w:rsid w:val="00D7538A"/>
    <w:rsid w:val="00D75584"/>
    <w:rsid w:val="00D83A3A"/>
    <w:rsid w:val="00D91A90"/>
    <w:rsid w:val="00D935D1"/>
    <w:rsid w:val="00D9434C"/>
    <w:rsid w:val="00D97309"/>
    <w:rsid w:val="00D97921"/>
    <w:rsid w:val="00DA2CB3"/>
    <w:rsid w:val="00DA4683"/>
    <w:rsid w:val="00DB7412"/>
    <w:rsid w:val="00DC0465"/>
    <w:rsid w:val="00DC0C06"/>
    <w:rsid w:val="00DC377C"/>
    <w:rsid w:val="00DC78D2"/>
    <w:rsid w:val="00DD2374"/>
    <w:rsid w:val="00DD4002"/>
    <w:rsid w:val="00DD6BE5"/>
    <w:rsid w:val="00DE3596"/>
    <w:rsid w:val="00DE42CB"/>
    <w:rsid w:val="00DF291E"/>
    <w:rsid w:val="00E00821"/>
    <w:rsid w:val="00E0299D"/>
    <w:rsid w:val="00E03D75"/>
    <w:rsid w:val="00E126C4"/>
    <w:rsid w:val="00E15E2C"/>
    <w:rsid w:val="00E2287C"/>
    <w:rsid w:val="00E318A2"/>
    <w:rsid w:val="00E411A0"/>
    <w:rsid w:val="00E43532"/>
    <w:rsid w:val="00E446DC"/>
    <w:rsid w:val="00E533B8"/>
    <w:rsid w:val="00E56C28"/>
    <w:rsid w:val="00E62C28"/>
    <w:rsid w:val="00E83E13"/>
    <w:rsid w:val="00E8757B"/>
    <w:rsid w:val="00E911DD"/>
    <w:rsid w:val="00E92E56"/>
    <w:rsid w:val="00E96432"/>
    <w:rsid w:val="00EA1090"/>
    <w:rsid w:val="00EB25D4"/>
    <w:rsid w:val="00EB2DBB"/>
    <w:rsid w:val="00EC1C8A"/>
    <w:rsid w:val="00EC2AF0"/>
    <w:rsid w:val="00EC2C25"/>
    <w:rsid w:val="00ED6933"/>
    <w:rsid w:val="00ED7B3F"/>
    <w:rsid w:val="00EE1A23"/>
    <w:rsid w:val="00EE56CC"/>
    <w:rsid w:val="00EE70E2"/>
    <w:rsid w:val="00EF425A"/>
    <w:rsid w:val="00EF6384"/>
    <w:rsid w:val="00EF79BD"/>
    <w:rsid w:val="00F02978"/>
    <w:rsid w:val="00F04D1C"/>
    <w:rsid w:val="00F12B19"/>
    <w:rsid w:val="00F344CF"/>
    <w:rsid w:val="00F358F1"/>
    <w:rsid w:val="00F40B3D"/>
    <w:rsid w:val="00F42BB8"/>
    <w:rsid w:val="00F50EEB"/>
    <w:rsid w:val="00F61910"/>
    <w:rsid w:val="00F621CA"/>
    <w:rsid w:val="00F64D7A"/>
    <w:rsid w:val="00F663D5"/>
    <w:rsid w:val="00F70002"/>
    <w:rsid w:val="00F82D6D"/>
    <w:rsid w:val="00F846D0"/>
    <w:rsid w:val="00F9677F"/>
    <w:rsid w:val="00F9699B"/>
    <w:rsid w:val="00FA3FFC"/>
    <w:rsid w:val="00FA431C"/>
    <w:rsid w:val="00FA5187"/>
    <w:rsid w:val="00FB15AF"/>
    <w:rsid w:val="00FC16C0"/>
    <w:rsid w:val="00FC4C94"/>
    <w:rsid w:val="00FD65C8"/>
    <w:rsid w:val="00FE01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B20BB9"/>
  <w15:chartTrackingRefBased/>
  <w15:docId w15:val="{E36DA67E-1CEA-48D6-87CB-F40CA020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6BE5"/>
    <w:pPr>
      <w:bidi/>
    </w:pPr>
    <w:rPr>
      <w:rFonts w:cs="Narkisim"/>
      <w:sz w:val="22"/>
      <w:szCs w:val="22"/>
      <w:lang w:eastAsia="he-IL"/>
    </w:rPr>
  </w:style>
  <w:style w:type="paragraph" w:styleId="1">
    <w:name w:val="heading 1"/>
    <w:basedOn w:val="a"/>
    <w:next w:val="a"/>
    <w:link w:val="10"/>
    <w:qFormat/>
    <w:rsid w:val="00DD6BE5"/>
    <w:pPr>
      <w:keepNext/>
      <w:tabs>
        <w:tab w:val="right" w:pos="9469"/>
      </w:tabs>
      <w:jc w:val="both"/>
      <w:outlineLvl w:val="0"/>
    </w:pPr>
    <w:rPr>
      <w:rFonts w:cs="David"/>
      <w:b/>
      <w:bCs/>
      <w:szCs w:val="28"/>
    </w:rPr>
  </w:style>
  <w:style w:type="character" w:default="1" w:styleId="a0">
    <w:name w:val="Default Paragraph Font"/>
    <w:uiPriority w:val="1"/>
    <w:semiHidden/>
    <w:unhideWhenUsed/>
    <w:rsid w:val="00DD6B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6BE5"/>
  </w:style>
  <w:style w:type="paragraph" w:styleId="a3">
    <w:name w:val="footnote text"/>
    <w:basedOn w:val="a"/>
    <w:link w:val="a4"/>
    <w:rsid w:val="00DD6BE5"/>
    <w:pPr>
      <w:ind w:left="170" w:hanging="170"/>
      <w:jc w:val="both"/>
    </w:pPr>
    <w:rPr>
      <w:sz w:val="20"/>
      <w:szCs w:val="20"/>
    </w:rPr>
  </w:style>
  <w:style w:type="character" w:styleId="a5">
    <w:name w:val="footnote reference"/>
    <w:semiHidden/>
    <w:rsid w:val="00DD6BE5"/>
    <w:rPr>
      <w:vertAlign w:val="superscript"/>
    </w:rPr>
  </w:style>
  <w:style w:type="paragraph" w:styleId="a6">
    <w:name w:val="header"/>
    <w:basedOn w:val="a"/>
    <w:link w:val="a7"/>
    <w:rsid w:val="00DD6BE5"/>
    <w:pPr>
      <w:tabs>
        <w:tab w:val="center" w:pos="4153"/>
        <w:tab w:val="right" w:pos="8306"/>
      </w:tabs>
    </w:pPr>
  </w:style>
  <w:style w:type="paragraph" w:styleId="a8">
    <w:name w:val="footer"/>
    <w:basedOn w:val="a"/>
    <w:link w:val="a9"/>
    <w:rsid w:val="00DD6BE5"/>
    <w:pPr>
      <w:tabs>
        <w:tab w:val="center" w:pos="4153"/>
        <w:tab w:val="right" w:pos="8306"/>
      </w:tabs>
    </w:pPr>
  </w:style>
  <w:style w:type="paragraph" w:customStyle="1" w:styleId="aa">
    <w:name w:val="כותרת"/>
    <w:basedOn w:val="a"/>
    <w:rsid w:val="00DD6BE5"/>
    <w:pPr>
      <w:spacing w:before="240" w:line="320" w:lineRule="atLeast"/>
      <w:jc w:val="center"/>
    </w:pPr>
    <w:rPr>
      <w:rFonts w:cs="David"/>
      <w:b/>
      <w:bCs/>
      <w:spacing w:val="20"/>
      <w:szCs w:val="32"/>
    </w:rPr>
  </w:style>
  <w:style w:type="paragraph" w:customStyle="1" w:styleId="ab">
    <w:name w:val="כותרת קטע"/>
    <w:basedOn w:val="a"/>
    <w:rsid w:val="00DD6BE5"/>
    <w:pPr>
      <w:spacing w:before="240" w:line="300" w:lineRule="atLeast"/>
    </w:pPr>
    <w:rPr>
      <w:rFonts w:cs="Arial"/>
      <w:b/>
      <w:bCs/>
      <w:szCs w:val="24"/>
    </w:rPr>
  </w:style>
  <w:style w:type="paragraph" w:customStyle="1" w:styleId="ac">
    <w:name w:val="מקור"/>
    <w:basedOn w:val="a"/>
    <w:rsid w:val="00DD6BE5"/>
    <w:pPr>
      <w:spacing w:line="320" w:lineRule="atLeast"/>
      <w:jc w:val="both"/>
    </w:pPr>
    <w:rPr>
      <w:rFonts w:cs="David"/>
      <w:szCs w:val="24"/>
    </w:rPr>
  </w:style>
  <w:style w:type="paragraph" w:customStyle="1" w:styleId="ad">
    <w:name w:val="מחלקי המים"/>
    <w:basedOn w:val="a"/>
    <w:rsid w:val="00DD6BE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DD6BE5"/>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DD6BE5"/>
    <w:rPr>
      <w:rFonts w:ascii="Tahoma" w:hAnsi="Tahoma" w:cs="Tahoma"/>
      <w:sz w:val="16"/>
      <w:szCs w:val="16"/>
    </w:rPr>
  </w:style>
  <w:style w:type="character" w:customStyle="1" w:styleId="a4">
    <w:name w:val="טקסט הערת שוליים תו"/>
    <w:link w:val="a3"/>
    <w:rsid w:val="00DD6BE5"/>
    <w:rPr>
      <w:rFonts w:cs="Narkisim"/>
      <w:lang w:eastAsia="he-IL"/>
    </w:rPr>
  </w:style>
  <w:style w:type="character" w:customStyle="1" w:styleId="10">
    <w:name w:val="כותרת 1 תו"/>
    <w:link w:val="1"/>
    <w:rsid w:val="00DD6BE5"/>
    <w:rPr>
      <w:rFonts w:cs="David"/>
      <w:b/>
      <w:bCs/>
      <w:sz w:val="22"/>
      <w:szCs w:val="28"/>
      <w:lang w:eastAsia="he-IL"/>
    </w:rPr>
  </w:style>
  <w:style w:type="character" w:customStyle="1" w:styleId="a7">
    <w:name w:val="כותרת עליונה תו"/>
    <w:link w:val="a6"/>
    <w:rsid w:val="00DD6BE5"/>
    <w:rPr>
      <w:rFonts w:cs="Narkisim"/>
      <w:sz w:val="22"/>
      <w:szCs w:val="22"/>
      <w:lang w:eastAsia="he-IL"/>
    </w:rPr>
  </w:style>
  <w:style w:type="character" w:customStyle="1" w:styleId="a9">
    <w:name w:val="כותרת תחתונה תו"/>
    <w:link w:val="a8"/>
    <w:rsid w:val="00DD6BE5"/>
    <w:rPr>
      <w:rFonts w:cs="Narkisim"/>
      <w:sz w:val="22"/>
      <w:szCs w:val="22"/>
      <w:lang w:eastAsia="he-IL"/>
    </w:rPr>
  </w:style>
  <w:style w:type="character" w:customStyle="1" w:styleId="af1">
    <w:name w:val="טקסט בלונים תו"/>
    <w:link w:val="af0"/>
    <w:uiPriority w:val="99"/>
    <w:semiHidden/>
    <w:rsid w:val="00DD6BE5"/>
    <w:rPr>
      <w:rFonts w:ascii="Tahoma" w:hAnsi="Tahoma" w:cs="Tahoma"/>
      <w:sz w:val="16"/>
      <w:szCs w:val="16"/>
      <w:lang w:eastAsia="he-IL"/>
    </w:rPr>
  </w:style>
  <w:style w:type="character" w:customStyle="1" w:styleId="gmail-tooltippedword">
    <w:name w:val="gmail-tooltippedword"/>
    <w:rsid w:val="00C4528F"/>
  </w:style>
  <w:style w:type="character" w:customStyle="1" w:styleId="gmail-maremakomnosaf">
    <w:name w:val="gmail-maremakomnosaf"/>
    <w:rsid w:val="00C4528F"/>
  </w:style>
  <w:style w:type="paragraph" w:customStyle="1" w:styleId="af2">
    <w:name w:val="פסוק"/>
    <w:basedOn w:val="ac"/>
    <w:qFormat/>
    <w:rsid w:val="00DD6BE5"/>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96%D7%99%D7%95%D7%95%D7%92%D7%95-%D7%A9%D7%9C-%D7%90%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A42D-6DCB-4044-B5DA-DE3FDACE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585</Words>
  <Characters>2569</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3148</CharactersWithSpaces>
  <SharedDoc>false</SharedDoc>
  <HLinks>
    <vt:vector size="6" baseType="variant">
      <vt:variant>
        <vt:i4>7274555</vt:i4>
      </vt:variant>
      <vt:variant>
        <vt:i4>0</vt:i4>
      </vt:variant>
      <vt:variant>
        <vt:i4>0</vt:i4>
      </vt:variant>
      <vt:variant>
        <vt:i4>5</vt:i4>
      </vt:variant>
      <vt:variant>
        <vt:lpwstr>https://www.mayim.org.il/?parasha=%D7%96%D7%99%D7%95%D7%95%D7%92%D7%95-%D7%A9%D7%9C-%D7%90%D7%93%D7%9D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טהורה לבעל וטהורה לבועל</dc:title>
  <dc:subject>מסעי</dc:subject>
  <dc:creator>אשר יובל</dc:creator>
  <cp:keywords/>
  <cp:lastModifiedBy>Shimon Afek</cp:lastModifiedBy>
  <cp:revision>2</cp:revision>
  <cp:lastPrinted>2018-05-24T08:21:00Z</cp:lastPrinted>
  <dcterms:created xsi:type="dcterms:W3CDTF">2023-05-21T14:28:00Z</dcterms:created>
  <dcterms:modified xsi:type="dcterms:W3CDTF">2023-05-21T14:28:00Z</dcterms:modified>
</cp:coreProperties>
</file>