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8BE1" w14:textId="77777777" w:rsidR="009C7D66" w:rsidRDefault="009C7D66">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17ECC">
        <w:rPr>
          <w:rtl/>
        </w:rPr>
        <w:t>מלך לא דן ולא דנים אותו</w:t>
      </w:r>
      <w:r>
        <w:rPr>
          <w:rtl/>
        </w:rPr>
        <w:fldChar w:fldCharType="end"/>
      </w:r>
    </w:p>
    <w:p w14:paraId="0FE13645" w14:textId="77777777" w:rsidR="00D17ECC" w:rsidRDefault="00D17ECC" w:rsidP="00D17ECC">
      <w:pPr>
        <w:spacing w:before="240"/>
        <w:jc w:val="center"/>
        <w:rPr>
          <w:rFonts w:cs="David"/>
          <w:b/>
          <w:bCs/>
          <w:szCs w:val="32"/>
          <w:rtl/>
        </w:rPr>
      </w:pPr>
      <w:r>
        <w:rPr>
          <w:rFonts w:cs="David"/>
          <w:b/>
          <w:bCs/>
          <w:szCs w:val="32"/>
          <w:rtl/>
        </w:rPr>
        <w:t>מחלוקת ה</w:t>
      </w:r>
      <w:r w:rsidR="00DF0C47">
        <w:rPr>
          <w:rFonts w:cs="David" w:hint="cs"/>
          <w:b/>
          <w:bCs/>
          <w:szCs w:val="32"/>
          <w:rtl/>
        </w:rPr>
        <w:t>תלמוד ה</w:t>
      </w:r>
      <w:r>
        <w:rPr>
          <w:rFonts w:cs="David"/>
          <w:b/>
          <w:bCs/>
          <w:szCs w:val="32"/>
          <w:rtl/>
        </w:rPr>
        <w:t>בבלי והירושלמי</w:t>
      </w:r>
    </w:p>
    <w:p w14:paraId="4DEBAE63" w14:textId="77777777" w:rsidR="00D17ECC" w:rsidRDefault="00D17ECC" w:rsidP="00F6016D">
      <w:pPr>
        <w:pStyle w:val="ab"/>
        <w:rPr>
          <w:rFonts w:hint="cs"/>
          <w:rtl/>
        </w:rPr>
      </w:pPr>
      <w:r>
        <w:rPr>
          <w:rFonts w:hint="cs"/>
          <w:rtl/>
        </w:rPr>
        <w:t xml:space="preserve">מסכת </w:t>
      </w:r>
      <w:r>
        <w:rPr>
          <w:rtl/>
        </w:rPr>
        <w:t>סנהדרין, פרק ב משנה ב</w:t>
      </w:r>
      <w:r w:rsidR="00F6016D">
        <w:rPr>
          <w:rFonts w:hint="cs"/>
          <w:rtl/>
        </w:rPr>
        <w:t xml:space="preserve"> </w:t>
      </w:r>
      <w:r w:rsidR="00F6016D">
        <w:rPr>
          <w:rtl/>
        </w:rPr>
        <w:t>–</w:t>
      </w:r>
      <w:r w:rsidR="00F6016D">
        <w:rPr>
          <w:rFonts w:hint="cs"/>
          <w:rtl/>
        </w:rPr>
        <w:t xml:space="preserve"> דין המשנה</w:t>
      </w:r>
    </w:p>
    <w:p w14:paraId="658DE414" w14:textId="77777777" w:rsidR="00D17ECC" w:rsidRDefault="007973CE" w:rsidP="00716A26">
      <w:pPr>
        <w:pStyle w:val="ac"/>
        <w:rPr>
          <w:rFonts w:hint="cs"/>
          <w:rtl/>
        </w:rPr>
      </w:pPr>
      <w:r w:rsidRPr="007973CE">
        <w:rPr>
          <w:rFonts w:hint="eastAsia"/>
          <w:rtl/>
        </w:rPr>
        <w:t>המלך</w:t>
      </w:r>
      <w:r w:rsidRPr="007973CE">
        <w:rPr>
          <w:rtl/>
        </w:rPr>
        <w:t xml:space="preserve"> </w:t>
      </w:r>
      <w:r w:rsidRPr="007973CE">
        <w:rPr>
          <w:rFonts w:hint="eastAsia"/>
          <w:rtl/>
        </w:rPr>
        <w:t>לא</w:t>
      </w:r>
      <w:r w:rsidRPr="007973CE">
        <w:rPr>
          <w:rtl/>
        </w:rPr>
        <w:t xml:space="preserve"> </w:t>
      </w:r>
      <w:r w:rsidRPr="007973CE">
        <w:rPr>
          <w:rFonts w:hint="eastAsia"/>
          <w:rtl/>
        </w:rPr>
        <w:t>דן</w:t>
      </w:r>
      <w:r w:rsidRPr="007973CE">
        <w:rPr>
          <w:rtl/>
        </w:rPr>
        <w:t xml:space="preserve"> </w:t>
      </w:r>
      <w:r w:rsidRPr="007973CE">
        <w:rPr>
          <w:rFonts w:hint="eastAsia"/>
          <w:rtl/>
        </w:rPr>
        <w:t>ולא</w:t>
      </w:r>
      <w:r>
        <w:rPr>
          <w:rtl/>
          <w:lang w:eastAsia="en-US"/>
        </w:rPr>
        <w:t xml:space="preserve"> </w:t>
      </w:r>
      <w:proofErr w:type="spellStart"/>
      <w:r>
        <w:rPr>
          <w:rFonts w:hint="eastAsia"/>
          <w:rtl/>
          <w:lang w:eastAsia="en-US"/>
        </w:rPr>
        <w:t>דנין</w:t>
      </w:r>
      <w:proofErr w:type="spellEnd"/>
      <w:r>
        <w:rPr>
          <w:rtl/>
          <w:lang w:eastAsia="en-US"/>
        </w:rPr>
        <w:t xml:space="preserve"> </w:t>
      </w:r>
      <w:r>
        <w:rPr>
          <w:rFonts w:hint="eastAsia"/>
          <w:rtl/>
          <w:lang w:eastAsia="en-US"/>
        </w:rPr>
        <w:t>אותו</w:t>
      </w:r>
      <w:r>
        <w:rPr>
          <w:rFonts w:hint="cs"/>
          <w:rtl/>
          <w:lang w:eastAsia="en-US"/>
        </w:rPr>
        <w:t>,</w:t>
      </w:r>
      <w:r w:rsidR="00716A26">
        <w:rPr>
          <w:rFonts w:hint="cs"/>
          <w:rtl/>
          <w:lang w:eastAsia="en-US"/>
        </w:rPr>
        <w:t xml:space="preserve"> </w:t>
      </w:r>
      <w:r>
        <w:rPr>
          <w:rFonts w:hint="eastAsia"/>
          <w:rtl/>
          <w:lang w:eastAsia="en-US"/>
        </w:rPr>
        <w:t>לא</w:t>
      </w:r>
      <w:r>
        <w:rPr>
          <w:rtl/>
          <w:lang w:eastAsia="en-US"/>
        </w:rPr>
        <w:t xml:space="preserve"> </w:t>
      </w:r>
      <w:r>
        <w:rPr>
          <w:rFonts w:hint="eastAsia"/>
          <w:rtl/>
          <w:lang w:eastAsia="en-US"/>
        </w:rPr>
        <w:t>מעיד</w:t>
      </w:r>
      <w:r>
        <w:rPr>
          <w:rtl/>
          <w:lang w:eastAsia="en-US"/>
        </w:rPr>
        <w:t xml:space="preserve"> </w:t>
      </w:r>
      <w:r>
        <w:rPr>
          <w:rFonts w:hint="eastAsia"/>
          <w:rtl/>
          <w:lang w:eastAsia="en-US"/>
        </w:rPr>
        <w:t>ולא</w:t>
      </w:r>
      <w:r>
        <w:rPr>
          <w:rtl/>
          <w:lang w:eastAsia="en-US"/>
        </w:rPr>
        <w:t xml:space="preserve"> </w:t>
      </w:r>
      <w:proofErr w:type="spellStart"/>
      <w:r>
        <w:rPr>
          <w:rFonts w:hint="eastAsia"/>
          <w:rtl/>
          <w:lang w:eastAsia="en-US"/>
        </w:rPr>
        <w:t>מעידין</w:t>
      </w:r>
      <w:proofErr w:type="spellEnd"/>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חולץ</w:t>
      </w:r>
      <w:r>
        <w:rPr>
          <w:rtl/>
          <w:lang w:eastAsia="en-US"/>
        </w:rPr>
        <w:t xml:space="preserve"> </w:t>
      </w:r>
      <w:r>
        <w:rPr>
          <w:rFonts w:hint="eastAsia"/>
          <w:rtl/>
          <w:lang w:eastAsia="en-US"/>
        </w:rPr>
        <w:t>ולא</w:t>
      </w:r>
      <w:r>
        <w:rPr>
          <w:rtl/>
          <w:lang w:eastAsia="en-US"/>
        </w:rPr>
        <w:t xml:space="preserve"> </w:t>
      </w:r>
      <w:proofErr w:type="spellStart"/>
      <w:r>
        <w:rPr>
          <w:rFonts w:hint="eastAsia"/>
          <w:rtl/>
          <w:lang w:eastAsia="en-US"/>
        </w:rPr>
        <w:t>חולצין</w:t>
      </w:r>
      <w:proofErr w:type="spellEnd"/>
      <w:r>
        <w:rPr>
          <w:rtl/>
          <w:lang w:eastAsia="en-US"/>
        </w:rPr>
        <w:t xml:space="preserve"> </w:t>
      </w:r>
      <w:r>
        <w:rPr>
          <w:rFonts w:hint="eastAsia"/>
          <w:rtl/>
          <w:lang w:eastAsia="en-US"/>
        </w:rPr>
        <w:t>לאשתו</w:t>
      </w:r>
      <w:r>
        <w:rPr>
          <w:rFonts w:hint="cs"/>
          <w:rtl/>
          <w:lang w:eastAsia="en-US"/>
        </w:rPr>
        <w:t>,</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מ</w:t>
      </w:r>
      <w:r w:rsidR="000C0A06">
        <w:rPr>
          <w:rFonts w:hint="eastAsia"/>
          <w:rtl/>
          <w:lang w:eastAsia="en-US"/>
        </w:rPr>
        <w:t>ְ</w:t>
      </w:r>
      <w:r>
        <w:rPr>
          <w:rFonts w:hint="eastAsia"/>
          <w:rtl/>
          <w:lang w:eastAsia="en-US"/>
        </w:rPr>
        <w:t>י</w:t>
      </w:r>
      <w:r w:rsidR="000C0A06">
        <w:rPr>
          <w:rFonts w:hint="eastAsia"/>
          <w:rtl/>
          <w:lang w:eastAsia="en-US"/>
        </w:rPr>
        <w:t>ַ</w:t>
      </w:r>
      <w:r>
        <w:rPr>
          <w:rFonts w:hint="eastAsia"/>
          <w:rtl/>
          <w:lang w:eastAsia="en-US"/>
        </w:rPr>
        <w:t>ב</w:t>
      </w:r>
      <w:r w:rsidR="000C0A06">
        <w:rPr>
          <w:rFonts w:hint="eastAsia"/>
          <w:rtl/>
          <w:lang w:eastAsia="en-US"/>
        </w:rPr>
        <w:t>ֵּ</w:t>
      </w:r>
      <w:r>
        <w:rPr>
          <w:rFonts w:hint="eastAsia"/>
          <w:rtl/>
          <w:lang w:eastAsia="en-US"/>
        </w:rPr>
        <w:t>ם</w:t>
      </w:r>
      <w:proofErr w:type="spellEnd"/>
      <w:r>
        <w:rPr>
          <w:rtl/>
          <w:lang w:eastAsia="en-US"/>
        </w:rPr>
        <w:t xml:space="preserve"> </w:t>
      </w:r>
      <w:r>
        <w:rPr>
          <w:rFonts w:hint="eastAsia"/>
          <w:rtl/>
          <w:lang w:eastAsia="en-US"/>
        </w:rPr>
        <w:t>ולא</w:t>
      </w:r>
      <w:r>
        <w:rPr>
          <w:rtl/>
          <w:lang w:eastAsia="en-US"/>
        </w:rPr>
        <w:t xml:space="preserve"> </w:t>
      </w:r>
      <w:proofErr w:type="spellStart"/>
      <w:r>
        <w:rPr>
          <w:rFonts w:hint="eastAsia"/>
          <w:rtl/>
          <w:lang w:eastAsia="en-US"/>
        </w:rPr>
        <w:t>מיבמין</w:t>
      </w:r>
      <w:proofErr w:type="spellEnd"/>
      <w:r>
        <w:rPr>
          <w:rtl/>
          <w:lang w:eastAsia="en-US"/>
        </w:rPr>
        <w:t xml:space="preserve"> </w:t>
      </w:r>
      <w:r>
        <w:rPr>
          <w:rFonts w:hint="eastAsia"/>
          <w:rtl/>
          <w:lang w:eastAsia="en-US"/>
        </w:rPr>
        <w:t>לאשתו</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רצה</w:t>
      </w:r>
      <w:r>
        <w:rPr>
          <w:rtl/>
          <w:lang w:eastAsia="en-US"/>
        </w:rPr>
        <w:t xml:space="preserve"> </w:t>
      </w:r>
      <w:r>
        <w:rPr>
          <w:rFonts w:hint="eastAsia"/>
          <w:rtl/>
          <w:lang w:eastAsia="en-US"/>
        </w:rPr>
        <w:t>לחלוץ</w:t>
      </w:r>
      <w:r>
        <w:rPr>
          <w:rtl/>
          <w:lang w:eastAsia="en-US"/>
        </w:rPr>
        <w:t xml:space="preserve"> </w:t>
      </w:r>
      <w:r>
        <w:rPr>
          <w:rFonts w:hint="eastAsia"/>
          <w:rtl/>
          <w:lang w:eastAsia="en-US"/>
        </w:rPr>
        <w:t>או</w:t>
      </w:r>
      <w:r>
        <w:rPr>
          <w:rtl/>
          <w:lang w:eastAsia="en-US"/>
        </w:rPr>
        <w:t xml:space="preserve"> </w:t>
      </w:r>
      <w:r>
        <w:rPr>
          <w:rFonts w:hint="eastAsia"/>
          <w:rtl/>
          <w:lang w:eastAsia="en-US"/>
        </w:rPr>
        <w:t>ליבם</w:t>
      </w:r>
      <w:r>
        <w:rPr>
          <w:rtl/>
          <w:lang w:eastAsia="en-US"/>
        </w:rPr>
        <w:t xml:space="preserve"> </w:t>
      </w:r>
      <w:r>
        <w:rPr>
          <w:rFonts w:hint="eastAsia"/>
          <w:rtl/>
          <w:lang w:eastAsia="en-US"/>
        </w:rPr>
        <w:t>זכור</w:t>
      </w:r>
      <w:r>
        <w:rPr>
          <w:rtl/>
          <w:lang w:eastAsia="en-US"/>
        </w:rPr>
        <w:t xml:space="preserve"> </w:t>
      </w:r>
      <w:r>
        <w:rPr>
          <w:rFonts w:hint="eastAsia"/>
          <w:rtl/>
          <w:lang w:eastAsia="en-US"/>
        </w:rPr>
        <w:t>לטוב</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אין</w:t>
      </w:r>
      <w:r>
        <w:rPr>
          <w:rtl/>
          <w:lang w:eastAsia="en-US"/>
        </w:rPr>
        <w:t xml:space="preserve"> </w:t>
      </w:r>
      <w:proofErr w:type="spellStart"/>
      <w:r>
        <w:rPr>
          <w:rFonts w:hint="eastAsia"/>
          <w:rtl/>
          <w:lang w:eastAsia="en-US"/>
        </w:rPr>
        <w:t>שומעין</w:t>
      </w:r>
      <w:proofErr w:type="spellEnd"/>
      <w:r>
        <w:rPr>
          <w:rtl/>
          <w:lang w:eastAsia="en-US"/>
        </w:rPr>
        <w:t xml:space="preserve"> </w:t>
      </w:r>
      <w:r>
        <w:rPr>
          <w:rFonts w:hint="eastAsia"/>
          <w:rtl/>
          <w:lang w:eastAsia="en-US"/>
        </w:rPr>
        <w:t>לו</w:t>
      </w:r>
      <w:r>
        <w:rPr>
          <w:rFonts w:hint="cs"/>
          <w:rtl/>
          <w:lang w:eastAsia="en-US"/>
        </w:rPr>
        <w:t>.</w:t>
      </w:r>
      <w:r w:rsidR="00D17ECC">
        <w:rPr>
          <w:rStyle w:val="a5"/>
          <w:rtl/>
        </w:rPr>
        <w:footnoteReference w:id="1"/>
      </w:r>
    </w:p>
    <w:p w14:paraId="0F73C47C" w14:textId="77777777" w:rsidR="00686AFA" w:rsidRDefault="00686AFA" w:rsidP="00686AFA">
      <w:pPr>
        <w:pStyle w:val="ac"/>
        <w:spacing w:before="240"/>
        <w:rPr>
          <w:rFonts w:ascii="Narkisim" w:hAnsi="Narkisim" w:cs="Narkisim" w:hint="cs"/>
          <w:szCs w:val="22"/>
          <w:rtl/>
        </w:rPr>
      </w:pPr>
      <w:proofErr w:type="spellStart"/>
      <w:r w:rsidRPr="00686AFA">
        <w:rPr>
          <w:b/>
          <w:bCs/>
          <w:rtl/>
        </w:rPr>
        <w:t>וַיִּמְלֹך</w:t>
      </w:r>
      <w:proofErr w:type="spellEnd"/>
      <w:r w:rsidRPr="00686AFA">
        <w:rPr>
          <w:b/>
          <w:bCs/>
          <w:rtl/>
        </w:rPr>
        <w:t>ְ דָּוִד עַל כָּל יִשְׂרָאֵל וַיְהִי דָוִד עֹשֶׂה מִשְׁפָּט וּצְדָקָה לְכָל עַמּוֹ:</w:t>
      </w:r>
      <w:r>
        <w:rPr>
          <w:rFonts w:hint="cs"/>
          <w:rtl/>
        </w:rPr>
        <w:t xml:space="preserve"> </w:t>
      </w:r>
      <w:r w:rsidRPr="00686AFA">
        <w:rPr>
          <w:rFonts w:ascii="Narkisim" w:hAnsi="Narkisim" w:cs="Narkisim"/>
          <w:szCs w:val="22"/>
          <w:rtl/>
        </w:rPr>
        <w:t>(שמואל ב ח טו)</w:t>
      </w:r>
      <w:r>
        <w:rPr>
          <w:rFonts w:ascii="Narkisim" w:hAnsi="Narkisim" w:cs="Narkisim" w:hint="cs"/>
          <w:szCs w:val="22"/>
          <w:rtl/>
        </w:rPr>
        <w:t>.</w:t>
      </w:r>
      <w:r w:rsidR="00D74ABB">
        <w:rPr>
          <w:rStyle w:val="a5"/>
          <w:rFonts w:ascii="Narkisim" w:hAnsi="Narkisim" w:cs="Narkisim"/>
          <w:szCs w:val="22"/>
          <w:rtl/>
        </w:rPr>
        <w:footnoteReference w:id="2"/>
      </w:r>
    </w:p>
    <w:p w14:paraId="67458E21" w14:textId="77777777" w:rsidR="00D17ECC" w:rsidRDefault="00D17ECC" w:rsidP="00D17ECC">
      <w:pPr>
        <w:pStyle w:val="ab"/>
        <w:rPr>
          <w:rtl/>
        </w:rPr>
      </w:pPr>
      <w:r>
        <w:rPr>
          <w:rtl/>
        </w:rPr>
        <w:t>דברים רבה</w:t>
      </w:r>
      <w:r w:rsidR="00976F68">
        <w:rPr>
          <w:rFonts w:hint="cs"/>
          <w:rtl/>
        </w:rPr>
        <w:t xml:space="preserve"> ה ח </w:t>
      </w:r>
      <w:r>
        <w:rPr>
          <w:rtl/>
        </w:rPr>
        <w:t>פרשת</w:t>
      </w:r>
      <w:r w:rsidR="00976F68">
        <w:rPr>
          <w:rFonts w:hint="cs"/>
          <w:rtl/>
        </w:rPr>
        <w:t xml:space="preserve"> שופטים </w:t>
      </w:r>
      <w:r w:rsidR="00931288">
        <w:rPr>
          <w:rtl/>
        </w:rPr>
        <w:t>–</w:t>
      </w:r>
      <w:r w:rsidR="00976F68">
        <w:rPr>
          <w:rFonts w:hint="cs"/>
          <w:rtl/>
        </w:rPr>
        <w:t xml:space="preserve"> </w:t>
      </w:r>
      <w:r w:rsidR="00931288">
        <w:rPr>
          <w:rFonts w:hint="cs"/>
          <w:rtl/>
        </w:rPr>
        <w:t>הקב"ה הוא שדן את המלך</w:t>
      </w:r>
    </w:p>
    <w:p w14:paraId="726A73F5" w14:textId="77777777" w:rsidR="00DF0C47" w:rsidRDefault="00D17ECC" w:rsidP="00627B82">
      <w:pPr>
        <w:pStyle w:val="ac"/>
        <w:rPr>
          <w:rFonts w:hint="cs"/>
          <w:rtl/>
        </w:rPr>
      </w:pPr>
      <w:r>
        <w:rPr>
          <w:rtl/>
        </w:rPr>
        <w:t>"כי תב</w:t>
      </w:r>
      <w:r w:rsidR="004A0D6F">
        <w:rPr>
          <w:rFonts w:hint="cs"/>
          <w:rtl/>
        </w:rPr>
        <w:t>ו</w:t>
      </w:r>
      <w:r>
        <w:rPr>
          <w:rtl/>
        </w:rPr>
        <w:t xml:space="preserve">א אל הארץ ... ואמרת אשימה עלי מלך" - הלכה: </w:t>
      </w:r>
      <w:r w:rsidR="00A87C83">
        <w:rPr>
          <w:rFonts w:hint="cs"/>
          <w:rtl/>
        </w:rPr>
        <w:t xml:space="preserve">מלך ישראל שהיה לו עסק, מהו שיהא מותר לו לדון לפני בית דין? כך </w:t>
      </w:r>
      <w:r>
        <w:rPr>
          <w:rtl/>
        </w:rPr>
        <w:t xml:space="preserve">שנו חכמים: "מלך לא דן ולא </w:t>
      </w:r>
      <w:proofErr w:type="spellStart"/>
      <w:r>
        <w:rPr>
          <w:rtl/>
        </w:rPr>
        <w:t>דנין</w:t>
      </w:r>
      <w:proofErr w:type="spellEnd"/>
      <w:r>
        <w:rPr>
          <w:rtl/>
        </w:rPr>
        <w:t xml:space="preserve"> אותו לא מעיד ולא </w:t>
      </w:r>
      <w:proofErr w:type="spellStart"/>
      <w:r>
        <w:rPr>
          <w:rtl/>
        </w:rPr>
        <w:t>מעידין</w:t>
      </w:r>
      <w:proofErr w:type="spellEnd"/>
      <w:r>
        <w:rPr>
          <w:rtl/>
        </w:rPr>
        <w:t xml:space="preserve"> אותו" - </w:t>
      </w:r>
      <w:r w:rsidR="00627B82">
        <w:rPr>
          <w:rtl/>
        </w:rPr>
        <w:t>לַמְּדוּנוּ</w:t>
      </w:r>
      <w:r>
        <w:rPr>
          <w:rtl/>
        </w:rPr>
        <w:t xml:space="preserve"> רבותינו, למה אין </w:t>
      </w:r>
      <w:proofErr w:type="spellStart"/>
      <w:r>
        <w:rPr>
          <w:rtl/>
        </w:rPr>
        <w:t>דנין</w:t>
      </w:r>
      <w:proofErr w:type="spellEnd"/>
      <w:r>
        <w:rPr>
          <w:rtl/>
        </w:rPr>
        <w:t xml:space="preserve"> את המלך? אמר ר' ירמיה: שכתוב בדוד המלך: "מלפניך משפטי יצא" (תהלים </w:t>
      </w:r>
      <w:proofErr w:type="spellStart"/>
      <w:r>
        <w:rPr>
          <w:rtl/>
        </w:rPr>
        <w:t>יז</w:t>
      </w:r>
      <w:proofErr w:type="spellEnd"/>
      <w:r>
        <w:rPr>
          <w:rtl/>
        </w:rPr>
        <w:t xml:space="preserve"> ב) - הוי, אין בריה דן את המלך אלא הקב"ה</w:t>
      </w:r>
      <w:r w:rsidR="005D318D">
        <w:rPr>
          <w:rFonts w:hint="cs"/>
          <w:rtl/>
        </w:rPr>
        <w:t>.</w:t>
      </w:r>
      <w:r w:rsidR="005D318D">
        <w:rPr>
          <w:rStyle w:val="a5"/>
          <w:rtl/>
        </w:rPr>
        <w:footnoteReference w:id="3"/>
      </w:r>
      <w:r>
        <w:rPr>
          <w:rtl/>
        </w:rPr>
        <w:t xml:space="preserve"> </w:t>
      </w:r>
    </w:p>
    <w:p w14:paraId="78EF7463" w14:textId="77777777" w:rsidR="00D17ECC" w:rsidRDefault="00DF0C47" w:rsidP="00DF0C47">
      <w:pPr>
        <w:pStyle w:val="ac"/>
        <w:rPr>
          <w:rtl/>
        </w:rPr>
      </w:pPr>
      <w:r>
        <w:rPr>
          <w:rFonts w:hint="cs"/>
          <w:rtl/>
        </w:rPr>
        <w:t xml:space="preserve">רבותינו אומרים: </w:t>
      </w:r>
      <w:r w:rsidR="00D17ECC">
        <w:rPr>
          <w:rtl/>
        </w:rPr>
        <w:t>אמר הקב"ה לישראל: בני, כך חשבתי שתהיו [בני] חורין מן המלכות ... חשבתי שלא תהא אימת מלכות עליכם ... אבל אתם לא בקשתם כן ...</w:t>
      </w:r>
      <w:r>
        <w:rPr>
          <w:rFonts w:hint="cs"/>
          <w:rtl/>
        </w:rPr>
        <w:t xml:space="preserve"> כבר הזהרתי על ידי משה ואמרתי לו: הואיל וסופם לבקש להם מלך בשר ודם, מהם ימליכו ולא מלך </w:t>
      </w:r>
      <w:proofErr w:type="spellStart"/>
      <w:r>
        <w:rPr>
          <w:rFonts w:hint="cs"/>
          <w:rtl/>
        </w:rPr>
        <w:t>נכרי</w:t>
      </w:r>
      <w:proofErr w:type="spellEnd"/>
      <w:r>
        <w:rPr>
          <w:rFonts w:hint="cs"/>
          <w:rtl/>
        </w:rPr>
        <w:t xml:space="preserve"> ...</w:t>
      </w:r>
      <w:r w:rsidR="00AA3F51">
        <w:rPr>
          <w:rStyle w:val="a5"/>
          <w:rtl/>
        </w:rPr>
        <w:footnoteReference w:id="4"/>
      </w:r>
    </w:p>
    <w:p w14:paraId="1550F9DF" w14:textId="77777777" w:rsidR="00D17ECC" w:rsidRDefault="00D17ECC" w:rsidP="00D17ECC">
      <w:pPr>
        <w:spacing w:before="240" w:line="300" w:lineRule="atLeast"/>
        <w:rPr>
          <w:rFonts w:cs="Arial"/>
          <w:b/>
          <w:bCs/>
          <w:szCs w:val="24"/>
          <w:rtl/>
        </w:rPr>
      </w:pPr>
      <w:r>
        <w:rPr>
          <w:rFonts w:cs="Arial"/>
          <w:b/>
          <w:bCs/>
          <w:szCs w:val="24"/>
          <w:rtl/>
        </w:rPr>
        <w:t xml:space="preserve">מסכת סנהדרין דף </w:t>
      </w:r>
      <w:proofErr w:type="spellStart"/>
      <w:r>
        <w:rPr>
          <w:rFonts w:cs="Arial"/>
          <w:b/>
          <w:bCs/>
          <w:szCs w:val="24"/>
          <w:rtl/>
        </w:rPr>
        <w:t>יט</w:t>
      </w:r>
      <w:proofErr w:type="spellEnd"/>
      <w:r>
        <w:rPr>
          <w:rFonts w:cs="Arial"/>
          <w:b/>
          <w:bCs/>
          <w:szCs w:val="24"/>
          <w:rtl/>
        </w:rPr>
        <w:t xml:space="preserve"> עמוד א</w:t>
      </w:r>
      <w:r w:rsidR="009B29C3">
        <w:rPr>
          <w:rFonts w:cs="Arial" w:hint="cs"/>
          <w:b/>
          <w:bCs/>
          <w:szCs w:val="24"/>
          <w:rtl/>
        </w:rPr>
        <w:t xml:space="preserve"> </w:t>
      </w:r>
      <w:r w:rsidR="009B29C3">
        <w:rPr>
          <w:rFonts w:cs="Arial"/>
          <w:b/>
          <w:bCs/>
          <w:szCs w:val="24"/>
          <w:rtl/>
        </w:rPr>
        <w:t>–</w:t>
      </w:r>
      <w:r w:rsidR="009B29C3">
        <w:rPr>
          <w:rFonts w:cs="Arial" w:hint="cs"/>
          <w:b/>
          <w:bCs/>
          <w:szCs w:val="24"/>
          <w:rtl/>
        </w:rPr>
        <w:t xml:space="preserve"> שיטת הבבלי, הבחנה בין מלכי ישראל ומלכי דוד</w:t>
      </w:r>
    </w:p>
    <w:p w14:paraId="5E8E95E2" w14:textId="77777777" w:rsidR="00D17ECC" w:rsidRDefault="00D17ECC" w:rsidP="00AA3F51">
      <w:pPr>
        <w:pStyle w:val="ac"/>
        <w:rPr>
          <w:rFonts w:hint="cs"/>
          <w:rtl/>
        </w:rPr>
      </w:pPr>
      <w:r>
        <w:rPr>
          <w:rtl/>
        </w:rPr>
        <w:t xml:space="preserve">"מלך לא דן ולא </w:t>
      </w:r>
      <w:proofErr w:type="spellStart"/>
      <w:r>
        <w:rPr>
          <w:rtl/>
        </w:rPr>
        <w:t>דנין</w:t>
      </w:r>
      <w:proofErr w:type="spellEnd"/>
      <w:r>
        <w:rPr>
          <w:rtl/>
        </w:rPr>
        <w:t xml:space="preserve"> אותו" - אמר רב יוסף: לא שנו אלא מלכי ישראל, אבל מלכי </w:t>
      </w:r>
      <w:smartTag w:uri="urn:schemas-microsoft-com:office:smarttags" w:element="PersonName">
        <w:smartTagPr>
          <w:attr w:name="ProductID" w:val="בית דוד -"/>
        </w:smartTagPr>
        <w:r>
          <w:rPr>
            <w:rtl/>
          </w:rPr>
          <w:t>בית דוד -</w:t>
        </w:r>
      </w:smartTag>
      <w:r>
        <w:rPr>
          <w:rtl/>
        </w:rPr>
        <w:t xml:space="preserve"> דן </w:t>
      </w:r>
      <w:proofErr w:type="spellStart"/>
      <w:r>
        <w:rPr>
          <w:rtl/>
        </w:rPr>
        <w:t>ודנין</w:t>
      </w:r>
      <w:proofErr w:type="spellEnd"/>
      <w:r>
        <w:rPr>
          <w:rtl/>
        </w:rPr>
        <w:t xml:space="preserve"> אותן. דכתיב: "</w:t>
      </w:r>
      <w:smartTag w:uri="urn:schemas-microsoft-com:office:smarttags" w:element="PersonName">
        <w:smartTagPr>
          <w:attr w:name="ProductID" w:val="בית דוד"/>
        </w:smartTagPr>
        <w:r>
          <w:rPr>
            <w:rtl/>
          </w:rPr>
          <w:t>בית דוד</w:t>
        </w:r>
      </w:smartTag>
      <w:r>
        <w:rPr>
          <w:rtl/>
        </w:rPr>
        <w:t xml:space="preserve"> כה אמר ה' דינו לב</w:t>
      </w:r>
      <w:r w:rsidR="000354CE">
        <w:rPr>
          <w:rFonts w:hint="cs"/>
          <w:rtl/>
        </w:rPr>
        <w:t>ו</w:t>
      </w:r>
      <w:r>
        <w:rPr>
          <w:rtl/>
        </w:rPr>
        <w:t xml:space="preserve">קר משפט" (ירמיהו </w:t>
      </w:r>
      <w:proofErr w:type="spellStart"/>
      <w:r>
        <w:rPr>
          <w:rtl/>
        </w:rPr>
        <w:t>כא</w:t>
      </w:r>
      <w:proofErr w:type="spellEnd"/>
      <w:r>
        <w:rPr>
          <w:rtl/>
        </w:rPr>
        <w:t xml:space="preserve"> </w:t>
      </w:r>
      <w:proofErr w:type="spellStart"/>
      <w:r>
        <w:rPr>
          <w:rtl/>
        </w:rPr>
        <w:t>יב</w:t>
      </w:r>
      <w:proofErr w:type="spellEnd"/>
      <w:r>
        <w:rPr>
          <w:rtl/>
        </w:rPr>
        <w:t xml:space="preserve">). ואי לא </w:t>
      </w:r>
      <w:proofErr w:type="spellStart"/>
      <w:r>
        <w:rPr>
          <w:rtl/>
        </w:rPr>
        <w:t>דיינינן</w:t>
      </w:r>
      <w:proofErr w:type="spellEnd"/>
      <w:r>
        <w:rPr>
          <w:rtl/>
        </w:rPr>
        <w:t xml:space="preserve"> ליה - אינהו היכי דייני? והכתיב: "התקוששו </w:t>
      </w:r>
      <w:proofErr w:type="spellStart"/>
      <w:r>
        <w:rPr>
          <w:rtl/>
        </w:rPr>
        <w:t>וקושו</w:t>
      </w:r>
      <w:proofErr w:type="spellEnd"/>
      <w:r>
        <w:rPr>
          <w:rtl/>
        </w:rPr>
        <w:t>" (צפניה ב א), ואמר ריש לקיש: "ק</w:t>
      </w:r>
      <w:r w:rsidR="000354CE">
        <w:rPr>
          <w:rtl/>
        </w:rPr>
        <w:t>ַ</w:t>
      </w:r>
      <w:r>
        <w:rPr>
          <w:rtl/>
        </w:rPr>
        <w:t>ש</w:t>
      </w:r>
      <w:r w:rsidR="000354CE">
        <w:rPr>
          <w:rtl/>
        </w:rPr>
        <w:t>ֵ</w:t>
      </w:r>
      <w:r>
        <w:rPr>
          <w:rtl/>
        </w:rPr>
        <w:t>ט</w:t>
      </w:r>
      <w:r w:rsidR="000354CE">
        <w:rPr>
          <w:rStyle w:val="a5"/>
          <w:rtl/>
        </w:rPr>
        <w:footnoteReference w:id="5"/>
      </w:r>
      <w:r>
        <w:rPr>
          <w:rtl/>
        </w:rPr>
        <w:t xml:space="preserve"> עצמך ואחר כך ק</w:t>
      </w:r>
      <w:r w:rsidR="000354CE">
        <w:rPr>
          <w:rtl/>
        </w:rPr>
        <w:t>ַ</w:t>
      </w:r>
      <w:r>
        <w:rPr>
          <w:rtl/>
        </w:rPr>
        <w:t>ש</w:t>
      </w:r>
      <w:r w:rsidR="000354CE">
        <w:rPr>
          <w:rtl/>
        </w:rPr>
        <w:t>ֵ</w:t>
      </w:r>
      <w:r>
        <w:rPr>
          <w:rtl/>
        </w:rPr>
        <w:t>ט אחרים"</w:t>
      </w:r>
      <w:r w:rsidR="000354CE">
        <w:rPr>
          <w:rFonts w:hint="cs"/>
          <w:rtl/>
        </w:rPr>
        <w:t>!</w:t>
      </w:r>
      <w:r w:rsidR="000354CE">
        <w:rPr>
          <w:rStyle w:val="a5"/>
          <w:rtl/>
        </w:rPr>
        <w:footnoteReference w:id="6"/>
      </w:r>
      <w:r>
        <w:rPr>
          <w:rtl/>
        </w:rPr>
        <w:t xml:space="preserve"> אלא מלכי </w:t>
      </w:r>
      <w:smartTag w:uri="urn:schemas-microsoft-com:office:smarttags" w:element="PersonName">
        <w:smartTagPr>
          <w:attr w:name="ProductID" w:val="ישראל מאי"/>
        </w:smartTagPr>
        <w:r>
          <w:rPr>
            <w:rtl/>
          </w:rPr>
          <w:lastRenderedPageBreak/>
          <w:t>ישראל מאי</w:t>
        </w:r>
      </w:smartTag>
      <w:r>
        <w:rPr>
          <w:rtl/>
        </w:rPr>
        <w:t xml:space="preserve"> טעמא לא? - משום מעשה שהיה. </w:t>
      </w:r>
      <w:proofErr w:type="spellStart"/>
      <w:r>
        <w:rPr>
          <w:rtl/>
        </w:rPr>
        <w:t>דעבדיה</w:t>
      </w:r>
      <w:proofErr w:type="spellEnd"/>
      <w:r>
        <w:rPr>
          <w:rtl/>
        </w:rPr>
        <w:t xml:space="preserve"> </w:t>
      </w:r>
      <w:proofErr w:type="spellStart"/>
      <w:r>
        <w:rPr>
          <w:rtl/>
        </w:rPr>
        <w:t>דינאי</w:t>
      </w:r>
      <w:proofErr w:type="spellEnd"/>
      <w:r>
        <w:rPr>
          <w:rtl/>
        </w:rPr>
        <w:t xml:space="preserve"> מלכא קטל </w:t>
      </w:r>
      <w:proofErr w:type="spellStart"/>
      <w:r>
        <w:rPr>
          <w:rtl/>
        </w:rPr>
        <w:t>נפשא</w:t>
      </w:r>
      <w:proofErr w:type="spellEnd"/>
      <w:r>
        <w:rPr>
          <w:rtl/>
        </w:rPr>
        <w:t xml:space="preserve"> (עבדו של ינאי המלך הרג בן אדם). אמר להו שמעון </w:t>
      </w:r>
      <w:smartTag w:uri="urn:schemas-microsoft-com:office:smarttags" w:element="PersonName">
        <w:smartTagPr>
          <w:attr w:name="ProductID" w:val="בן שטח"/>
        </w:smartTagPr>
        <w:r>
          <w:rPr>
            <w:rtl/>
          </w:rPr>
          <w:t>בן שטח</w:t>
        </w:r>
      </w:smartTag>
      <w:r>
        <w:rPr>
          <w:rtl/>
        </w:rPr>
        <w:t xml:space="preserve"> לחכמים: תנו עיניכם בו </w:t>
      </w:r>
      <w:proofErr w:type="spellStart"/>
      <w:r>
        <w:rPr>
          <w:rtl/>
        </w:rPr>
        <w:t>ונדוננו</w:t>
      </w:r>
      <w:proofErr w:type="spellEnd"/>
      <w:r>
        <w:rPr>
          <w:rtl/>
        </w:rPr>
        <w:t xml:space="preserve">. שלחו לו (לינאי): עבדך קטל </w:t>
      </w:r>
      <w:proofErr w:type="spellStart"/>
      <w:r>
        <w:rPr>
          <w:rtl/>
        </w:rPr>
        <w:t>נפשא</w:t>
      </w:r>
      <w:proofErr w:type="spellEnd"/>
      <w:r w:rsidR="009B29C3">
        <w:rPr>
          <w:rFonts w:hint="cs"/>
          <w:rtl/>
        </w:rPr>
        <w:t xml:space="preserve"> (עבדך הרג אדם)</w:t>
      </w:r>
      <w:r>
        <w:rPr>
          <w:rtl/>
        </w:rPr>
        <w:t xml:space="preserve">. שדריה להו (שלח להם את העבד לדין). שלחו לו: תא </w:t>
      </w:r>
      <w:proofErr w:type="spellStart"/>
      <w:r>
        <w:rPr>
          <w:rtl/>
        </w:rPr>
        <w:t>אנת</w:t>
      </w:r>
      <w:proofErr w:type="spellEnd"/>
      <w:r>
        <w:rPr>
          <w:rtl/>
        </w:rPr>
        <w:t xml:space="preserve"> נמי </w:t>
      </w:r>
      <w:proofErr w:type="spellStart"/>
      <w:r>
        <w:rPr>
          <w:rtl/>
        </w:rPr>
        <w:t>להכא</w:t>
      </w:r>
      <w:proofErr w:type="spellEnd"/>
      <w:r>
        <w:rPr>
          <w:rtl/>
        </w:rPr>
        <w:t xml:space="preserve"> (בוא גם אתה לכאן) - "והועד בבעליו ולא ישמרנו"</w:t>
      </w:r>
      <w:r w:rsidR="006376DD">
        <w:rPr>
          <w:rFonts w:hint="cs"/>
          <w:rtl/>
        </w:rPr>
        <w:t xml:space="preserve"> (שמות </w:t>
      </w:r>
      <w:proofErr w:type="spellStart"/>
      <w:r w:rsidR="006376DD">
        <w:rPr>
          <w:rFonts w:hint="cs"/>
          <w:rtl/>
        </w:rPr>
        <w:t>כא</w:t>
      </w:r>
      <w:proofErr w:type="spellEnd"/>
      <w:r w:rsidR="006376DD">
        <w:rPr>
          <w:rFonts w:hint="cs"/>
          <w:rtl/>
        </w:rPr>
        <w:t xml:space="preserve"> </w:t>
      </w:r>
      <w:proofErr w:type="spellStart"/>
      <w:r w:rsidR="006376DD">
        <w:rPr>
          <w:rFonts w:hint="cs"/>
          <w:rtl/>
        </w:rPr>
        <w:t>כט</w:t>
      </w:r>
      <w:proofErr w:type="spellEnd"/>
      <w:r w:rsidR="006376DD">
        <w:rPr>
          <w:rFonts w:hint="cs"/>
          <w:rtl/>
        </w:rPr>
        <w:t>)</w:t>
      </w:r>
      <w:r>
        <w:rPr>
          <w:rtl/>
        </w:rPr>
        <w:t>. אמרה תורה: יב</w:t>
      </w:r>
      <w:r w:rsidR="00650D5D">
        <w:rPr>
          <w:rFonts w:hint="cs"/>
          <w:rtl/>
        </w:rPr>
        <w:t>ו</w:t>
      </w:r>
      <w:r>
        <w:rPr>
          <w:rtl/>
        </w:rPr>
        <w:t>א בעל השור ויעמוד על שורו.</w:t>
      </w:r>
      <w:r w:rsidR="005B53C5">
        <w:rPr>
          <w:rStyle w:val="a5"/>
          <w:rtl/>
        </w:rPr>
        <w:footnoteReference w:id="7"/>
      </w:r>
      <w:r>
        <w:rPr>
          <w:rtl/>
        </w:rPr>
        <w:t xml:space="preserve"> אתא ויתיב. אמר ליה שמעון </w:t>
      </w:r>
      <w:smartTag w:uri="urn:schemas-microsoft-com:office:smarttags" w:element="PersonName">
        <w:smartTagPr>
          <w:attr w:name="ProductID" w:val="בן שטח"/>
        </w:smartTagPr>
        <w:r>
          <w:rPr>
            <w:rtl/>
          </w:rPr>
          <w:t>בן שטח</w:t>
        </w:r>
      </w:smartTag>
      <w:r>
        <w:rPr>
          <w:rtl/>
        </w:rPr>
        <w:t>: ינאי המלך! עמוד על רגליך ויעידו בך. ולא לפנינו אתה עומד, אלא לפני מי שאמר והיה העולם אתה עומד, שנאמר: "ועמדו שני האנשים אשר להם הריב". אמר לו: לא כשתאמר אתה, אלא כמה שיאמרו חבריך</w:t>
      </w:r>
      <w:r w:rsidR="00AA3F51">
        <w:rPr>
          <w:rFonts w:hint="cs"/>
          <w:rtl/>
        </w:rPr>
        <w:t>.</w:t>
      </w:r>
      <w:r w:rsidR="00AA3F51">
        <w:rPr>
          <w:rStyle w:val="a5"/>
          <w:rtl/>
        </w:rPr>
        <w:footnoteReference w:id="8"/>
      </w:r>
      <w:r>
        <w:rPr>
          <w:rtl/>
        </w:rPr>
        <w:t xml:space="preserve"> נפנה (ינאי) לימינו - כבשו (הדיינים) פניהם בקרקע. נפנה לשמאלו - כבשו פניהם בקרקע. אמר להם שמעון </w:t>
      </w:r>
      <w:smartTag w:uri="urn:schemas-microsoft-com:office:smarttags" w:element="PersonName">
        <w:smartTagPr>
          <w:attr w:name="ProductID" w:val="בן שטח"/>
        </w:smartTagPr>
        <w:r>
          <w:rPr>
            <w:rtl/>
          </w:rPr>
          <w:t>בן שטח</w:t>
        </w:r>
      </w:smartTag>
      <w:r>
        <w:rPr>
          <w:rtl/>
        </w:rPr>
        <w:t xml:space="preserve">: בעלי מחשבות אתם. יבוא בעל מחשבות ויפרע מכם. מיד בא גבריאל וחבטן בקרקע ומתו. באותה שעה אמרו: מלך לא דן ולא </w:t>
      </w:r>
      <w:proofErr w:type="spellStart"/>
      <w:r>
        <w:rPr>
          <w:rtl/>
        </w:rPr>
        <w:t>דנין</w:t>
      </w:r>
      <w:proofErr w:type="spellEnd"/>
      <w:r>
        <w:rPr>
          <w:rtl/>
        </w:rPr>
        <w:t xml:space="preserve"> אותו, לא מעיד ולא מעידים אותו</w:t>
      </w:r>
      <w:r w:rsidR="00AA3F51">
        <w:rPr>
          <w:rFonts w:hint="cs"/>
          <w:rtl/>
        </w:rPr>
        <w:t>.</w:t>
      </w:r>
      <w:r w:rsidR="00AA3F51">
        <w:rPr>
          <w:rStyle w:val="a5"/>
          <w:rtl/>
        </w:rPr>
        <w:footnoteReference w:id="9"/>
      </w:r>
    </w:p>
    <w:p w14:paraId="1F18EFF2" w14:textId="77777777" w:rsidR="00D17ECC" w:rsidRDefault="00D17ECC" w:rsidP="00D17ECC">
      <w:pPr>
        <w:spacing w:before="240" w:line="300" w:lineRule="atLeast"/>
        <w:rPr>
          <w:rFonts w:cs="Arial"/>
          <w:b/>
          <w:bCs/>
          <w:szCs w:val="24"/>
          <w:rtl/>
        </w:rPr>
      </w:pPr>
      <w:r>
        <w:rPr>
          <w:rFonts w:cs="Arial"/>
          <w:b/>
          <w:bCs/>
          <w:szCs w:val="24"/>
          <w:rtl/>
        </w:rPr>
        <w:t>ירושלמי סנהדרין פרק ב הלכה ג</w:t>
      </w:r>
      <w:r w:rsidR="00F569D8">
        <w:rPr>
          <w:rFonts w:cs="Arial" w:hint="cs"/>
          <w:b/>
          <w:bCs/>
          <w:szCs w:val="24"/>
          <w:rtl/>
        </w:rPr>
        <w:t xml:space="preserve"> </w:t>
      </w:r>
      <w:r w:rsidR="00F569D8">
        <w:rPr>
          <w:rFonts w:cs="Arial"/>
          <w:b/>
          <w:bCs/>
          <w:szCs w:val="24"/>
          <w:rtl/>
        </w:rPr>
        <w:t>–</w:t>
      </w:r>
      <w:r w:rsidR="00F569D8">
        <w:rPr>
          <w:rFonts w:cs="Arial" w:hint="cs"/>
          <w:b/>
          <w:bCs/>
          <w:szCs w:val="24"/>
          <w:rtl/>
        </w:rPr>
        <w:t xml:space="preserve"> שיטת הירושלמי, המשנה במקומה עומדת</w:t>
      </w:r>
    </w:p>
    <w:p w14:paraId="1AB9DF86" w14:textId="77777777" w:rsidR="00D17ECC" w:rsidRDefault="00D17ECC" w:rsidP="005B3CA7">
      <w:pPr>
        <w:pStyle w:val="ac"/>
        <w:rPr>
          <w:rtl/>
        </w:rPr>
      </w:pPr>
      <w:r>
        <w:rPr>
          <w:rtl/>
        </w:rPr>
        <w:t xml:space="preserve">"מלך לא דן ולא </w:t>
      </w:r>
      <w:proofErr w:type="spellStart"/>
      <w:r>
        <w:rPr>
          <w:rtl/>
        </w:rPr>
        <w:t>דנין</w:t>
      </w:r>
      <w:proofErr w:type="spellEnd"/>
      <w:r>
        <w:rPr>
          <w:rtl/>
        </w:rPr>
        <w:t xml:space="preserve"> אותו" - לא דן? והכתיב: "ויהי דוד עושה משפט וצדקה לכל עמו"</w:t>
      </w:r>
      <w:r w:rsidR="004A0D6F">
        <w:rPr>
          <w:rFonts w:hint="cs"/>
          <w:rtl/>
        </w:rPr>
        <w:t xml:space="preserve"> (שמואל ב ח טו)</w:t>
      </w:r>
      <w:r>
        <w:rPr>
          <w:rtl/>
        </w:rPr>
        <w:t xml:space="preserve">! ... אמור מעתה: היה דן הדין זיכה הזכאי וחייב החייב. היה החייב עני, נותן לו משלו. נמצא עושה דין לזה וצדקה לזה. ... ולא </w:t>
      </w:r>
      <w:proofErr w:type="spellStart"/>
      <w:r>
        <w:rPr>
          <w:rtl/>
        </w:rPr>
        <w:t>דנין</w:t>
      </w:r>
      <w:proofErr w:type="spellEnd"/>
      <w:r>
        <w:rPr>
          <w:rtl/>
        </w:rPr>
        <w:t xml:space="preserve"> אותו, על שם: "מלפניך משפטי יצא"</w:t>
      </w:r>
      <w:r w:rsidR="004A0D6F">
        <w:rPr>
          <w:rFonts w:hint="cs"/>
          <w:rtl/>
        </w:rPr>
        <w:t xml:space="preserve"> (תהלים </w:t>
      </w:r>
      <w:proofErr w:type="spellStart"/>
      <w:r w:rsidR="004A0D6F">
        <w:rPr>
          <w:rFonts w:hint="cs"/>
          <w:rtl/>
        </w:rPr>
        <w:t>יז</w:t>
      </w:r>
      <w:proofErr w:type="spellEnd"/>
      <w:r w:rsidR="004A0D6F">
        <w:rPr>
          <w:rFonts w:hint="cs"/>
          <w:rtl/>
        </w:rPr>
        <w:t xml:space="preserve"> ב)</w:t>
      </w:r>
      <w:r>
        <w:rPr>
          <w:rtl/>
        </w:rPr>
        <w:t>.</w:t>
      </w:r>
      <w:r w:rsidR="005B3CA7">
        <w:rPr>
          <w:rStyle w:val="a5"/>
          <w:rtl/>
        </w:rPr>
        <w:footnoteReference w:id="10"/>
      </w:r>
    </w:p>
    <w:p w14:paraId="67C0CB87" w14:textId="77777777" w:rsidR="00D17ECC" w:rsidRDefault="00D17ECC" w:rsidP="00D17ECC">
      <w:pPr>
        <w:spacing w:before="240" w:line="300" w:lineRule="atLeast"/>
        <w:rPr>
          <w:rFonts w:cs="Arial"/>
          <w:b/>
          <w:bCs/>
          <w:szCs w:val="24"/>
          <w:rtl/>
        </w:rPr>
      </w:pPr>
      <w:r>
        <w:rPr>
          <w:rFonts w:cs="Arial"/>
          <w:b/>
          <w:bCs/>
          <w:szCs w:val="24"/>
          <w:rtl/>
        </w:rPr>
        <w:t>מדרש תנחומא (בובר) פרשת שופטים סימן ו</w:t>
      </w:r>
      <w:r w:rsidR="00F569D8">
        <w:rPr>
          <w:rFonts w:cs="Arial" w:hint="cs"/>
          <w:b/>
          <w:bCs/>
          <w:szCs w:val="24"/>
          <w:rtl/>
        </w:rPr>
        <w:t xml:space="preserve"> </w:t>
      </w:r>
      <w:r w:rsidR="00F569D8">
        <w:rPr>
          <w:rFonts w:cs="Arial"/>
          <w:b/>
          <w:bCs/>
          <w:szCs w:val="24"/>
          <w:rtl/>
        </w:rPr>
        <w:t>–</w:t>
      </w:r>
      <w:r w:rsidR="00F569D8">
        <w:rPr>
          <w:rFonts w:cs="Arial" w:hint="cs"/>
          <w:b/>
          <w:bCs/>
          <w:szCs w:val="24"/>
          <w:rtl/>
        </w:rPr>
        <w:t xml:space="preserve"> מלך דן ודנים אותו!</w:t>
      </w:r>
    </w:p>
    <w:p w14:paraId="6A4CEE8E" w14:textId="77777777" w:rsidR="00D17ECC" w:rsidRDefault="00D17ECC" w:rsidP="004A0D6F">
      <w:pPr>
        <w:pStyle w:val="ac"/>
        <w:rPr>
          <w:rtl/>
        </w:rPr>
      </w:pPr>
      <w:r>
        <w:rPr>
          <w:rtl/>
        </w:rPr>
        <w:t xml:space="preserve">"לא תטה משפט לא תכיר פנים" - לעולם יהיו </w:t>
      </w:r>
      <w:proofErr w:type="spellStart"/>
      <w:r>
        <w:rPr>
          <w:rtl/>
        </w:rPr>
        <w:t>הדיינין</w:t>
      </w:r>
      <w:proofErr w:type="spellEnd"/>
      <w:r>
        <w:rPr>
          <w:rtl/>
        </w:rPr>
        <w:t xml:space="preserve"> </w:t>
      </w:r>
      <w:proofErr w:type="spellStart"/>
      <w:r>
        <w:rPr>
          <w:rtl/>
        </w:rPr>
        <w:t>רואין</w:t>
      </w:r>
      <w:proofErr w:type="spellEnd"/>
      <w:r>
        <w:rPr>
          <w:rtl/>
        </w:rPr>
        <w:t xml:space="preserve"> כאילו שכינה ביניהם, שנאמר: "בקרב אלהים ישפוט" (תהלים </w:t>
      </w:r>
      <w:proofErr w:type="spellStart"/>
      <w:r>
        <w:rPr>
          <w:rtl/>
        </w:rPr>
        <w:t>פב</w:t>
      </w:r>
      <w:proofErr w:type="spellEnd"/>
      <w:r>
        <w:rPr>
          <w:rtl/>
        </w:rPr>
        <w:t xml:space="preserve"> א). מכאן לבעלי </w:t>
      </w:r>
      <w:proofErr w:type="spellStart"/>
      <w:r>
        <w:rPr>
          <w:rtl/>
        </w:rPr>
        <w:t>דינין</w:t>
      </w:r>
      <w:proofErr w:type="spellEnd"/>
      <w:r>
        <w:rPr>
          <w:rtl/>
        </w:rPr>
        <w:t xml:space="preserve"> שינהגו אימה בעצמן ... אזהרה לחכם שלא יושיב אצלו מי שאינו ראוי לדין ... מעשה באחד שהיה לו דין עם מלך ממלכי בית חשמונאי, בא ועמד לפני שמעון בן שטח. אמר לו: דין יש לי אצל המלך. אמר להם שמעון בן שטח לאותן </w:t>
      </w:r>
      <w:proofErr w:type="spellStart"/>
      <w:r>
        <w:rPr>
          <w:rtl/>
        </w:rPr>
        <w:t>הדיינין</w:t>
      </w:r>
      <w:proofErr w:type="spellEnd"/>
      <w:r>
        <w:rPr>
          <w:rtl/>
        </w:rPr>
        <w:t xml:space="preserve"> שהיו </w:t>
      </w:r>
      <w:proofErr w:type="spellStart"/>
      <w:r>
        <w:rPr>
          <w:rtl/>
        </w:rPr>
        <w:t>דנין</w:t>
      </w:r>
      <w:proofErr w:type="spellEnd"/>
      <w:r>
        <w:rPr>
          <w:rtl/>
        </w:rPr>
        <w:t xml:space="preserve"> עמו: אם משגר אני בשביל המלך, אתם </w:t>
      </w:r>
      <w:proofErr w:type="spellStart"/>
      <w:r>
        <w:rPr>
          <w:rtl/>
        </w:rPr>
        <w:t>מוכיחין</w:t>
      </w:r>
      <w:proofErr w:type="spellEnd"/>
      <w:r>
        <w:rPr>
          <w:rtl/>
        </w:rPr>
        <w:t xml:space="preserve"> אותו? אמרו לו: הן. שיגר בשבילו, ובא. נתנו את הכסא אצל שמעון בן שטח</w:t>
      </w:r>
      <w:r w:rsidR="005B3CA7">
        <w:rPr>
          <w:rFonts w:hint="cs"/>
          <w:rtl/>
        </w:rPr>
        <w:t>.</w:t>
      </w:r>
      <w:r w:rsidR="005B3CA7">
        <w:rPr>
          <w:rStyle w:val="a5"/>
          <w:rtl/>
        </w:rPr>
        <w:footnoteReference w:id="11"/>
      </w:r>
      <w:r>
        <w:rPr>
          <w:rtl/>
        </w:rPr>
        <w:t xml:space="preserve"> אמר לו שמעון בן שטח: </w:t>
      </w:r>
      <w:r>
        <w:rPr>
          <w:rtl/>
        </w:rPr>
        <w:lastRenderedPageBreak/>
        <w:t xml:space="preserve">עמוד על רגליך ותן את הדין. אמר לו (המלך): וכי </w:t>
      </w:r>
      <w:proofErr w:type="spellStart"/>
      <w:r>
        <w:rPr>
          <w:rtl/>
        </w:rPr>
        <w:t>דנין</w:t>
      </w:r>
      <w:proofErr w:type="spellEnd"/>
      <w:r>
        <w:rPr>
          <w:rtl/>
        </w:rPr>
        <w:t xml:space="preserve"> את המלך? פנה לימין וכבשו </w:t>
      </w:r>
      <w:proofErr w:type="spellStart"/>
      <w:r>
        <w:rPr>
          <w:rtl/>
        </w:rPr>
        <w:t>הדיינין</w:t>
      </w:r>
      <w:proofErr w:type="spellEnd"/>
      <w:r>
        <w:rPr>
          <w:rtl/>
        </w:rPr>
        <w:t xml:space="preserve"> את פניהם בקרקע, פנה לשמאלו וכבשו את פניהם בקרקע. בא המלאך וחבטן בקרקע עד </w:t>
      </w:r>
      <w:proofErr w:type="spellStart"/>
      <w:r>
        <w:rPr>
          <w:rtl/>
        </w:rPr>
        <w:t>שיצתה</w:t>
      </w:r>
      <w:proofErr w:type="spellEnd"/>
      <w:r>
        <w:rPr>
          <w:rtl/>
        </w:rPr>
        <w:t xml:space="preserve"> נשמתן. מיד נזדעזע המלך, אמר לו שמעון בן שטח: עמוד על רגליך, ותן את הדין. כי לא לפנינו אתה עומד, אלא לפני מי שאמר והיה העולם. מיד עמד על רגליו, ונתן את הדין.</w:t>
      </w:r>
      <w:r w:rsidR="005B3CA7">
        <w:rPr>
          <w:rStyle w:val="a5"/>
          <w:rtl/>
        </w:rPr>
        <w:footnoteReference w:id="12"/>
      </w:r>
      <w:r>
        <w:rPr>
          <w:rtl/>
        </w:rPr>
        <w:t xml:space="preserve"> </w:t>
      </w:r>
    </w:p>
    <w:p w14:paraId="2468A8BC" w14:textId="77777777" w:rsidR="00D17ECC" w:rsidRDefault="00D17ECC" w:rsidP="00A93AD6">
      <w:pPr>
        <w:pStyle w:val="ac"/>
        <w:rPr>
          <w:rtl/>
        </w:rPr>
      </w:pPr>
      <w:r>
        <w:rPr>
          <w:rtl/>
        </w:rPr>
        <w:t xml:space="preserve">מכאן שיהיו בעלי </w:t>
      </w:r>
      <w:proofErr w:type="spellStart"/>
      <w:r>
        <w:rPr>
          <w:rtl/>
        </w:rPr>
        <w:t>דינין</w:t>
      </w:r>
      <w:proofErr w:type="spellEnd"/>
      <w:r>
        <w:rPr>
          <w:rtl/>
        </w:rPr>
        <w:t xml:space="preserve"> </w:t>
      </w:r>
      <w:proofErr w:type="spellStart"/>
      <w:r>
        <w:rPr>
          <w:rtl/>
        </w:rPr>
        <w:t>נוהגין</w:t>
      </w:r>
      <w:proofErr w:type="spellEnd"/>
      <w:r>
        <w:rPr>
          <w:rtl/>
        </w:rPr>
        <w:t xml:space="preserve"> אימה בעצמן, כביכול להקב"ה </w:t>
      </w:r>
      <w:proofErr w:type="spellStart"/>
      <w:r>
        <w:rPr>
          <w:rtl/>
        </w:rPr>
        <w:t>דנין</w:t>
      </w:r>
      <w:proofErr w:type="spellEnd"/>
      <w:r>
        <w:rPr>
          <w:rtl/>
        </w:rPr>
        <w:t xml:space="preserve">. שכך אמר יהושפט </w:t>
      </w:r>
      <w:proofErr w:type="spellStart"/>
      <w:r>
        <w:rPr>
          <w:rtl/>
        </w:rPr>
        <w:t>לדיינין</w:t>
      </w:r>
      <w:proofErr w:type="spellEnd"/>
      <w:r>
        <w:rPr>
          <w:rtl/>
        </w:rPr>
        <w:t>: "דעו [מה אתם עושים], כי לא לאדם תשפטו כי לה'</w:t>
      </w:r>
      <w:r w:rsidR="005B3CA7">
        <w:rPr>
          <w:rFonts w:hint="cs"/>
          <w:rtl/>
        </w:rPr>
        <w:t xml:space="preserve"> </w:t>
      </w:r>
      <w:r>
        <w:rPr>
          <w:rtl/>
        </w:rPr>
        <w:t xml:space="preserve">" (דברי הימים ב </w:t>
      </w:r>
      <w:proofErr w:type="spellStart"/>
      <w:r>
        <w:rPr>
          <w:rtl/>
        </w:rPr>
        <w:t>יט</w:t>
      </w:r>
      <w:proofErr w:type="spellEnd"/>
      <w:r>
        <w:rPr>
          <w:rtl/>
        </w:rPr>
        <w:t xml:space="preserve"> ו). אמר ר' </w:t>
      </w:r>
      <w:proofErr w:type="spellStart"/>
      <w:r>
        <w:rPr>
          <w:rtl/>
        </w:rPr>
        <w:t>חמא</w:t>
      </w:r>
      <w:proofErr w:type="spellEnd"/>
      <w:r>
        <w:rPr>
          <w:rtl/>
        </w:rPr>
        <w:t xml:space="preserve"> בר </w:t>
      </w:r>
      <w:proofErr w:type="spellStart"/>
      <w:r>
        <w:rPr>
          <w:rtl/>
        </w:rPr>
        <w:t>חנינא</w:t>
      </w:r>
      <w:proofErr w:type="spellEnd"/>
      <w:r>
        <w:rPr>
          <w:rtl/>
        </w:rPr>
        <w:t xml:space="preserve">: בוא וראה, </w:t>
      </w:r>
      <w:proofErr w:type="spellStart"/>
      <w:r>
        <w:rPr>
          <w:rtl/>
        </w:rPr>
        <w:t>אילמלא</w:t>
      </w:r>
      <w:proofErr w:type="spellEnd"/>
      <w:r>
        <w:rPr>
          <w:rtl/>
        </w:rPr>
        <w:t xml:space="preserve"> מקרא כתוב אי אפשר לאומרו, שבשר ודם דן לבוראו.</w:t>
      </w:r>
      <w:r w:rsidR="000D043E">
        <w:rPr>
          <w:rStyle w:val="a5"/>
          <w:rtl/>
        </w:rPr>
        <w:footnoteReference w:id="13"/>
      </w:r>
      <w:r>
        <w:rPr>
          <w:rtl/>
        </w:rPr>
        <w:t xml:space="preserve"> אמר הקב"ה </w:t>
      </w:r>
      <w:proofErr w:type="spellStart"/>
      <w:r>
        <w:rPr>
          <w:rtl/>
        </w:rPr>
        <w:t>לדיינין</w:t>
      </w:r>
      <w:proofErr w:type="spellEnd"/>
      <w:r>
        <w:rPr>
          <w:rtl/>
        </w:rPr>
        <w:t xml:space="preserve">: היו </w:t>
      </w:r>
      <w:proofErr w:type="spellStart"/>
      <w:r>
        <w:rPr>
          <w:rtl/>
        </w:rPr>
        <w:t>נוהגין</w:t>
      </w:r>
      <w:proofErr w:type="spellEnd"/>
      <w:r>
        <w:rPr>
          <w:rtl/>
        </w:rPr>
        <w:t xml:space="preserve"> אימה בעצמכם כאילו </w:t>
      </w:r>
      <w:proofErr w:type="spellStart"/>
      <w:r>
        <w:rPr>
          <w:rtl/>
        </w:rPr>
        <w:t>דנין</w:t>
      </w:r>
      <w:proofErr w:type="spellEnd"/>
      <w:r>
        <w:rPr>
          <w:rtl/>
        </w:rPr>
        <w:t xml:space="preserve"> אותי.</w:t>
      </w:r>
      <w:r w:rsidR="00AD3F3C">
        <w:rPr>
          <w:rStyle w:val="a5"/>
          <w:rtl/>
        </w:rPr>
        <w:footnoteReference w:id="14"/>
      </w:r>
    </w:p>
    <w:p w14:paraId="5E1E0465" w14:textId="77777777" w:rsidR="007D582A" w:rsidRPr="00797ADD" w:rsidRDefault="007D582A" w:rsidP="007D582A">
      <w:pPr>
        <w:pStyle w:val="ab"/>
        <w:rPr>
          <w:rtl/>
          <w:lang w:val="he-IL"/>
        </w:rPr>
      </w:pPr>
      <w:r w:rsidRPr="00797ADD">
        <w:rPr>
          <w:rtl/>
          <w:lang w:val="he-IL"/>
        </w:rPr>
        <w:t xml:space="preserve">אגדת בראשית (בובר) פרק ו </w:t>
      </w:r>
      <w:r>
        <w:rPr>
          <w:rFonts w:hint="cs"/>
          <w:rtl/>
          <w:lang w:val="he-IL"/>
        </w:rPr>
        <w:t>סימן א</w:t>
      </w:r>
      <w:r w:rsidR="006D6CBF">
        <w:rPr>
          <w:rFonts w:hint="cs"/>
          <w:rtl/>
          <w:lang w:val="he-IL"/>
        </w:rPr>
        <w:t xml:space="preserve"> </w:t>
      </w:r>
      <w:r w:rsidR="006D6CBF">
        <w:rPr>
          <w:rtl/>
          <w:lang w:val="he-IL"/>
        </w:rPr>
        <w:t>–</w:t>
      </w:r>
      <w:r w:rsidR="006D6CBF">
        <w:rPr>
          <w:rFonts w:hint="cs"/>
          <w:rtl/>
          <w:lang w:val="he-IL"/>
        </w:rPr>
        <w:t xml:space="preserve"> מלפניך משפט כולנו יצא</w:t>
      </w:r>
    </w:p>
    <w:p w14:paraId="409B7733" w14:textId="77777777" w:rsidR="007D582A" w:rsidRDefault="007D582A" w:rsidP="00AB0093">
      <w:pPr>
        <w:pStyle w:val="ac"/>
        <w:rPr>
          <w:rFonts w:hint="cs"/>
          <w:rtl/>
        </w:rPr>
      </w:pPr>
      <w:r>
        <w:rPr>
          <w:rFonts w:hint="cs"/>
          <w:rtl/>
          <w:lang w:val="he-IL"/>
        </w:rPr>
        <w:t>"</w:t>
      </w:r>
      <w:r w:rsidRPr="00797ADD">
        <w:rPr>
          <w:rtl/>
          <w:lang w:val="he-IL"/>
        </w:rPr>
        <w:t>תפ</w:t>
      </w:r>
      <w:r>
        <w:rPr>
          <w:rFonts w:hint="cs"/>
          <w:rtl/>
          <w:lang w:val="he-IL"/>
        </w:rPr>
        <w:t>י</w:t>
      </w:r>
      <w:r w:rsidRPr="00797ADD">
        <w:rPr>
          <w:rtl/>
          <w:lang w:val="he-IL"/>
        </w:rPr>
        <w:t>לה לדוד שמעה ה' צדק</w:t>
      </w:r>
      <w:r>
        <w:rPr>
          <w:rFonts w:hint="cs"/>
          <w:rtl/>
          <w:lang w:val="he-IL"/>
        </w:rPr>
        <w:t>"</w:t>
      </w:r>
      <w:r w:rsidRPr="00797ADD">
        <w:rPr>
          <w:rtl/>
          <w:lang w:val="he-IL"/>
        </w:rPr>
        <w:t xml:space="preserve"> (תהלים </w:t>
      </w:r>
      <w:proofErr w:type="spellStart"/>
      <w:r w:rsidRPr="00797ADD">
        <w:rPr>
          <w:rtl/>
          <w:lang w:val="he-IL"/>
        </w:rPr>
        <w:t>יז</w:t>
      </w:r>
      <w:proofErr w:type="spellEnd"/>
      <w:r w:rsidRPr="00797ADD">
        <w:rPr>
          <w:rtl/>
          <w:lang w:val="he-IL"/>
        </w:rPr>
        <w:t xml:space="preserve"> א)</w:t>
      </w:r>
      <w:r w:rsidR="00AB0093">
        <w:rPr>
          <w:rFonts w:hint="cs"/>
          <w:rtl/>
          <w:lang w:val="he-IL"/>
        </w:rPr>
        <w:t xml:space="preserve"> ...</w:t>
      </w:r>
      <w:r w:rsidRPr="00797ADD">
        <w:rPr>
          <w:rtl/>
          <w:lang w:val="he-IL"/>
        </w:rPr>
        <w:t xml:space="preserve"> דוד מתפלל באומנות</w:t>
      </w:r>
      <w:r>
        <w:rPr>
          <w:rFonts w:hint="cs"/>
          <w:rtl/>
          <w:lang w:val="he-IL"/>
        </w:rPr>
        <w:t>.</w:t>
      </w:r>
      <w:r w:rsidRPr="00797ADD">
        <w:rPr>
          <w:rtl/>
          <w:lang w:val="he-IL"/>
        </w:rPr>
        <w:t xml:space="preserve"> </w:t>
      </w:r>
      <w:proofErr w:type="spellStart"/>
      <w:r w:rsidRPr="00797ADD">
        <w:rPr>
          <w:rtl/>
          <w:lang w:val="he-IL"/>
        </w:rPr>
        <w:t>האיך</w:t>
      </w:r>
      <w:proofErr w:type="spellEnd"/>
      <w:r>
        <w:rPr>
          <w:rFonts w:hint="cs"/>
          <w:rtl/>
          <w:lang w:val="he-IL"/>
        </w:rPr>
        <w:t>?</w:t>
      </w:r>
      <w:r w:rsidRPr="00797ADD">
        <w:rPr>
          <w:rtl/>
          <w:lang w:val="he-IL"/>
        </w:rPr>
        <w:t xml:space="preserve"> </w:t>
      </w:r>
      <w:r>
        <w:rPr>
          <w:rFonts w:hint="cs"/>
          <w:rtl/>
          <w:lang w:val="he-IL"/>
        </w:rPr>
        <w:t>"</w:t>
      </w:r>
      <w:r w:rsidRPr="00797ADD">
        <w:rPr>
          <w:rtl/>
          <w:lang w:val="he-IL"/>
        </w:rPr>
        <w:t>תפלה לדוד שמעה ה' צדק</w:t>
      </w:r>
      <w:r>
        <w:rPr>
          <w:rFonts w:hint="cs"/>
          <w:rtl/>
          <w:lang w:val="he-IL"/>
        </w:rPr>
        <w:t>"</w:t>
      </w:r>
      <w:r w:rsidRPr="00797ADD">
        <w:rPr>
          <w:rtl/>
          <w:lang w:val="he-IL"/>
        </w:rPr>
        <w:t xml:space="preserve">, אמר </w:t>
      </w:r>
      <w:r>
        <w:rPr>
          <w:rtl/>
          <w:lang w:val="he-IL"/>
        </w:rPr>
        <w:t>הקב"ה</w:t>
      </w:r>
      <w:r>
        <w:rPr>
          <w:rFonts w:hint="cs"/>
          <w:rtl/>
          <w:lang w:val="he-IL"/>
        </w:rPr>
        <w:t>:</w:t>
      </w:r>
      <w:r w:rsidRPr="00797ADD">
        <w:rPr>
          <w:rtl/>
          <w:lang w:val="he-IL"/>
        </w:rPr>
        <w:t xml:space="preserve"> עד מתי אתה מתפלל</w:t>
      </w:r>
      <w:r>
        <w:rPr>
          <w:rFonts w:hint="cs"/>
          <w:rtl/>
          <w:lang w:val="he-IL"/>
        </w:rPr>
        <w:t>?</w:t>
      </w:r>
      <w:r w:rsidRPr="00797ADD">
        <w:rPr>
          <w:rtl/>
          <w:lang w:val="he-IL"/>
        </w:rPr>
        <w:t xml:space="preserve"> אמור צרכיך מה שאתה צריך, הרי אמרת</w:t>
      </w:r>
      <w:r>
        <w:rPr>
          <w:rFonts w:hint="cs"/>
          <w:rtl/>
          <w:lang w:val="he-IL"/>
        </w:rPr>
        <w:t>:</w:t>
      </w:r>
      <w:r w:rsidRPr="00797ADD">
        <w:rPr>
          <w:rtl/>
          <w:lang w:val="he-IL"/>
        </w:rPr>
        <w:t xml:space="preserve"> </w:t>
      </w:r>
      <w:r>
        <w:rPr>
          <w:rFonts w:hint="cs"/>
          <w:rtl/>
          <w:lang w:val="he-IL"/>
        </w:rPr>
        <w:t>"</w:t>
      </w:r>
      <w:r w:rsidRPr="00797ADD">
        <w:rPr>
          <w:rtl/>
          <w:lang w:val="he-IL"/>
        </w:rPr>
        <w:t>שמעה ה' צדק</w:t>
      </w:r>
      <w:r>
        <w:rPr>
          <w:rFonts w:hint="cs"/>
          <w:rtl/>
          <w:lang w:val="he-IL"/>
        </w:rPr>
        <w:t>".</w:t>
      </w:r>
      <w:r w:rsidRPr="00797ADD">
        <w:rPr>
          <w:rtl/>
          <w:lang w:val="he-IL"/>
        </w:rPr>
        <w:t xml:space="preserve"> </w:t>
      </w:r>
      <w:r>
        <w:rPr>
          <w:rtl/>
          <w:lang w:val="he-IL"/>
        </w:rPr>
        <w:t>אמר לו</w:t>
      </w:r>
      <w:r>
        <w:rPr>
          <w:rFonts w:hint="cs"/>
          <w:rtl/>
          <w:lang w:val="he-IL"/>
        </w:rPr>
        <w:t>:</w:t>
      </w:r>
      <w:r w:rsidRPr="00797ADD">
        <w:rPr>
          <w:rtl/>
          <w:lang w:val="he-IL"/>
        </w:rPr>
        <w:t xml:space="preserve"> חייך</w:t>
      </w:r>
      <w:r>
        <w:rPr>
          <w:rFonts w:hint="cs"/>
          <w:rtl/>
          <w:lang w:val="he-IL"/>
        </w:rPr>
        <w:t>,</w:t>
      </w:r>
      <w:r w:rsidRPr="00797ADD">
        <w:rPr>
          <w:rtl/>
          <w:lang w:val="he-IL"/>
        </w:rPr>
        <w:t xml:space="preserve"> כל אלו שאמרתי בשביל דבר אחד</w:t>
      </w:r>
      <w:r>
        <w:rPr>
          <w:rFonts w:hint="cs"/>
          <w:rtl/>
          <w:lang w:val="he-IL"/>
        </w:rPr>
        <w:t>:</w:t>
      </w:r>
      <w:r w:rsidRPr="00797ADD">
        <w:rPr>
          <w:rtl/>
          <w:lang w:val="he-IL"/>
        </w:rPr>
        <w:t xml:space="preserve"> </w:t>
      </w:r>
      <w:r>
        <w:rPr>
          <w:rFonts w:hint="cs"/>
          <w:rtl/>
          <w:lang w:val="he-IL"/>
        </w:rPr>
        <w:t>"</w:t>
      </w:r>
      <w:r w:rsidRPr="00797ADD">
        <w:rPr>
          <w:rtl/>
          <w:lang w:val="he-IL"/>
        </w:rPr>
        <w:t>מלפניך משפטי יצא</w:t>
      </w:r>
      <w:r>
        <w:rPr>
          <w:rFonts w:hint="cs"/>
          <w:rtl/>
          <w:lang w:val="he-IL"/>
        </w:rPr>
        <w:t xml:space="preserve">". </w:t>
      </w:r>
      <w:r w:rsidRPr="00797ADD">
        <w:rPr>
          <w:rtl/>
          <w:lang w:val="he-IL"/>
        </w:rPr>
        <w:t>למה</w:t>
      </w:r>
      <w:r>
        <w:rPr>
          <w:rFonts w:hint="cs"/>
          <w:rtl/>
          <w:lang w:val="he-IL"/>
        </w:rPr>
        <w:t>?</w:t>
      </w:r>
      <w:r w:rsidRPr="00797ADD">
        <w:rPr>
          <w:rtl/>
          <w:lang w:val="he-IL"/>
        </w:rPr>
        <w:t xml:space="preserve"> שאמרת</w:t>
      </w:r>
      <w:r>
        <w:rPr>
          <w:rFonts w:hint="cs"/>
          <w:rtl/>
          <w:lang w:val="he-IL"/>
        </w:rPr>
        <w:t>:</w:t>
      </w:r>
      <w:r w:rsidRPr="00797ADD">
        <w:rPr>
          <w:rtl/>
          <w:lang w:val="he-IL"/>
        </w:rPr>
        <w:t xml:space="preserve"> </w:t>
      </w:r>
      <w:r>
        <w:rPr>
          <w:rFonts w:hint="cs"/>
          <w:rtl/>
          <w:lang w:val="he-IL"/>
        </w:rPr>
        <w:t>"</w:t>
      </w:r>
      <w:r w:rsidRPr="00797ADD">
        <w:rPr>
          <w:rtl/>
          <w:lang w:val="he-IL"/>
        </w:rPr>
        <w:t>אשר נשיא יחטא</w:t>
      </w:r>
      <w:r>
        <w:rPr>
          <w:rFonts w:hint="cs"/>
          <w:rtl/>
          <w:lang w:val="he-IL"/>
        </w:rPr>
        <w:t>"</w:t>
      </w:r>
      <w:r w:rsidRPr="00797ADD">
        <w:rPr>
          <w:rtl/>
          <w:lang w:val="he-IL"/>
        </w:rPr>
        <w:t xml:space="preserve"> (ויקרא ד </w:t>
      </w:r>
      <w:proofErr w:type="spellStart"/>
      <w:r w:rsidRPr="00797ADD">
        <w:rPr>
          <w:rtl/>
          <w:lang w:val="he-IL"/>
        </w:rPr>
        <w:t>כב</w:t>
      </w:r>
      <w:proofErr w:type="spellEnd"/>
      <w:r w:rsidRPr="00797ADD">
        <w:rPr>
          <w:rtl/>
          <w:lang w:val="he-IL"/>
        </w:rPr>
        <w:t>), נשיא שאין על גביו מושל אלא ה'</w:t>
      </w:r>
      <w:r>
        <w:rPr>
          <w:rFonts w:hint="cs"/>
          <w:rtl/>
          <w:lang w:val="he-IL"/>
        </w:rPr>
        <w:t>.</w:t>
      </w:r>
      <w:r w:rsidRPr="00797ADD">
        <w:rPr>
          <w:rtl/>
          <w:lang w:val="he-IL"/>
        </w:rPr>
        <w:t xml:space="preserve"> הואיל שאין על גבי מושל אלא אתה דן אותי, </w:t>
      </w:r>
      <w:r>
        <w:rPr>
          <w:rFonts w:hint="cs"/>
          <w:rtl/>
          <w:lang w:val="he-IL"/>
        </w:rPr>
        <w:t>"</w:t>
      </w:r>
      <w:r w:rsidRPr="00797ADD">
        <w:rPr>
          <w:rtl/>
          <w:lang w:val="he-IL"/>
        </w:rPr>
        <w:t>מלפניך משפטי יצא</w:t>
      </w:r>
      <w:r>
        <w:rPr>
          <w:rFonts w:hint="cs"/>
          <w:rtl/>
          <w:lang w:val="he-IL"/>
        </w:rPr>
        <w:t>"</w:t>
      </w:r>
      <w:r w:rsidRPr="00797ADD">
        <w:rPr>
          <w:rtl/>
          <w:lang w:val="he-IL"/>
        </w:rPr>
        <w:t>.</w:t>
      </w:r>
      <w:r>
        <w:rPr>
          <w:rStyle w:val="a5"/>
          <w:rtl/>
          <w:lang w:val="he-IL"/>
        </w:rPr>
        <w:footnoteReference w:id="15"/>
      </w:r>
    </w:p>
    <w:p w14:paraId="2738B792" w14:textId="77777777" w:rsidR="00DF0C47" w:rsidRDefault="00DF0C47" w:rsidP="00DF0C47">
      <w:pPr>
        <w:pStyle w:val="ab"/>
        <w:rPr>
          <w:rtl/>
        </w:rPr>
      </w:pPr>
      <w:r>
        <w:rPr>
          <w:rtl/>
        </w:rPr>
        <w:t>ירושלמי ברכות פרק א</w:t>
      </w:r>
      <w:r>
        <w:rPr>
          <w:rFonts w:hint="cs"/>
          <w:rtl/>
        </w:rPr>
        <w:t xml:space="preserve"> הלכה ה</w:t>
      </w:r>
      <w:r w:rsidR="006D6CBF">
        <w:rPr>
          <w:rFonts w:hint="cs"/>
          <w:rtl/>
        </w:rPr>
        <w:t xml:space="preserve"> </w:t>
      </w:r>
      <w:r w:rsidR="006D6CBF">
        <w:rPr>
          <w:rtl/>
        </w:rPr>
        <w:t>–</w:t>
      </w:r>
      <w:r w:rsidR="006D6CBF">
        <w:rPr>
          <w:rFonts w:hint="cs"/>
          <w:rtl/>
        </w:rPr>
        <w:t xml:space="preserve"> המלך מרכין ראשו בתפילה</w:t>
      </w:r>
    </w:p>
    <w:p w14:paraId="45E71FED" w14:textId="77777777" w:rsidR="00DF0C47" w:rsidRDefault="009146DD" w:rsidP="000062EB">
      <w:pPr>
        <w:pStyle w:val="ac"/>
        <w:rPr>
          <w:rFonts w:hint="cs"/>
          <w:rtl/>
        </w:rPr>
      </w:pPr>
      <w:r>
        <w:rPr>
          <w:rFonts w:hint="cs"/>
          <w:rtl/>
        </w:rPr>
        <w:t>"</w:t>
      </w:r>
      <w:r w:rsidR="00DF0C47">
        <w:rPr>
          <w:rtl/>
        </w:rPr>
        <w:t xml:space="preserve">אלו ברכות </w:t>
      </w:r>
      <w:proofErr w:type="spellStart"/>
      <w:r w:rsidR="00DF0C47">
        <w:rPr>
          <w:rtl/>
        </w:rPr>
        <w:t>ש</w:t>
      </w:r>
      <w:r w:rsidR="00223E75">
        <w:rPr>
          <w:rtl/>
        </w:rPr>
        <w:t>ְׁ</w:t>
      </w:r>
      <w:r w:rsidR="00DF0C47">
        <w:rPr>
          <w:rtl/>
        </w:rPr>
        <w:t>ש</w:t>
      </w:r>
      <w:r w:rsidR="00223E75">
        <w:rPr>
          <w:rtl/>
        </w:rPr>
        <w:t>ׁ</w:t>
      </w:r>
      <w:r w:rsidR="00DF0C47">
        <w:rPr>
          <w:rtl/>
        </w:rPr>
        <w:t>ו</w:t>
      </w:r>
      <w:r w:rsidR="00223E75">
        <w:rPr>
          <w:rtl/>
        </w:rPr>
        <w:t>ֹ</w:t>
      </w:r>
      <w:r w:rsidR="00DF0C47">
        <w:rPr>
          <w:rtl/>
        </w:rPr>
        <w:t>ח</w:t>
      </w:r>
      <w:r w:rsidR="00223E75">
        <w:rPr>
          <w:rtl/>
        </w:rPr>
        <w:t>ִ</w:t>
      </w:r>
      <w:r w:rsidR="00DF0C47">
        <w:rPr>
          <w:rtl/>
        </w:rPr>
        <w:t>ין</w:t>
      </w:r>
      <w:proofErr w:type="spellEnd"/>
      <w:r w:rsidR="00DF0C47">
        <w:rPr>
          <w:rtl/>
        </w:rPr>
        <w:t xml:space="preserve"> בהן</w:t>
      </w:r>
      <w:r w:rsidR="00160868">
        <w:rPr>
          <w:rFonts w:hint="cs"/>
          <w:rtl/>
        </w:rPr>
        <w:t>:</w:t>
      </w:r>
      <w:r w:rsidR="00DF0C47">
        <w:rPr>
          <w:rtl/>
        </w:rPr>
        <w:t xml:space="preserve"> בראשונה תחילה וסוף ובמודים תחילה וסוף.</w:t>
      </w:r>
      <w:r w:rsidR="00160868">
        <w:rPr>
          <w:rStyle w:val="a5"/>
          <w:rtl/>
        </w:rPr>
        <w:footnoteReference w:id="16"/>
      </w:r>
      <w:r w:rsidR="00DF0C47">
        <w:rPr>
          <w:rtl/>
        </w:rPr>
        <w:t xml:space="preserve"> ה</w:t>
      </w:r>
      <w:r w:rsidR="00223E75">
        <w:rPr>
          <w:rtl/>
        </w:rPr>
        <w:t>ָ</w:t>
      </w:r>
      <w:r w:rsidR="00DF0C47">
        <w:rPr>
          <w:rtl/>
        </w:rPr>
        <w:t>ש</w:t>
      </w:r>
      <w:r w:rsidR="00223E75">
        <w:rPr>
          <w:rtl/>
        </w:rPr>
        <w:t>ׁ</w:t>
      </w:r>
      <w:r w:rsidR="00DF0C47">
        <w:rPr>
          <w:rtl/>
        </w:rPr>
        <w:t>ו</w:t>
      </w:r>
      <w:r w:rsidR="00223E75">
        <w:rPr>
          <w:rtl/>
        </w:rPr>
        <w:t>ֹ</w:t>
      </w:r>
      <w:r w:rsidR="00DF0C47">
        <w:rPr>
          <w:rtl/>
        </w:rPr>
        <w:t>ח</w:t>
      </w:r>
      <w:r w:rsidR="00223E75">
        <w:rPr>
          <w:rtl/>
        </w:rPr>
        <w:t>ֶ</w:t>
      </w:r>
      <w:r w:rsidR="00DF0C47">
        <w:rPr>
          <w:rtl/>
        </w:rPr>
        <w:t xml:space="preserve">ה על כל ברכה וברכה </w:t>
      </w:r>
      <w:proofErr w:type="spellStart"/>
      <w:r w:rsidR="00DF0C47">
        <w:rPr>
          <w:rtl/>
        </w:rPr>
        <w:t>מלמדין</w:t>
      </w:r>
      <w:proofErr w:type="spellEnd"/>
      <w:r w:rsidR="00DF0C47">
        <w:rPr>
          <w:rtl/>
        </w:rPr>
        <w:t xml:space="preserve"> אותו שלא ישחה</w:t>
      </w:r>
      <w:r>
        <w:rPr>
          <w:rFonts w:hint="cs"/>
          <w:rtl/>
        </w:rPr>
        <w:t>".</w:t>
      </w:r>
      <w:r>
        <w:rPr>
          <w:rStyle w:val="a5"/>
          <w:rtl/>
        </w:rPr>
        <w:footnoteReference w:id="17"/>
      </w:r>
      <w:r w:rsidR="00DF0C47">
        <w:rPr>
          <w:rtl/>
        </w:rPr>
        <w:t xml:space="preserve"> רבי יצחק בר נחמן בשם ר' יהושע בן לוי</w:t>
      </w:r>
      <w:r w:rsidR="00223E75">
        <w:rPr>
          <w:rFonts w:hint="cs"/>
          <w:rtl/>
        </w:rPr>
        <w:t>:</w:t>
      </w:r>
      <w:r w:rsidR="00DF0C47">
        <w:rPr>
          <w:rtl/>
        </w:rPr>
        <w:t xml:space="preserve"> כהן גדול שוחה על סוף כל ברכה וברכה</w:t>
      </w:r>
      <w:r w:rsidR="000C14BF">
        <w:rPr>
          <w:rFonts w:hint="cs"/>
          <w:rtl/>
        </w:rPr>
        <w:t>,</w:t>
      </w:r>
      <w:r w:rsidR="00DF0C47">
        <w:rPr>
          <w:rtl/>
        </w:rPr>
        <w:t xml:space="preserve"> המלך ראש כל ברכה וברכה וסוף כל ברכה וברכה. ר' סימון בשם ר' יהושע בן לוי</w:t>
      </w:r>
      <w:r w:rsidR="000C14BF">
        <w:rPr>
          <w:rFonts w:hint="cs"/>
          <w:rtl/>
        </w:rPr>
        <w:t>:</w:t>
      </w:r>
      <w:r w:rsidR="00DF0C47">
        <w:rPr>
          <w:rtl/>
        </w:rPr>
        <w:t xml:space="preserve"> המלך משהוא כורע אינו נזקף עד שהוא משלים כל תפילתו. </w:t>
      </w:r>
      <w:r w:rsidR="000C14BF">
        <w:rPr>
          <w:rFonts w:hint="cs"/>
          <w:rtl/>
        </w:rPr>
        <w:t>מאי טעמא?</w:t>
      </w:r>
      <w:r w:rsidR="00DF0C47">
        <w:rPr>
          <w:rtl/>
        </w:rPr>
        <w:t xml:space="preserve"> </w:t>
      </w:r>
      <w:r w:rsidR="000C14BF">
        <w:rPr>
          <w:rFonts w:hint="cs"/>
          <w:rtl/>
        </w:rPr>
        <w:t>"</w:t>
      </w:r>
      <w:r w:rsidR="00DF0C47">
        <w:rPr>
          <w:rtl/>
        </w:rPr>
        <w:t>ויהי ככלות שלמה להתפלל אל ה' את כל התפילה ואת כל התחינה הזאת קם מלפני מזבח ה' מכרוע על ברכיו</w:t>
      </w:r>
      <w:r w:rsidR="000C14BF">
        <w:rPr>
          <w:rFonts w:hint="cs"/>
          <w:rtl/>
        </w:rPr>
        <w:t>"</w:t>
      </w:r>
      <w:r w:rsidR="000062EB">
        <w:rPr>
          <w:rFonts w:hint="cs"/>
          <w:rtl/>
        </w:rPr>
        <w:t xml:space="preserve"> (</w:t>
      </w:r>
      <w:r w:rsidR="000C14BF">
        <w:rPr>
          <w:rtl/>
        </w:rPr>
        <w:t>מלכים א ח נד</w:t>
      </w:r>
      <w:r w:rsidR="000062EB">
        <w:rPr>
          <w:rFonts w:hint="cs"/>
          <w:rtl/>
        </w:rPr>
        <w:t>).</w:t>
      </w:r>
      <w:r w:rsidR="000062EB">
        <w:rPr>
          <w:rStyle w:val="a5"/>
          <w:rtl/>
        </w:rPr>
        <w:footnoteReference w:id="18"/>
      </w:r>
    </w:p>
    <w:p w14:paraId="4EC0904D" w14:textId="77777777" w:rsidR="009C7D66" w:rsidRDefault="009C7D66" w:rsidP="00AB0093">
      <w:pPr>
        <w:pStyle w:val="ad"/>
        <w:spacing w:before="240" w:line="300" w:lineRule="atLeast"/>
        <w:rPr>
          <w:rtl/>
        </w:rPr>
      </w:pPr>
      <w:r>
        <w:rPr>
          <w:rtl/>
        </w:rPr>
        <w:t xml:space="preserve">שבת שלום </w:t>
      </w:r>
    </w:p>
    <w:p w14:paraId="4C6CC592" w14:textId="77777777" w:rsidR="009C7D66" w:rsidRDefault="009C7D66">
      <w:pPr>
        <w:pStyle w:val="ad"/>
        <w:spacing w:line="300" w:lineRule="atLeast"/>
        <w:rPr>
          <w:rtl/>
        </w:rPr>
      </w:pPr>
      <w:r>
        <w:rPr>
          <w:rtl/>
        </w:rPr>
        <w:t>מחלקי המים</w:t>
      </w:r>
    </w:p>
    <w:sectPr w:rsidR="009C7D66" w:rsidSect="00F6016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7C2B" w14:textId="77777777" w:rsidR="00650F0E" w:rsidRDefault="00650F0E">
      <w:r>
        <w:separator/>
      </w:r>
    </w:p>
  </w:endnote>
  <w:endnote w:type="continuationSeparator" w:id="0">
    <w:p w14:paraId="777025FA" w14:textId="77777777" w:rsidR="00650F0E" w:rsidRDefault="0065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FE2C" w14:textId="77777777" w:rsidR="00AB0093" w:rsidRDefault="00AB0093" w:rsidP="00716A26">
    <w:pPr>
      <w:pStyle w:val="a8"/>
      <w:jc w:val="right"/>
      <w:rPr>
        <w:rStyle w:val="ae"/>
        <w:rFonts w:hint="cs"/>
        <w:rtl/>
      </w:rPr>
    </w:pPr>
  </w:p>
  <w:p w14:paraId="48A89608" w14:textId="77777777" w:rsidR="00716A26" w:rsidRPr="00F8747C" w:rsidRDefault="00716A26" w:rsidP="00716A2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062EB">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062EB">
      <w:rPr>
        <w:rStyle w:val="ae"/>
        <w:noProof/>
        <w:rtl/>
      </w:rPr>
      <w:t>3</w:t>
    </w:r>
    <w:r w:rsidRPr="00F8747C">
      <w:rPr>
        <w:rStyle w:val="ae"/>
      </w:rPr>
      <w:fldChar w:fldCharType="end"/>
    </w:r>
  </w:p>
  <w:p w14:paraId="069085A8" w14:textId="77777777" w:rsidR="00716A26" w:rsidRDefault="00716A26" w:rsidP="00716A26">
    <w:pPr>
      <w:pStyle w:val="a8"/>
    </w:pPr>
  </w:p>
  <w:p w14:paraId="716432DA" w14:textId="77777777" w:rsidR="00716A26" w:rsidRDefault="00716A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5345" w14:textId="77777777" w:rsidR="00650F0E" w:rsidRDefault="00650F0E">
      <w:r>
        <w:separator/>
      </w:r>
    </w:p>
  </w:footnote>
  <w:footnote w:type="continuationSeparator" w:id="0">
    <w:p w14:paraId="46532DF6" w14:textId="77777777" w:rsidR="00650F0E" w:rsidRDefault="00650F0E">
      <w:r>
        <w:continuationSeparator/>
      </w:r>
    </w:p>
  </w:footnote>
  <w:footnote w:id="1">
    <w:p w14:paraId="2B05F6C0" w14:textId="77777777" w:rsidR="005D318D" w:rsidRDefault="005D318D" w:rsidP="005D57E9">
      <w:pPr>
        <w:pStyle w:val="a3"/>
        <w:rPr>
          <w:rFonts w:hint="cs"/>
          <w:rtl/>
        </w:rPr>
      </w:pPr>
      <w:r>
        <w:rPr>
          <w:rStyle w:val="a5"/>
        </w:rPr>
        <w:footnoteRef/>
      </w:r>
      <w:r>
        <w:rPr>
          <w:rtl/>
        </w:rPr>
        <w:t xml:space="preserve"> </w:t>
      </w:r>
      <w:r>
        <w:rPr>
          <w:rFonts w:hint="cs"/>
          <w:rtl/>
        </w:rPr>
        <w:t xml:space="preserve">כפשוטו, המלך אינו נזקק למערכת המשפט כבעל דין או כעד וגם לא מכהן כדיין. לא רק בדיני ממונות, אלא בדיני </w:t>
      </w:r>
      <w:r w:rsidR="00F6016D">
        <w:rPr>
          <w:rFonts w:hint="cs"/>
          <w:rtl/>
        </w:rPr>
        <w:t xml:space="preserve">נפשות, </w:t>
      </w:r>
      <w:r>
        <w:rPr>
          <w:rFonts w:hint="cs"/>
          <w:rtl/>
        </w:rPr>
        <w:t xml:space="preserve">אישות ומן הסתם גם לא בדיני איסורים (עונש מלקות, מיתת בית דין </w:t>
      </w:r>
      <w:proofErr w:type="spellStart"/>
      <w:r>
        <w:rPr>
          <w:rFonts w:hint="cs"/>
          <w:rtl/>
        </w:rPr>
        <w:t>וכיוב</w:t>
      </w:r>
      <w:proofErr w:type="spellEnd"/>
      <w:r>
        <w:rPr>
          <w:rFonts w:hint="cs"/>
          <w:rtl/>
        </w:rPr>
        <w:t xml:space="preserve">'). </w:t>
      </w:r>
      <w:r>
        <w:rPr>
          <w:rtl/>
        </w:rPr>
        <w:t xml:space="preserve">בניגוד </w:t>
      </w:r>
      <w:r>
        <w:rPr>
          <w:rFonts w:hint="cs"/>
          <w:rtl/>
        </w:rPr>
        <w:t xml:space="preserve">למשל </w:t>
      </w:r>
      <w:r>
        <w:rPr>
          <w:rtl/>
        </w:rPr>
        <w:t>לכהן גדול שכן דן ודנים אותו</w:t>
      </w:r>
      <w:r>
        <w:rPr>
          <w:rFonts w:hint="cs"/>
          <w:rtl/>
        </w:rPr>
        <w:t xml:space="preserve">, ככתוב </w:t>
      </w:r>
      <w:r>
        <w:rPr>
          <w:rtl/>
        </w:rPr>
        <w:t xml:space="preserve">משנה </w:t>
      </w:r>
      <w:r>
        <w:rPr>
          <w:rFonts w:hint="cs"/>
          <w:rtl/>
        </w:rPr>
        <w:t xml:space="preserve">אחת קודם: </w:t>
      </w:r>
      <w:r>
        <w:rPr>
          <w:rFonts w:hint="cs"/>
          <w:rtl/>
          <w:lang w:eastAsia="en-US"/>
        </w:rPr>
        <w:t>"</w:t>
      </w:r>
      <w:r>
        <w:rPr>
          <w:rFonts w:hint="eastAsia"/>
          <w:rtl/>
          <w:lang w:eastAsia="en-US"/>
        </w:rPr>
        <w:t>כהן</w:t>
      </w:r>
      <w:r>
        <w:rPr>
          <w:rtl/>
          <w:lang w:eastAsia="en-US"/>
        </w:rPr>
        <w:t xml:space="preserve"> </w:t>
      </w:r>
      <w:r>
        <w:rPr>
          <w:rFonts w:hint="eastAsia"/>
          <w:rtl/>
          <w:lang w:eastAsia="en-US"/>
        </w:rPr>
        <w:t>גדול</w:t>
      </w:r>
      <w:r>
        <w:rPr>
          <w:rtl/>
          <w:lang w:eastAsia="en-US"/>
        </w:rPr>
        <w:t xml:space="preserve"> </w:t>
      </w:r>
      <w:r>
        <w:rPr>
          <w:rFonts w:hint="eastAsia"/>
          <w:rtl/>
          <w:lang w:eastAsia="en-US"/>
        </w:rPr>
        <w:t>דן</w:t>
      </w:r>
      <w:r>
        <w:rPr>
          <w:rtl/>
          <w:lang w:eastAsia="en-US"/>
        </w:rPr>
        <w:t xml:space="preserve"> </w:t>
      </w:r>
      <w:proofErr w:type="spellStart"/>
      <w:r>
        <w:rPr>
          <w:rFonts w:hint="eastAsia"/>
          <w:rtl/>
          <w:lang w:eastAsia="en-US"/>
        </w:rPr>
        <w:t>ודנין</w:t>
      </w:r>
      <w:proofErr w:type="spellEnd"/>
      <w:r>
        <w:rPr>
          <w:rtl/>
          <w:lang w:eastAsia="en-US"/>
        </w:rPr>
        <w:t xml:space="preserve"> </w:t>
      </w:r>
      <w:r>
        <w:rPr>
          <w:rFonts w:hint="eastAsia"/>
          <w:rtl/>
          <w:lang w:eastAsia="en-US"/>
        </w:rPr>
        <w:t>אותו</w:t>
      </w:r>
      <w:r>
        <w:rPr>
          <w:rtl/>
          <w:lang w:eastAsia="en-US"/>
        </w:rPr>
        <w:t xml:space="preserve"> </w:t>
      </w:r>
      <w:r>
        <w:rPr>
          <w:rFonts w:hint="eastAsia"/>
          <w:rtl/>
          <w:lang w:eastAsia="en-US"/>
        </w:rPr>
        <w:t>מעיד</w:t>
      </w:r>
      <w:r>
        <w:rPr>
          <w:rtl/>
          <w:lang w:eastAsia="en-US"/>
        </w:rPr>
        <w:t xml:space="preserve"> </w:t>
      </w:r>
      <w:proofErr w:type="spellStart"/>
      <w:r>
        <w:rPr>
          <w:rFonts w:hint="eastAsia"/>
          <w:rtl/>
          <w:lang w:eastAsia="en-US"/>
        </w:rPr>
        <w:t>ומעידין</w:t>
      </w:r>
      <w:proofErr w:type="spellEnd"/>
      <w:r>
        <w:rPr>
          <w:rtl/>
          <w:lang w:eastAsia="en-US"/>
        </w:rPr>
        <w:t xml:space="preserve"> </w:t>
      </w:r>
      <w:r>
        <w:rPr>
          <w:rFonts w:hint="eastAsia"/>
          <w:rtl/>
          <w:lang w:eastAsia="en-US"/>
        </w:rPr>
        <w:t>אותו</w:t>
      </w:r>
      <w:r>
        <w:rPr>
          <w:rtl/>
          <w:lang w:eastAsia="en-US"/>
        </w:rPr>
        <w:t xml:space="preserve"> </w:t>
      </w:r>
      <w:r>
        <w:rPr>
          <w:rFonts w:hint="eastAsia"/>
          <w:rtl/>
          <w:lang w:eastAsia="en-US"/>
        </w:rPr>
        <w:t>חולץ</w:t>
      </w:r>
      <w:r>
        <w:rPr>
          <w:rtl/>
          <w:lang w:eastAsia="en-US"/>
        </w:rPr>
        <w:t xml:space="preserve"> </w:t>
      </w:r>
      <w:proofErr w:type="spellStart"/>
      <w:r>
        <w:rPr>
          <w:rFonts w:hint="eastAsia"/>
          <w:rtl/>
          <w:lang w:eastAsia="en-US"/>
        </w:rPr>
        <w:t>וחולצין</w:t>
      </w:r>
      <w:proofErr w:type="spellEnd"/>
      <w:r>
        <w:rPr>
          <w:rtl/>
          <w:lang w:eastAsia="en-US"/>
        </w:rPr>
        <w:t xml:space="preserve"> </w:t>
      </w:r>
      <w:r>
        <w:rPr>
          <w:rFonts w:hint="eastAsia"/>
          <w:rtl/>
          <w:lang w:eastAsia="en-US"/>
        </w:rPr>
        <w:t>לאשתו</w:t>
      </w:r>
      <w:r>
        <w:rPr>
          <w:rtl/>
          <w:lang w:eastAsia="en-US"/>
        </w:rPr>
        <w:t xml:space="preserve"> </w:t>
      </w:r>
      <w:proofErr w:type="spellStart"/>
      <w:r>
        <w:rPr>
          <w:rFonts w:hint="eastAsia"/>
          <w:rtl/>
          <w:lang w:eastAsia="en-US"/>
        </w:rPr>
        <w:t>ומיבמין</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אשתו</w:t>
      </w:r>
      <w:r>
        <w:rPr>
          <w:rFonts w:hint="cs"/>
          <w:rtl/>
          <w:lang w:eastAsia="en-US"/>
        </w:rPr>
        <w:t xml:space="preserve">". האם זה משום שהמלך עומד מעל לחוק ולמשפט? </w:t>
      </w:r>
      <w:r w:rsidR="000C0A06">
        <w:rPr>
          <w:rFonts w:hint="cs"/>
          <w:rtl/>
          <w:lang w:eastAsia="en-US"/>
        </w:rPr>
        <w:t xml:space="preserve">לחלוק כבוד למלכות? </w:t>
      </w:r>
      <w:r>
        <w:rPr>
          <w:rFonts w:hint="cs"/>
          <w:rtl/>
          <w:lang w:eastAsia="en-US"/>
        </w:rPr>
        <w:t>הפרדה בין הרשויות</w:t>
      </w:r>
      <w:r w:rsidR="000C0A06">
        <w:rPr>
          <w:rFonts w:hint="cs"/>
          <w:rtl/>
          <w:lang w:eastAsia="en-US"/>
        </w:rPr>
        <w:t xml:space="preserve">, </w:t>
      </w:r>
      <w:r>
        <w:rPr>
          <w:rFonts w:hint="cs"/>
          <w:rtl/>
          <w:lang w:eastAsia="en-US"/>
        </w:rPr>
        <w:t>או מגבלות מציאות וכ</w:t>
      </w:r>
      <w:r w:rsidR="00AA3F51">
        <w:rPr>
          <w:rFonts w:hint="cs"/>
          <w:rtl/>
          <w:lang w:eastAsia="en-US"/>
        </w:rPr>
        <w:t>ו</w:t>
      </w:r>
      <w:r>
        <w:rPr>
          <w:rFonts w:hint="cs"/>
          <w:rtl/>
          <w:lang w:eastAsia="en-US"/>
        </w:rPr>
        <w:t>ח?</w:t>
      </w:r>
      <w:r w:rsidR="005D57E9">
        <w:rPr>
          <w:rFonts w:hint="cs"/>
          <w:rtl/>
        </w:rPr>
        <w:t xml:space="preserve"> כך או כך, לא מצאנו דין זה </w:t>
      </w:r>
      <w:proofErr w:type="spellStart"/>
      <w:r w:rsidR="005D57E9">
        <w:rPr>
          <w:rFonts w:hint="cs"/>
          <w:rtl/>
        </w:rPr>
        <w:t>בתוספתא</w:t>
      </w:r>
      <w:proofErr w:type="spellEnd"/>
      <w:r w:rsidR="005D57E9">
        <w:rPr>
          <w:rFonts w:hint="cs"/>
          <w:rtl/>
        </w:rPr>
        <w:t>, רק זאת: "</w:t>
      </w:r>
      <w:r w:rsidR="005D57E9">
        <w:rPr>
          <w:rtl/>
        </w:rPr>
        <w:t xml:space="preserve">מלך ישראל אין עומד בשורה להתנחם ואין עומד בשורה לנחם אחרים </w:t>
      </w:r>
      <w:r w:rsidR="005D57E9">
        <w:rPr>
          <w:rFonts w:hint="cs"/>
          <w:rtl/>
        </w:rPr>
        <w:t xml:space="preserve">... </w:t>
      </w:r>
      <w:r w:rsidR="005D57E9">
        <w:rPr>
          <w:rtl/>
        </w:rPr>
        <w:t xml:space="preserve">לא חולץ ולא </w:t>
      </w:r>
      <w:proofErr w:type="spellStart"/>
      <w:r w:rsidR="005D57E9">
        <w:rPr>
          <w:rtl/>
        </w:rPr>
        <w:t>חולצין</w:t>
      </w:r>
      <w:proofErr w:type="spellEnd"/>
      <w:r w:rsidR="005D57E9">
        <w:rPr>
          <w:rtl/>
        </w:rPr>
        <w:t xml:space="preserve"> לאשתו ולא מייבם ולא </w:t>
      </w:r>
      <w:proofErr w:type="spellStart"/>
      <w:r w:rsidR="005D57E9">
        <w:rPr>
          <w:rtl/>
        </w:rPr>
        <w:t>מיבמין</w:t>
      </w:r>
      <w:proofErr w:type="spellEnd"/>
      <w:r w:rsidR="005D57E9">
        <w:rPr>
          <w:rtl/>
        </w:rPr>
        <w:t xml:space="preserve"> את אשתו</w:t>
      </w:r>
      <w:r w:rsidR="005D57E9">
        <w:rPr>
          <w:rFonts w:hint="cs"/>
          <w:rtl/>
        </w:rPr>
        <w:t>" (</w:t>
      </w:r>
      <w:proofErr w:type="spellStart"/>
      <w:r w:rsidR="005D57E9">
        <w:rPr>
          <w:rtl/>
        </w:rPr>
        <w:t>תוספתא</w:t>
      </w:r>
      <w:proofErr w:type="spellEnd"/>
      <w:r w:rsidR="005D57E9">
        <w:rPr>
          <w:rtl/>
        </w:rPr>
        <w:t xml:space="preserve"> סנהדרין (</w:t>
      </w:r>
      <w:proofErr w:type="spellStart"/>
      <w:r w:rsidR="005D57E9">
        <w:rPr>
          <w:rtl/>
        </w:rPr>
        <w:t>צוקרמאנדל</w:t>
      </w:r>
      <w:proofErr w:type="spellEnd"/>
      <w:r w:rsidR="005D57E9">
        <w:rPr>
          <w:rtl/>
        </w:rPr>
        <w:t>) פרק ד</w:t>
      </w:r>
      <w:r w:rsidR="005D57E9">
        <w:rPr>
          <w:rFonts w:hint="cs"/>
          <w:rtl/>
        </w:rPr>
        <w:t xml:space="preserve"> הלכה ב).</w:t>
      </w:r>
    </w:p>
  </w:footnote>
  <w:footnote w:id="2">
    <w:p w14:paraId="1ED7E098" w14:textId="77777777" w:rsidR="00D74ABB" w:rsidRDefault="00D74ABB">
      <w:pPr>
        <w:pStyle w:val="a3"/>
        <w:rPr>
          <w:rFonts w:hint="cs"/>
          <w:rtl/>
        </w:rPr>
      </w:pPr>
      <w:r>
        <w:rPr>
          <w:rStyle w:val="a5"/>
        </w:rPr>
        <w:footnoteRef/>
      </w:r>
      <w:r>
        <w:rPr>
          <w:rtl/>
        </w:rPr>
        <w:t xml:space="preserve"> </w:t>
      </w:r>
      <w:r>
        <w:rPr>
          <w:rFonts w:hint="cs"/>
          <w:rtl/>
        </w:rPr>
        <w:t xml:space="preserve">פסוקים רבים נוספים יש לנו במקרא על המלך כשופט. משפט שלמה הידוע, </w:t>
      </w:r>
      <w:r>
        <w:rPr>
          <w:rtl/>
        </w:rPr>
        <w:t>מלכים א ג</w:t>
      </w:r>
      <w:r>
        <w:rPr>
          <w:rFonts w:hint="cs"/>
          <w:rtl/>
        </w:rPr>
        <w:t xml:space="preserve"> </w:t>
      </w:r>
      <w:proofErr w:type="spellStart"/>
      <w:r>
        <w:rPr>
          <w:rtl/>
        </w:rPr>
        <w:t>כח</w:t>
      </w:r>
      <w:proofErr w:type="spellEnd"/>
      <w:r>
        <w:rPr>
          <w:rFonts w:hint="cs"/>
          <w:rtl/>
        </w:rPr>
        <w:t>: "</w:t>
      </w:r>
      <w:r>
        <w:rPr>
          <w:rtl/>
        </w:rPr>
        <w:t xml:space="preserve">וַיִּשְׁמְעוּ כָל יִשְׂרָאֵל אֶת הַמִּשְׁפָּט אֲשֶׁר שָׁפַט הַמֶּלֶךְ וַיִּרְאוּ מִפְּנֵי הַמֶּלֶךְ כִּי רָאוּ כִּי חָכְמַת </w:t>
      </w:r>
      <w:proofErr w:type="spellStart"/>
      <w:r>
        <w:rPr>
          <w:rtl/>
        </w:rPr>
        <w:t>אֱלֹהִים</w:t>
      </w:r>
      <w:proofErr w:type="spellEnd"/>
      <w:r>
        <w:rPr>
          <w:rtl/>
        </w:rPr>
        <w:t xml:space="preserve"> בְּקִרְבּוֹ לַעֲשׂוֹת מִשְׁפָּט</w:t>
      </w:r>
      <w:r>
        <w:rPr>
          <w:rFonts w:hint="cs"/>
          <w:rtl/>
        </w:rPr>
        <w:t>", ב</w:t>
      </w:r>
      <w:r>
        <w:rPr>
          <w:rtl/>
        </w:rPr>
        <w:t xml:space="preserve">ישעיהו </w:t>
      </w:r>
      <w:proofErr w:type="spellStart"/>
      <w:r>
        <w:rPr>
          <w:rtl/>
        </w:rPr>
        <w:t>טז</w:t>
      </w:r>
      <w:proofErr w:type="spellEnd"/>
      <w:r>
        <w:rPr>
          <w:rFonts w:hint="cs"/>
          <w:rtl/>
        </w:rPr>
        <w:t xml:space="preserve"> </w:t>
      </w:r>
      <w:r>
        <w:rPr>
          <w:rtl/>
        </w:rPr>
        <w:t>ה</w:t>
      </w:r>
      <w:r>
        <w:rPr>
          <w:rFonts w:hint="cs"/>
          <w:rtl/>
        </w:rPr>
        <w:t>: "</w:t>
      </w:r>
      <w:r>
        <w:rPr>
          <w:rtl/>
        </w:rPr>
        <w:t xml:space="preserve">וְהוּכַן בַּחֶסֶד </w:t>
      </w:r>
      <w:proofErr w:type="spellStart"/>
      <w:r>
        <w:rPr>
          <w:rtl/>
        </w:rPr>
        <w:t>כִּסֵּא</w:t>
      </w:r>
      <w:proofErr w:type="spellEnd"/>
      <w:r>
        <w:rPr>
          <w:rtl/>
        </w:rPr>
        <w:t xml:space="preserve"> וְיָשַׁב עָלָיו בֶּאֱמֶת בְּאֹהֶל דָּוִד שֹׁפֵט וְדֹרֵשׁ מִשְׁפָּט וּמְהִר צֶדֶק</w:t>
      </w:r>
      <w:r>
        <w:rPr>
          <w:rFonts w:hint="cs"/>
          <w:rtl/>
        </w:rPr>
        <w:t xml:space="preserve">", בירמיהו </w:t>
      </w:r>
      <w:proofErr w:type="spellStart"/>
      <w:r>
        <w:rPr>
          <w:rtl/>
        </w:rPr>
        <w:t>כא</w:t>
      </w:r>
      <w:proofErr w:type="spellEnd"/>
      <w:r>
        <w:rPr>
          <w:rFonts w:hint="cs"/>
          <w:rtl/>
        </w:rPr>
        <w:t xml:space="preserve"> </w:t>
      </w:r>
      <w:proofErr w:type="spellStart"/>
      <w:r>
        <w:rPr>
          <w:rFonts w:hint="cs"/>
          <w:rtl/>
        </w:rPr>
        <w:t>יב</w:t>
      </w:r>
      <w:proofErr w:type="spellEnd"/>
      <w:r>
        <w:rPr>
          <w:rFonts w:hint="cs"/>
          <w:rtl/>
        </w:rPr>
        <w:t>: "</w:t>
      </w:r>
      <w:r>
        <w:rPr>
          <w:rtl/>
        </w:rPr>
        <w:t>בֵּית דָּוִד כֹּה אָמַר ה' דִּינוּ לַבֹּקֶר מִשְׁפָּט וְהַצִּילוּ גָזוּל מִיַּד עוֹשֵׁק</w:t>
      </w:r>
      <w:r>
        <w:rPr>
          <w:rFonts w:hint="cs"/>
          <w:rtl/>
        </w:rPr>
        <w:t xml:space="preserve"> וכו' ", ב</w:t>
      </w:r>
      <w:r>
        <w:rPr>
          <w:rtl/>
        </w:rPr>
        <w:t>הושע ה</w:t>
      </w:r>
      <w:r>
        <w:rPr>
          <w:rFonts w:hint="cs"/>
          <w:rtl/>
        </w:rPr>
        <w:t xml:space="preserve"> </w:t>
      </w:r>
      <w:r>
        <w:rPr>
          <w:rtl/>
        </w:rPr>
        <w:t>א</w:t>
      </w:r>
      <w:r>
        <w:rPr>
          <w:rFonts w:hint="cs"/>
          <w:rtl/>
        </w:rPr>
        <w:t>" "</w:t>
      </w:r>
      <w:r>
        <w:rPr>
          <w:rtl/>
        </w:rPr>
        <w:t xml:space="preserve">שִׁמְעוּ זֹאת </w:t>
      </w:r>
      <w:proofErr w:type="spellStart"/>
      <w:r>
        <w:rPr>
          <w:rtl/>
        </w:rPr>
        <w:t>הַכֹּהֲנִים</w:t>
      </w:r>
      <w:proofErr w:type="spellEnd"/>
      <w:r>
        <w:rPr>
          <w:rtl/>
        </w:rPr>
        <w:t xml:space="preserve"> וְהַקְשִׁיבוּ בֵּית יִשְׂרָאֵל וּבֵית הַמֶּלֶךְ הַאֲזִינוּ כִּי לָכֶם הַמִּשְׁפָּט </w:t>
      </w:r>
      <w:r>
        <w:rPr>
          <w:rFonts w:hint="cs"/>
          <w:rtl/>
        </w:rPr>
        <w:t xml:space="preserve">וכו' ", ועוד </w:t>
      </w:r>
      <w:proofErr w:type="spellStart"/>
      <w:r>
        <w:rPr>
          <w:rFonts w:hint="cs"/>
          <w:rtl/>
        </w:rPr>
        <w:t>ועוד</w:t>
      </w:r>
      <w:proofErr w:type="spellEnd"/>
      <w:r>
        <w:rPr>
          <w:rFonts w:hint="cs"/>
          <w:rtl/>
        </w:rPr>
        <w:t xml:space="preserve">. </w:t>
      </w:r>
      <w:r w:rsidR="00F6016D">
        <w:rPr>
          <w:rFonts w:hint="cs"/>
          <w:rtl/>
        </w:rPr>
        <w:t>ראו</w:t>
      </w:r>
      <w:r>
        <w:rPr>
          <w:rFonts w:hint="cs"/>
          <w:rtl/>
        </w:rPr>
        <w:t xml:space="preserve"> דברינו </w:t>
      </w:r>
      <w:hyperlink r:id="rId1" w:anchor="gsc.tab=0" w:history="1">
        <w:r w:rsidRPr="00976F68">
          <w:rPr>
            <w:rStyle w:val="Hyperlink"/>
            <w:rFonts w:hint="cs"/>
            <w:rtl/>
          </w:rPr>
          <w:t>מלך במשפט יעמיד ארץ</w:t>
        </w:r>
      </w:hyperlink>
      <w:r>
        <w:rPr>
          <w:rFonts w:hint="cs"/>
          <w:rtl/>
        </w:rPr>
        <w:t xml:space="preserve"> בפרשת משפטים. אז ניחא שלא דנים את המלך, אבל "מלך לא דן", הכיצד?</w:t>
      </w:r>
      <w:r>
        <w:rPr>
          <w:rtl/>
        </w:rPr>
        <w:t xml:space="preserve"> </w:t>
      </w:r>
      <w:r w:rsidRPr="00686AFA">
        <w:rPr>
          <w:rtl/>
        </w:rPr>
        <w:t xml:space="preserve"> </w:t>
      </w:r>
    </w:p>
  </w:footnote>
  <w:footnote w:id="3">
    <w:p w14:paraId="5ACFED93" w14:textId="77777777" w:rsidR="005D318D" w:rsidRDefault="005D318D" w:rsidP="00D74ABB">
      <w:pPr>
        <w:pStyle w:val="a3"/>
        <w:rPr>
          <w:rFonts w:hint="cs"/>
          <w:rtl/>
        </w:rPr>
      </w:pPr>
      <w:r>
        <w:rPr>
          <w:rStyle w:val="a5"/>
        </w:rPr>
        <w:footnoteRef/>
      </w:r>
      <w:r>
        <w:rPr>
          <w:rtl/>
        </w:rPr>
        <w:t xml:space="preserve"> </w:t>
      </w:r>
      <w:r>
        <w:rPr>
          <w:rtl/>
        </w:rPr>
        <w:t xml:space="preserve">ובמדרש תהלים (בובר) על פסוק זה: </w:t>
      </w:r>
      <w:r>
        <w:rPr>
          <w:rFonts w:hint="cs"/>
          <w:rtl/>
        </w:rPr>
        <w:t>"</w:t>
      </w:r>
      <w:r>
        <w:rPr>
          <w:rtl/>
        </w:rPr>
        <w:t>אמר ר' יוחנן: אמר דוד לפני הקב"ה</w:t>
      </w:r>
      <w:r w:rsidR="00976F68">
        <w:rPr>
          <w:rFonts w:hint="cs"/>
          <w:rtl/>
        </w:rPr>
        <w:t>:</w:t>
      </w:r>
      <w:r>
        <w:rPr>
          <w:rtl/>
        </w:rPr>
        <w:t xml:space="preserve"> ריבונו של עולם, אתה מלך ואני מלך, ראוי למלך לדון את המלך</w:t>
      </w:r>
      <w:r>
        <w:rPr>
          <w:rFonts w:hint="cs"/>
          <w:rtl/>
        </w:rPr>
        <w:t>"</w:t>
      </w:r>
      <w:r>
        <w:rPr>
          <w:rtl/>
        </w:rPr>
        <w:t xml:space="preserve">. </w:t>
      </w:r>
      <w:r>
        <w:rPr>
          <w:rFonts w:hint="cs"/>
          <w:rtl/>
        </w:rPr>
        <w:t>רוצה לומר</w:t>
      </w:r>
      <w:r w:rsidR="005D57E9">
        <w:rPr>
          <w:rFonts w:hint="cs"/>
          <w:rtl/>
        </w:rPr>
        <w:t xml:space="preserve">, </w:t>
      </w:r>
      <w:r>
        <w:rPr>
          <w:rFonts w:hint="cs"/>
          <w:rtl/>
        </w:rPr>
        <w:t xml:space="preserve">המלך </w:t>
      </w:r>
      <w:r w:rsidR="003F059E">
        <w:rPr>
          <w:rFonts w:hint="cs"/>
          <w:rtl/>
        </w:rPr>
        <w:t xml:space="preserve">הוא </w:t>
      </w:r>
      <w:r>
        <w:rPr>
          <w:rFonts w:hint="cs"/>
          <w:rtl/>
        </w:rPr>
        <w:t xml:space="preserve">חשוב </w:t>
      </w:r>
      <w:r w:rsidR="003F059E">
        <w:rPr>
          <w:rFonts w:hint="cs"/>
          <w:rtl/>
        </w:rPr>
        <w:t xml:space="preserve">ונכבד ומורם מעם </w:t>
      </w:r>
      <w:proofErr w:type="spellStart"/>
      <w:r>
        <w:rPr>
          <w:rFonts w:hint="cs"/>
          <w:rtl/>
        </w:rPr>
        <w:t>ו</w:t>
      </w:r>
      <w:r>
        <w:rPr>
          <w:rtl/>
        </w:rPr>
        <w:t>מלכותא</w:t>
      </w:r>
      <w:proofErr w:type="spellEnd"/>
      <w:r>
        <w:rPr>
          <w:rtl/>
        </w:rPr>
        <w:t xml:space="preserve"> דארעא </w:t>
      </w:r>
      <w:r>
        <w:rPr>
          <w:rFonts w:hint="cs"/>
          <w:rtl/>
        </w:rPr>
        <w:t xml:space="preserve">(מלכות הארץ) </w:t>
      </w:r>
      <w:r>
        <w:rPr>
          <w:rtl/>
        </w:rPr>
        <w:t xml:space="preserve">כעין </w:t>
      </w:r>
      <w:proofErr w:type="spellStart"/>
      <w:r>
        <w:rPr>
          <w:rtl/>
        </w:rPr>
        <w:t>מלכותא</w:t>
      </w:r>
      <w:proofErr w:type="spellEnd"/>
      <w:r>
        <w:rPr>
          <w:rtl/>
        </w:rPr>
        <w:t xml:space="preserve"> </w:t>
      </w:r>
      <w:proofErr w:type="spellStart"/>
      <w:r>
        <w:rPr>
          <w:rtl/>
        </w:rPr>
        <w:t>דרקיעא</w:t>
      </w:r>
      <w:proofErr w:type="spellEnd"/>
      <w:r>
        <w:rPr>
          <w:rFonts w:hint="cs"/>
          <w:rtl/>
        </w:rPr>
        <w:t xml:space="preserve"> (מלכות השמים)</w:t>
      </w:r>
      <w:r w:rsidR="005D57E9">
        <w:rPr>
          <w:rFonts w:hint="cs"/>
          <w:rtl/>
        </w:rPr>
        <w:t xml:space="preserve">, המלך </w:t>
      </w:r>
      <w:r w:rsidR="00D74ABB">
        <w:rPr>
          <w:rFonts w:hint="cs"/>
          <w:rtl/>
        </w:rPr>
        <w:t xml:space="preserve">אולי </w:t>
      </w:r>
      <w:r w:rsidR="005D57E9">
        <w:rPr>
          <w:rFonts w:hint="cs"/>
          <w:rtl/>
        </w:rPr>
        <w:t xml:space="preserve">שופט את העם </w:t>
      </w:r>
      <w:r w:rsidR="00D74ABB">
        <w:rPr>
          <w:rFonts w:hint="cs"/>
          <w:rtl/>
        </w:rPr>
        <w:t xml:space="preserve">(נושא שעדיין צריך לברר) אבל </w:t>
      </w:r>
      <w:r w:rsidR="005D57E9">
        <w:rPr>
          <w:rFonts w:hint="cs"/>
          <w:rtl/>
        </w:rPr>
        <w:t>אין מי שישפוט אותו רק המלך שבשמים.</w:t>
      </w:r>
      <w:r w:rsidR="003A4AAA">
        <w:rPr>
          <w:rFonts w:hint="cs"/>
          <w:rtl/>
        </w:rPr>
        <w:t xml:space="preserve"> אך </w:t>
      </w:r>
      <w:r w:rsidR="00F6016D">
        <w:rPr>
          <w:rFonts w:hint="cs"/>
          <w:rtl/>
        </w:rPr>
        <w:t>ראו</w:t>
      </w:r>
      <w:r>
        <w:rPr>
          <w:rFonts w:hint="cs"/>
          <w:rtl/>
        </w:rPr>
        <w:t xml:space="preserve"> </w:t>
      </w:r>
      <w:r w:rsidR="007A7B87">
        <w:rPr>
          <w:rFonts w:hint="cs"/>
          <w:rtl/>
        </w:rPr>
        <w:t xml:space="preserve">המדרשים על </w:t>
      </w:r>
      <w:r>
        <w:rPr>
          <w:rFonts w:hint="cs"/>
          <w:rtl/>
        </w:rPr>
        <w:t>דברי אברהם בסדום "השופט כל הארץ לא יעשה משפט" שקרא תיגר גם על מלכותא דרקיעא</w:t>
      </w:r>
      <w:r w:rsidR="007A7B87">
        <w:rPr>
          <w:rFonts w:hint="cs"/>
          <w:rtl/>
          <w:lang w:eastAsia="en-US"/>
        </w:rPr>
        <w:t>: "</w:t>
      </w:r>
      <w:r w:rsidR="007A7B87">
        <w:rPr>
          <w:rFonts w:hint="eastAsia"/>
          <w:rtl/>
          <w:lang w:eastAsia="en-US"/>
        </w:rPr>
        <w:t>ר</w:t>
      </w:r>
      <w:r w:rsidR="007A7B87">
        <w:rPr>
          <w:rtl/>
          <w:lang w:eastAsia="en-US"/>
        </w:rPr>
        <w:t xml:space="preserve">' </w:t>
      </w:r>
      <w:r w:rsidR="007A7B87">
        <w:rPr>
          <w:rFonts w:hint="eastAsia"/>
          <w:rtl/>
          <w:lang w:eastAsia="en-US"/>
        </w:rPr>
        <w:t>נתן</w:t>
      </w:r>
      <w:r w:rsidR="007A7B87">
        <w:rPr>
          <w:rtl/>
          <w:lang w:eastAsia="en-US"/>
        </w:rPr>
        <w:t xml:space="preserve"> </w:t>
      </w:r>
      <w:r w:rsidR="007A7B87">
        <w:rPr>
          <w:rFonts w:hint="eastAsia"/>
          <w:rtl/>
          <w:lang w:eastAsia="en-US"/>
        </w:rPr>
        <w:t>אומר</w:t>
      </w:r>
      <w:r w:rsidR="007A7B87">
        <w:rPr>
          <w:rFonts w:hint="cs"/>
          <w:rtl/>
          <w:lang w:eastAsia="en-US"/>
        </w:rPr>
        <w:t>:</w:t>
      </w:r>
      <w:r w:rsidR="007A7B87">
        <w:rPr>
          <w:rtl/>
          <w:lang w:eastAsia="en-US"/>
        </w:rPr>
        <w:t xml:space="preserve"> </w:t>
      </w:r>
      <w:r w:rsidR="007A7B87">
        <w:rPr>
          <w:rFonts w:hint="eastAsia"/>
          <w:rtl/>
          <w:lang w:eastAsia="en-US"/>
        </w:rPr>
        <w:t>נאה</w:t>
      </w:r>
      <w:r w:rsidR="007A7B87">
        <w:rPr>
          <w:rtl/>
          <w:lang w:eastAsia="en-US"/>
        </w:rPr>
        <w:t xml:space="preserve"> </w:t>
      </w:r>
      <w:r w:rsidR="007A7B87">
        <w:rPr>
          <w:rFonts w:hint="eastAsia"/>
          <w:rtl/>
          <w:lang w:eastAsia="en-US"/>
        </w:rPr>
        <w:t>לאלהים</w:t>
      </w:r>
      <w:r w:rsidR="007A7B87">
        <w:rPr>
          <w:rtl/>
          <w:lang w:eastAsia="en-US"/>
        </w:rPr>
        <w:t xml:space="preserve"> </w:t>
      </w:r>
      <w:r w:rsidR="007A7B87">
        <w:rPr>
          <w:rFonts w:hint="eastAsia"/>
          <w:rtl/>
          <w:lang w:eastAsia="en-US"/>
        </w:rPr>
        <w:t>הדין</w:t>
      </w:r>
      <w:r w:rsidR="007A7B87">
        <w:rPr>
          <w:rtl/>
          <w:lang w:eastAsia="en-US"/>
        </w:rPr>
        <w:t xml:space="preserve"> </w:t>
      </w:r>
      <w:r w:rsidR="007A7B87">
        <w:rPr>
          <w:rFonts w:hint="eastAsia"/>
          <w:rtl/>
          <w:lang w:eastAsia="en-US"/>
        </w:rPr>
        <w:t>שהוא</w:t>
      </w:r>
      <w:r w:rsidR="007A7B87">
        <w:rPr>
          <w:rtl/>
          <w:lang w:eastAsia="en-US"/>
        </w:rPr>
        <w:t xml:space="preserve"> </w:t>
      </w:r>
      <w:r w:rsidR="007A7B87">
        <w:rPr>
          <w:rFonts w:hint="eastAsia"/>
          <w:rtl/>
          <w:lang w:eastAsia="en-US"/>
        </w:rPr>
        <w:t>שומרו</w:t>
      </w:r>
      <w:r w:rsidR="007A7B87">
        <w:rPr>
          <w:rtl/>
          <w:lang w:eastAsia="en-US"/>
        </w:rPr>
        <w:t xml:space="preserve"> </w:t>
      </w:r>
      <w:r w:rsidR="007A7B87">
        <w:rPr>
          <w:rFonts w:hint="eastAsia"/>
          <w:rtl/>
          <w:lang w:eastAsia="en-US"/>
        </w:rPr>
        <w:t>ואינו</w:t>
      </w:r>
      <w:r w:rsidR="007A7B87">
        <w:rPr>
          <w:rtl/>
          <w:lang w:eastAsia="en-US"/>
        </w:rPr>
        <w:t xml:space="preserve"> </w:t>
      </w:r>
      <w:r w:rsidR="007A7B87">
        <w:rPr>
          <w:rFonts w:hint="eastAsia"/>
          <w:rtl/>
          <w:lang w:eastAsia="en-US"/>
        </w:rPr>
        <w:t>נושא</w:t>
      </w:r>
      <w:r w:rsidR="007A7B87">
        <w:rPr>
          <w:rtl/>
          <w:lang w:eastAsia="en-US"/>
        </w:rPr>
        <w:t xml:space="preserve"> </w:t>
      </w:r>
      <w:r w:rsidR="007A7B87">
        <w:rPr>
          <w:rFonts w:hint="eastAsia"/>
          <w:rtl/>
          <w:lang w:eastAsia="en-US"/>
        </w:rPr>
        <w:t>פנים</w:t>
      </w:r>
      <w:r w:rsidR="007A7B87">
        <w:rPr>
          <w:rtl/>
          <w:lang w:eastAsia="en-US"/>
        </w:rPr>
        <w:t xml:space="preserve"> </w:t>
      </w:r>
      <w:r w:rsidR="007A7B87">
        <w:rPr>
          <w:rFonts w:hint="eastAsia"/>
          <w:rtl/>
          <w:lang w:eastAsia="en-US"/>
        </w:rPr>
        <w:t>שנאמר</w:t>
      </w:r>
      <w:r w:rsidR="007A7B87">
        <w:rPr>
          <w:rtl/>
          <w:lang w:eastAsia="en-US"/>
        </w:rPr>
        <w:t xml:space="preserve"> (</w:t>
      </w:r>
      <w:r w:rsidR="007A7B87">
        <w:rPr>
          <w:rFonts w:hint="eastAsia"/>
          <w:rtl/>
          <w:lang w:eastAsia="en-US"/>
        </w:rPr>
        <w:t>ירמיה</w:t>
      </w:r>
      <w:r w:rsidR="007A7B87">
        <w:rPr>
          <w:rtl/>
          <w:lang w:eastAsia="en-US"/>
        </w:rPr>
        <w:t xml:space="preserve"> </w:t>
      </w:r>
      <w:r w:rsidR="007A7B87">
        <w:rPr>
          <w:rFonts w:hint="eastAsia"/>
          <w:rtl/>
          <w:lang w:eastAsia="en-US"/>
        </w:rPr>
        <w:t>ט</w:t>
      </w:r>
      <w:r w:rsidR="007A7B87">
        <w:rPr>
          <w:rtl/>
          <w:lang w:eastAsia="en-US"/>
        </w:rPr>
        <w:t xml:space="preserve">) </w:t>
      </w:r>
      <w:r w:rsidR="007A7B87">
        <w:rPr>
          <w:rFonts w:hint="eastAsia"/>
          <w:rtl/>
          <w:lang w:eastAsia="en-US"/>
        </w:rPr>
        <w:t>כי</w:t>
      </w:r>
      <w:r w:rsidR="007A7B87">
        <w:rPr>
          <w:rtl/>
          <w:lang w:eastAsia="en-US"/>
        </w:rPr>
        <w:t xml:space="preserve"> </w:t>
      </w:r>
      <w:r w:rsidR="007A7B87">
        <w:rPr>
          <w:rFonts w:hint="eastAsia"/>
          <w:rtl/>
          <w:lang w:eastAsia="en-US"/>
        </w:rPr>
        <w:t>אני</w:t>
      </w:r>
      <w:r w:rsidR="007A7B87">
        <w:rPr>
          <w:rtl/>
          <w:lang w:eastAsia="en-US"/>
        </w:rPr>
        <w:t xml:space="preserve"> </w:t>
      </w:r>
      <w:r w:rsidR="007A7B87">
        <w:rPr>
          <w:rFonts w:hint="eastAsia"/>
          <w:rtl/>
          <w:lang w:eastAsia="en-US"/>
        </w:rPr>
        <w:t>ה</w:t>
      </w:r>
      <w:r w:rsidR="007A7B87">
        <w:rPr>
          <w:rtl/>
          <w:lang w:eastAsia="en-US"/>
        </w:rPr>
        <w:t xml:space="preserve">' </w:t>
      </w:r>
      <w:r w:rsidR="007A7B87">
        <w:rPr>
          <w:rFonts w:hint="eastAsia"/>
          <w:rtl/>
          <w:lang w:eastAsia="en-US"/>
        </w:rPr>
        <w:t>עושה</w:t>
      </w:r>
      <w:r w:rsidR="007A7B87">
        <w:rPr>
          <w:rtl/>
          <w:lang w:eastAsia="en-US"/>
        </w:rPr>
        <w:t xml:space="preserve"> </w:t>
      </w:r>
      <w:r w:rsidR="007A7B87">
        <w:rPr>
          <w:rFonts w:hint="eastAsia"/>
          <w:rtl/>
          <w:lang w:eastAsia="en-US"/>
        </w:rPr>
        <w:t>חסד</w:t>
      </w:r>
      <w:r w:rsidR="007A7B87">
        <w:rPr>
          <w:rtl/>
          <w:lang w:eastAsia="en-US"/>
        </w:rPr>
        <w:t xml:space="preserve"> </w:t>
      </w:r>
      <w:r w:rsidR="007A7B87">
        <w:rPr>
          <w:rFonts w:hint="eastAsia"/>
          <w:rtl/>
          <w:lang w:eastAsia="en-US"/>
        </w:rPr>
        <w:t>ומשפט</w:t>
      </w:r>
      <w:r w:rsidR="007A7B87">
        <w:rPr>
          <w:rtl/>
          <w:lang w:eastAsia="en-US"/>
        </w:rPr>
        <w:t xml:space="preserve"> </w:t>
      </w:r>
      <w:r w:rsidR="007A7B87">
        <w:rPr>
          <w:rFonts w:hint="eastAsia"/>
          <w:rtl/>
          <w:lang w:eastAsia="en-US"/>
        </w:rPr>
        <w:t>וצדקה</w:t>
      </w:r>
      <w:r w:rsidR="007A7B87">
        <w:rPr>
          <w:rtl/>
          <w:lang w:eastAsia="en-US"/>
        </w:rPr>
        <w:t xml:space="preserve"> </w:t>
      </w:r>
      <w:r w:rsidR="007A7B87">
        <w:rPr>
          <w:rFonts w:hint="eastAsia"/>
          <w:rtl/>
          <w:lang w:eastAsia="en-US"/>
        </w:rPr>
        <w:t>בארץ</w:t>
      </w:r>
      <w:r w:rsidR="007A7B87">
        <w:rPr>
          <w:rtl/>
          <w:lang w:eastAsia="en-US"/>
        </w:rPr>
        <w:t xml:space="preserve">, </w:t>
      </w:r>
      <w:r w:rsidR="007A7B87">
        <w:rPr>
          <w:rFonts w:hint="eastAsia"/>
          <w:rtl/>
          <w:lang w:eastAsia="en-US"/>
        </w:rPr>
        <w:t>שכן</w:t>
      </w:r>
      <w:r w:rsidR="007A7B87">
        <w:rPr>
          <w:rtl/>
          <w:lang w:eastAsia="en-US"/>
        </w:rPr>
        <w:t xml:space="preserve"> </w:t>
      </w:r>
      <w:r w:rsidR="007A7B87">
        <w:rPr>
          <w:rFonts w:hint="eastAsia"/>
          <w:rtl/>
          <w:lang w:eastAsia="en-US"/>
        </w:rPr>
        <w:t>מצינו</w:t>
      </w:r>
      <w:r w:rsidR="007A7B87">
        <w:rPr>
          <w:rtl/>
          <w:lang w:eastAsia="en-US"/>
        </w:rPr>
        <w:t xml:space="preserve"> </w:t>
      </w:r>
      <w:r w:rsidR="007A7B87">
        <w:rPr>
          <w:rFonts w:hint="eastAsia"/>
          <w:rtl/>
          <w:lang w:eastAsia="en-US"/>
        </w:rPr>
        <w:t>באברהם</w:t>
      </w:r>
      <w:r w:rsidR="007A7B87">
        <w:rPr>
          <w:rtl/>
          <w:lang w:eastAsia="en-US"/>
        </w:rPr>
        <w:t xml:space="preserve"> </w:t>
      </w:r>
      <w:r w:rsidR="007A7B87">
        <w:rPr>
          <w:rFonts w:hint="eastAsia"/>
          <w:rtl/>
          <w:lang w:eastAsia="en-US"/>
        </w:rPr>
        <w:t>שעמד</w:t>
      </w:r>
      <w:r w:rsidR="007A7B87">
        <w:rPr>
          <w:rtl/>
          <w:lang w:eastAsia="en-US"/>
        </w:rPr>
        <w:t xml:space="preserve"> </w:t>
      </w:r>
      <w:r w:rsidR="007A7B87">
        <w:rPr>
          <w:rFonts w:hint="eastAsia"/>
          <w:rtl/>
          <w:lang w:eastAsia="en-US"/>
        </w:rPr>
        <w:t>בעשר</w:t>
      </w:r>
      <w:r w:rsidR="007A7B87">
        <w:rPr>
          <w:rtl/>
          <w:lang w:eastAsia="en-US"/>
        </w:rPr>
        <w:t xml:space="preserve"> </w:t>
      </w:r>
      <w:r w:rsidR="007A7B87">
        <w:rPr>
          <w:rFonts w:hint="eastAsia"/>
          <w:rtl/>
          <w:lang w:eastAsia="en-US"/>
        </w:rPr>
        <w:t>נסיונות</w:t>
      </w:r>
      <w:r w:rsidR="007A7B87">
        <w:rPr>
          <w:rtl/>
          <w:lang w:eastAsia="en-US"/>
        </w:rPr>
        <w:t xml:space="preserve"> </w:t>
      </w:r>
      <w:r w:rsidR="007A7B87">
        <w:rPr>
          <w:rFonts w:hint="eastAsia"/>
          <w:rtl/>
          <w:lang w:eastAsia="en-US"/>
        </w:rPr>
        <w:t>ולא</w:t>
      </w:r>
      <w:r w:rsidR="007A7B87">
        <w:rPr>
          <w:rtl/>
          <w:lang w:eastAsia="en-US"/>
        </w:rPr>
        <w:t xml:space="preserve"> </w:t>
      </w:r>
      <w:r w:rsidR="007A7B87">
        <w:rPr>
          <w:rFonts w:hint="eastAsia"/>
          <w:rtl/>
          <w:lang w:eastAsia="en-US"/>
        </w:rPr>
        <w:t>נשא</w:t>
      </w:r>
      <w:r w:rsidR="007A7B87">
        <w:rPr>
          <w:rtl/>
          <w:lang w:eastAsia="en-US"/>
        </w:rPr>
        <w:t xml:space="preserve"> (</w:t>
      </w:r>
      <w:r w:rsidR="007A7B87">
        <w:rPr>
          <w:rFonts w:hint="eastAsia"/>
          <w:rtl/>
          <w:lang w:eastAsia="en-US"/>
        </w:rPr>
        <w:t>לו</w:t>
      </w:r>
      <w:r w:rsidR="007A7B87">
        <w:rPr>
          <w:rtl/>
          <w:lang w:eastAsia="en-US"/>
        </w:rPr>
        <w:t xml:space="preserve">) </w:t>
      </w:r>
      <w:r w:rsidR="007A7B87">
        <w:rPr>
          <w:rFonts w:hint="eastAsia"/>
          <w:rtl/>
          <w:lang w:eastAsia="en-US"/>
        </w:rPr>
        <w:t>פנים</w:t>
      </w:r>
      <w:r w:rsidR="007A7B87">
        <w:rPr>
          <w:rFonts w:hint="cs"/>
          <w:rtl/>
          <w:lang w:eastAsia="en-US"/>
        </w:rPr>
        <w:t xml:space="preserve"> ... </w:t>
      </w:r>
      <w:r w:rsidR="007A7B87">
        <w:rPr>
          <w:rFonts w:hint="eastAsia"/>
          <w:rtl/>
          <w:lang w:eastAsia="en-US"/>
        </w:rPr>
        <w:t>אלא</w:t>
      </w:r>
      <w:r w:rsidR="007A7B87">
        <w:rPr>
          <w:rtl/>
          <w:lang w:eastAsia="en-US"/>
        </w:rPr>
        <w:t xml:space="preserve"> </w:t>
      </w:r>
      <w:r w:rsidR="007A7B87">
        <w:rPr>
          <w:rFonts w:hint="eastAsia"/>
          <w:rtl/>
          <w:lang w:eastAsia="en-US"/>
        </w:rPr>
        <w:t>הוא</w:t>
      </w:r>
      <w:r w:rsidR="007A7B87">
        <w:rPr>
          <w:rtl/>
          <w:lang w:eastAsia="en-US"/>
        </w:rPr>
        <w:t xml:space="preserve"> </w:t>
      </w:r>
      <w:r w:rsidR="007A7B87">
        <w:rPr>
          <w:rFonts w:hint="eastAsia"/>
          <w:rtl/>
          <w:lang w:eastAsia="en-US"/>
        </w:rPr>
        <w:t>היה</w:t>
      </w:r>
      <w:r w:rsidR="007A7B87">
        <w:rPr>
          <w:rtl/>
          <w:lang w:eastAsia="en-US"/>
        </w:rPr>
        <w:t xml:space="preserve"> </w:t>
      </w:r>
      <w:r w:rsidR="007A7B87">
        <w:rPr>
          <w:rFonts w:hint="eastAsia"/>
          <w:rtl/>
          <w:lang w:eastAsia="en-US"/>
        </w:rPr>
        <w:t>מבקש</w:t>
      </w:r>
      <w:r w:rsidR="007A7B87">
        <w:rPr>
          <w:rtl/>
          <w:lang w:eastAsia="en-US"/>
        </w:rPr>
        <w:t xml:space="preserve"> </w:t>
      </w:r>
      <w:r w:rsidR="007A7B87">
        <w:rPr>
          <w:rFonts w:hint="eastAsia"/>
          <w:rtl/>
          <w:lang w:eastAsia="en-US"/>
        </w:rPr>
        <w:t>מן</w:t>
      </w:r>
      <w:r w:rsidR="007A7B87">
        <w:rPr>
          <w:rtl/>
          <w:lang w:eastAsia="en-US"/>
        </w:rPr>
        <w:t xml:space="preserve"> </w:t>
      </w:r>
      <w:proofErr w:type="spellStart"/>
      <w:r w:rsidR="007A7B87">
        <w:rPr>
          <w:rFonts w:hint="eastAsia"/>
          <w:rtl/>
          <w:lang w:eastAsia="en-US"/>
        </w:rPr>
        <w:t>האלהים</w:t>
      </w:r>
      <w:proofErr w:type="spellEnd"/>
      <w:r w:rsidR="007A7B87">
        <w:rPr>
          <w:rtl/>
          <w:lang w:eastAsia="en-US"/>
        </w:rPr>
        <w:t xml:space="preserve"> </w:t>
      </w:r>
      <w:r w:rsidR="007A7B87">
        <w:rPr>
          <w:rFonts w:hint="eastAsia"/>
          <w:rtl/>
          <w:lang w:eastAsia="en-US"/>
        </w:rPr>
        <w:t>שישמור</w:t>
      </w:r>
      <w:r w:rsidR="007A7B87">
        <w:rPr>
          <w:rtl/>
          <w:lang w:eastAsia="en-US"/>
        </w:rPr>
        <w:t xml:space="preserve"> </w:t>
      </w:r>
      <w:r w:rsidR="007A7B87">
        <w:rPr>
          <w:rFonts w:hint="eastAsia"/>
          <w:rtl/>
          <w:lang w:eastAsia="en-US"/>
        </w:rPr>
        <w:t>המשפט</w:t>
      </w:r>
      <w:r w:rsidR="007A7B87">
        <w:rPr>
          <w:rtl/>
          <w:lang w:eastAsia="en-US"/>
        </w:rPr>
        <w:t xml:space="preserve"> </w:t>
      </w:r>
      <w:r w:rsidR="007A7B87">
        <w:rPr>
          <w:rFonts w:hint="eastAsia"/>
          <w:rtl/>
          <w:lang w:eastAsia="en-US"/>
        </w:rPr>
        <w:t>שנאמר</w:t>
      </w:r>
      <w:r w:rsidR="007A7B87">
        <w:rPr>
          <w:rtl/>
          <w:lang w:eastAsia="en-US"/>
        </w:rPr>
        <w:t xml:space="preserve"> (</w:t>
      </w:r>
      <w:r w:rsidR="007A7B87">
        <w:rPr>
          <w:rFonts w:hint="eastAsia"/>
          <w:rtl/>
          <w:lang w:eastAsia="en-US"/>
        </w:rPr>
        <w:t>בראשית</w:t>
      </w:r>
      <w:r w:rsidR="007A7B87">
        <w:rPr>
          <w:rtl/>
          <w:lang w:eastAsia="en-US"/>
        </w:rPr>
        <w:t xml:space="preserve"> </w:t>
      </w:r>
      <w:proofErr w:type="spellStart"/>
      <w:r w:rsidR="007A7B87">
        <w:rPr>
          <w:rFonts w:hint="eastAsia"/>
          <w:rtl/>
          <w:lang w:eastAsia="en-US"/>
        </w:rPr>
        <w:t>יח</w:t>
      </w:r>
      <w:proofErr w:type="spellEnd"/>
      <w:r w:rsidR="007A7B87">
        <w:rPr>
          <w:rtl/>
          <w:lang w:eastAsia="en-US"/>
        </w:rPr>
        <w:t xml:space="preserve">) </w:t>
      </w:r>
      <w:r w:rsidR="007A7B87">
        <w:rPr>
          <w:rFonts w:hint="eastAsia"/>
          <w:rtl/>
          <w:lang w:eastAsia="en-US"/>
        </w:rPr>
        <w:t>השופט</w:t>
      </w:r>
      <w:r w:rsidR="007A7B87">
        <w:rPr>
          <w:rtl/>
          <w:lang w:eastAsia="en-US"/>
        </w:rPr>
        <w:t xml:space="preserve"> </w:t>
      </w:r>
      <w:r w:rsidR="007A7B87">
        <w:rPr>
          <w:rFonts w:hint="eastAsia"/>
          <w:rtl/>
          <w:lang w:eastAsia="en-US"/>
        </w:rPr>
        <w:t>כל</w:t>
      </w:r>
      <w:r w:rsidR="007A7B87">
        <w:rPr>
          <w:rtl/>
          <w:lang w:eastAsia="en-US"/>
        </w:rPr>
        <w:t xml:space="preserve"> </w:t>
      </w:r>
      <w:r w:rsidR="007A7B87" w:rsidRPr="007A7B87">
        <w:rPr>
          <w:rFonts w:hint="eastAsia"/>
          <w:rtl/>
          <w:lang w:eastAsia="en-US"/>
        </w:rPr>
        <w:t>הארץ</w:t>
      </w:r>
      <w:r w:rsidR="007A7B87" w:rsidRPr="007A7B87">
        <w:rPr>
          <w:rtl/>
          <w:lang w:eastAsia="en-US"/>
        </w:rPr>
        <w:t xml:space="preserve"> </w:t>
      </w:r>
      <w:r w:rsidR="007A7B87" w:rsidRPr="007A7B87">
        <w:rPr>
          <w:rFonts w:hint="eastAsia"/>
          <w:rtl/>
          <w:lang w:eastAsia="en-US"/>
        </w:rPr>
        <w:t>לא</w:t>
      </w:r>
      <w:r w:rsidR="007A7B87" w:rsidRPr="007A7B87">
        <w:rPr>
          <w:rtl/>
          <w:lang w:eastAsia="en-US"/>
        </w:rPr>
        <w:t xml:space="preserve"> </w:t>
      </w:r>
      <w:r w:rsidR="007A7B87" w:rsidRPr="007A7B87">
        <w:rPr>
          <w:rFonts w:hint="eastAsia"/>
          <w:rtl/>
          <w:lang w:eastAsia="en-US"/>
        </w:rPr>
        <w:t>יעשה</w:t>
      </w:r>
      <w:r w:rsidR="007A7B87" w:rsidRPr="007A7B87">
        <w:rPr>
          <w:rtl/>
          <w:lang w:eastAsia="en-US"/>
        </w:rPr>
        <w:t xml:space="preserve"> </w:t>
      </w:r>
      <w:r w:rsidR="007A7B87" w:rsidRPr="007A7B87">
        <w:rPr>
          <w:rFonts w:hint="eastAsia"/>
          <w:rtl/>
          <w:lang w:eastAsia="en-US"/>
        </w:rPr>
        <w:t>משפט</w:t>
      </w:r>
      <w:r w:rsidR="007A7B87" w:rsidRPr="007A7B87">
        <w:rPr>
          <w:rFonts w:hint="cs"/>
          <w:rtl/>
          <w:lang w:eastAsia="en-US"/>
        </w:rPr>
        <w:t>" (</w:t>
      </w:r>
      <w:r w:rsidR="007A7B87" w:rsidRPr="007A7B87">
        <w:rPr>
          <w:rFonts w:hint="eastAsia"/>
          <w:rtl/>
          <w:lang w:eastAsia="en-US"/>
        </w:rPr>
        <w:t>שמות</w:t>
      </w:r>
      <w:r w:rsidR="007A7B87">
        <w:rPr>
          <w:rtl/>
          <w:lang w:eastAsia="en-US"/>
        </w:rPr>
        <w:t xml:space="preserve"> </w:t>
      </w:r>
      <w:r w:rsidR="007A7B87">
        <w:rPr>
          <w:rFonts w:hint="eastAsia"/>
          <w:rtl/>
          <w:lang w:eastAsia="en-US"/>
        </w:rPr>
        <w:t>רבה</w:t>
      </w:r>
      <w:r w:rsidR="007A7B87">
        <w:rPr>
          <w:rtl/>
          <w:lang w:eastAsia="en-US"/>
        </w:rPr>
        <w:t xml:space="preserve"> </w:t>
      </w:r>
      <w:r w:rsidR="007A7B87">
        <w:rPr>
          <w:rFonts w:hint="eastAsia"/>
          <w:rtl/>
          <w:lang w:eastAsia="en-US"/>
        </w:rPr>
        <w:t>ל</w:t>
      </w:r>
      <w:r w:rsidR="007A7B87">
        <w:rPr>
          <w:rtl/>
          <w:lang w:eastAsia="en-US"/>
        </w:rPr>
        <w:t xml:space="preserve"> </w:t>
      </w:r>
      <w:proofErr w:type="spellStart"/>
      <w:r w:rsidR="007A7B87">
        <w:rPr>
          <w:rFonts w:hint="eastAsia"/>
          <w:rtl/>
          <w:lang w:eastAsia="en-US"/>
        </w:rPr>
        <w:t>טז</w:t>
      </w:r>
      <w:proofErr w:type="spellEnd"/>
      <w:r w:rsidR="007A7B87">
        <w:rPr>
          <w:rFonts w:hint="cs"/>
          <w:rtl/>
          <w:lang w:eastAsia="en-US"/>
        </w:rPr>
        <w:t xml:space="preserve">). </w:t>
      </w:r>
      <w:r w:rsidR="00F6016D">
        <w:rPr>
          <w:rFonts w:hint="cs"/>
          <w:rtl/>
          <w:lang w:eastAsia="en-US"/>
        </w:rPr>
        <w:t>ראו</w:t>
      </w:r>
      <w:r w:rsidR="003A4AAA">
        <w:rPr>
          <w:rFonts w:hint="cs"/>
          <w:rtl/>
          <w:lang w:eastAsia="en-US"/>
        </w:rPr>
        <w:t xml:space="preserve"> </w:t>
      </w:r>
      <w:r w:rsidR="007A7B87">
        <w:rPr>
          <w:rFonts w:hint="cs"/>
          <w:rtl/>
          <w:lang w:eastAsia="en-US"/>
        </w:rPr>
        <w:t xml:space="preserve">דברינו </w:t>
      </w:r>
      <w:hyperlink r:id="rId2" w:anchor="gsc.tab=0" w:history="1">
        <w:r w:rsidR="009B29C3" w:rsidRPr="009B29C3">
          <w:rPr>
            <w:rStyle w:val="Hyperlink"/>
            <w:rFonts w:hint="cs"/>
            <w:rtl/>
          </w:rPr>
          <w:t>חלילה לך מעשות כדבר הזה</w:t>
        </w:r>
      </w:hyperlink>
      <w:r w:rsidR="009B29C3">
        <w:rPr>
          <w:rFonts w:hint="cs"/>
          <w:rtl/>
        </w:rPr>
        <w:t xml:space="preserve"> </w:t>
      </w:r>
      <w:r w:rsidR="003F059E">
        <w:rPr>
          <w:rFonts w:hint="cs"/>
          <w:rtl/>
        </w:rPr>
        <w:t>ב</w:t>
      </w:r>
      <w:r w:rsidR="007A7B87">
        <w:rPr>
          <w:rFonts w:hint="cs"/>
          <w:rtl/>
        </w:rPr>
        <w:t xml:space="preserve">פרשת וירא. </w:t>
      </w:r>
      <w:r w:rsidR="003F059E">
        <w:rPr>
          <w:rFonts w:hint="cs"/>
          <w:rtl/>
        </w:rPr>
        <w:t xml:space="preserve">אז כנגד מלך בשר ודם מה היה אומר אברהם? </w:t>
      </w:r>
      <w:r w:rsidR="007A7B87">
        <w:rPr>
          <w:rFonts w:hint="cs"/>
          <w:rtl/>
        </w:rPr>
        <w:t xml:space="preserve">כללו של דבר, </w:t>
      </w:r>
      <w:r w:rsidR="003F059E">
        <w:rPr>
          <w:rFonts w:hint="cs"/>
          <w:rtl/>
        </w:rPr>
        <w:t xml:space="preserve">מדרש זה ממשיך לכאורה את דברי המשנה: מלך לא דן ולא דנים אותו </w:t>
      </w:r>
      <w:r w:rsidR="003F059E">
        <w:rPr>
          <w:rtl/>
        </w:rPr>
        <w:t>–</w:t>
      </w:r>
      <w:r w:rsidR="003F059E">
        <w:rPr>
          <w:rFonts w:hint="cs"/>
          <w:rtl/>
        </w:rPr>
        <w:t xml:space="preserve"> כפשוטה. </w:t>
      </w:r>
      <w:r w:rsidR="003A4AAA">
        <w:rPr>
          <w:rFonts w:hint="cs"/>
          <w:rtl/>
        </w:rPr>
        <w:t>ו</w:t>
      </w:r>
      <w:r w:rsidR="003F059E">
        <w:rPr>
          <w:rFonts w:hint="cs"/>
          <w:rtl/>
        </w:rPr>
        <w:t xml:space="preserve">אנו עדיין שואלים: מדוע? </w:t>
      </w:r>
      <w:r w:rsidR="007A7B87">
        <w:rPr>
          <w:rFonts w:hint="cs"/>
          <w:rtl/>
        </w:rPr>
        <w:t xml:space="preserve"> </w:t>
      </w:r>
    </w:p>
  </w:footnote>
  <w:footnote w:id="4">
    <w:p w14:paraId="75DA0FBE" w14:textId="77777777" w:rsidR="00AA3F51" w:rsidRDefault="00AA3F51" w:rsidP="003A4AAA">
      <w:pPr>
        <w:pStyle w:val="a3"/>
        <w:rPr>
          <w:rFonts w:hint="cs"/>
          <w:rtl/>
        </w:rPr>
      </w:pPr>
      <w:r>
        <w:rPr>
          <w:rStyle w:val="a5"/>
        </w:rPr>
        <w:footnoteRef/>
      </w:r>
      <w:r>
        <w:rPr>
          <w:rtl/>
        </w:rPr>
        <w:t xml:space="preserve"> </w:t>
      </w:r>
      <w:r>
        <w:rPr>
          <w:rtl/>
        </w:rPr>
        <w:t xml:space="preserve">חכמים ממשיכים את הרעיון של ר' ירמיה ומחילים אותו על העם כולו (בניגוד למדרש תהלים הנ"ל). כוונת הקב"ה המקורית הייתה שהעם כולו יישפט ויונהג ישירות ע"י הקב"ה. אבל העם ביקש מלך. </w:t>
      </w:r>
      <w:r w:rsidR="00F6016D">
        <w:rPr>
          <w:rtl/>
        </w:rPr>
        <w:t>ראו</w:t>
      </w:r>
      <w:r>
        <w:rPr>
          <w:rtl/>
        </w:rPr>
        <w:t xml:space="preserve"> המשך מדרש זה שם שעובר לדון בעצם בקשת העם למלך אם נכונה הייתה אם לא. וזה כבר עניין אחר ורבו על כך הפירושים.</w:t>
      </w:r>
      <w:r>
        <w:rPr>
          <w:rFonts w:hint="cs"/>
          <w:rtl/>
        </w:rPr>
        <w:t xml:space="preserve"> לענייננו, כשם שהרעיון האידילי שהעם כולו יישפט ע"י הקב"ה אינו מעשי ויש להקים מערכת משפט, ככתוב בפרשתנו: "שופטים ושוטרים </w:t>
      </w:r>
      <w:proofErr w:type="spellStart"/>
      <w:r>
        <w:rPr>
          <w:rFonts w:hint="cs"/>
          <w:rtl/>
        </w:rPr>
        <w:t>תתן</w:t>
      </w:r>
      <w:proofErr w:type="spellEnd"/>
      <w:r>
        <w:rPr>
          <w:rFonts w:hint="cs"/>
          <w:rtl/>
        </w:rPr>
        <w:t xml:space="preserve"> לך בכל שעריך", אז אולי גם בקשת דוד שהקב"ה הוא שישפוט אותו היא יפה ואידילית, אך איננה מציאותית וסופה שתגרום להשחתת השלטון. בקיצור, מדרש זה לא פותר לנו את הבעיה הבסיסית של הבנת היחס בין המלך ומערכת המשפט ועדיין אנו צריכים לתשובה פשוטה.</w:t>
      </w:r>
    </w:p>
  </w:footnote>
  <w:footnote w:id="5">
    <w:p w14:paraId="499AE914" w14:textId="77777777" w:rsidR="005D318D" w:rsidRDefault="005D318D" w:rsidP="000354CE">
      <w:pPr>
        <w:pStyle w:val="a3"/>
        <w:rPr>
          <w:rFonts w:hint="cs"/>
          <w:rtl/>
        </w:rPr>
      </w:pPr>
      <w:r>
        <w:rPr>
          <w:rStyle w:val="a5"/>
        </w:rPr>
        <w:footnoteRef/>
      </w:r>
      <w:r>
        <w:rPr>
          <w:rtl/>
        </w:rPr>
        <w:t xml:space="preserve"> </w:t>
      </w:r>
      <w:r>
        <w:rPr>
          <w:rtl/>
        </w:rPr>
        <w:t xml:space="preserve">ובמקומות אחרים: </w:t>
      </w:r>
      <w:proofErr w:type="spellStart"/>
      <w:r>
        <w:rPr>
          <w:rtl/>
        </w:rPr>
        <w:t>קשוט</w:t>
      </w:r>
      <w:proofErr w:type="spellEnd"/>
      <w:r>
        <w:rPr>
          <w:rtl/>
        </w:rPr>
        <w:t xml:space="preserve"> - כפי ששגור אולי יותר </w:t>
      </w:r>
      <w:r>
        <w:rPr>
          <w:rFonts w:hint="cs"/>
          <w:rtl/>
        </w:rPr>
        <w:t xml:space="preserve">בלשוננו </w:t>
      </w:r>
      <w:r>
        <w:rPr>
          <w:rtl/>
        </w:rPr>
        <w:t>היום.</w:t>
      </w:r>
    </w:p>
  </w:footnote>
  <w:footnote w:id="6">
    <w:p w14:paraId="56EC843F" w14:textId="77777777" w:rsidR="005D318D" w:rsidRDefault="005D318D" w:rsidP="00160868">
      <w:pPr>
        <w:pStyle w:val="a3"/>
        <w:rPr>
          <w:rFonts w:hint="cs"/>
          <w:rtl/>
        </w:rPr>
      </w:pPr>
      <w:r>
        <w:rPr>
          <w:rStyle w:val="a5"/>
        </w:rPr>
        <w:footnoteRef/>
      </w:r>
      <w:r>
        <w:rPr>
          <w:rtl/>
        </w:rPr>
        <w:t xml:space="preserve"> </w:t>
      </w:r>
      <w:r>
        <w:rPr>
          <w:rtl/>
        </w:rPr>
        <w:t xml:space="preserve">לבעל התלמוד ברור שאם המלך יכול (אפילו מצוּוה) לדון ולשפוט אחרים, מוכרח להיות שגם אפשר לדון אותו. </w:t>
      </w:r>
      <w:r w:rsidR="003A4AAA">
        <w:rPr>
          <w:rFonts w:hint="cs"/>
          <w:rtl/>
        </w:rPr>
        <w:t xml:space="preserve">יש אמנם </w:t>
      </w:r>
      <w:r>
        <w:rPr>
          <w:rtl/>
        </w:rPr>
        <w:t xml:space="preserve">למלך </w:t>
      </w:r>
      <w:r>
        <w:rPr>
          <w:rFonts w:hint="cs"/>
          <w:rtl/>
        </w:rPr>
        <w:t>פריבילגיות</w:t>
      </w:r>
      <w:r>
        <w:rPr>
          <w:rtl/>
        </w:rPr>
        <w:t xml:space="preserve"> רבות</w:t>
      </w:r>
      <w:r w:rsidR="003A4AAA">
        <w:rPr>
          <w:rFonts w:hint="cs"/>
          <w:rtl/>
        </w:rPr>
        <w:t xml:space="preserve">, אך </w:t>
      </w:r>
      <w:r>
        <w:rPr>
          <w:rtl/>
        </w:rPr>
        <w:t xml:space="preserve">הכלל </w:t>
      </w:r>
      <w:proofErr w:type="spellStart"/>
      <w:r>
        <w:rPr>
          <w:rtl/>
        </w:rPr>
        <w:t>קשוט</w:t>
      </w:r>
      <w:proofErr w:type="spellEnd"/>
      <w:r>
        <w:rPr>
          <w:rtl/>
        </w:rPr>
        <w:t xml:space="preserve"> עצמך הוא נורמה יסודית שעומדת מעל לכל, גם מעל מעמד המלך (ברור שהפסוק מצפניה הוא אסמכתא בלבד). </w:t>
      </w:r>
      <w:r w:rsidR="003A4AAA">
        <w:rPr>
          <w:rFonts w:hint="cs"/>
          <w:rtl/>
        </w:rPr>
        <w:t xml:space="preserve">המלך איננו עומד מעל לחוק. אין </w:t>
      </w:r>
      <w:r w:rsidR="003A4AAA">
        <w:rPr>
          <w:rtl/>
        </w:rPr>
        <w:fldChar w:fldCharType="begin"/>
      </w:r>
      <w:r w:rsidR="003A4AAA">
        <w:instrText>HYPERLINK</w:instrText>
      </w:r>
      <w:r w:rsidR="003A4AAA">
        <w:rPr>
          <w:rtl/>
        </w:rPr>
        <w:instrText xml:space="preserve"> "</w:instrText>
      </w:r>
      <w:r w:rsidR="003A4AAA">
        <w:instrText>http://www.mayim.org.il/?parasha=%D7%A4%D6%BC%D6%B8%D7%A8%D6%B8%D7%90-%D7%91%D6%BC%D6%B8%D7%A1%D6%B4%D7%99%D7%9C%D6%B6%D7%99%D7%95%D6%B9%D7%A1-%D7%A0%D7%95%D6%B9%D7%9E%D7%95%D6%B9%D7%A1-%D7%90%D6%B7%D7%92%D6%B0%D7%A8%D6%B8%D7%A4</w:instrText>
      </w:r>
      <w:r w:rsidR="003A4AAA">
        <w:rPr>
          <w:rtl/>
        </w:rPr>
        <w:instrText>"</w:instrText>
      </w:r>
      <w:r w:rsidR="003A4AAA">
        <w:rPr>
          <w:rtl/>
        </w:rPr>
      </w:r>
      <w:r w:rsidR="003A4AAA">
        <w:rPr>
          <w:rtl/>
        </w:rPr>
        <w:fldChar w:fldCharType="separate"/>
      </w:r>
      <w:r w:rsidR="003A4AAA" w:rsidRPr="003F059E">
        <w:rPr>
          <w:rStyle w:val="Hyperlink"/>
          <w:rtl/>
        </w:rPr>
        <w:t xml:space="preserve">פרא </w:t>
      </w:r>
      <w:proofErr w:type="spellStart"/>
      <w:r w:rsidR="003A4AAA" w:rsidRPr="003F059E">
        <w:rPr>
          <w:rStyle w:val="Hyperlink"/>
          <w:rtl/>
        </w:rPr>
        <w:t>בסיליוס</w:t>
      </w:r>
      <w:proofErr w:type="spellEnd"/>
      <w:r w:rsidR="003A4AAA" w:rsidRPr="003F059E">
        <w:rPr>
          <w:rStyle w:val="Hyperlink"/>
          <w:rtl/>
        </w:rPr>
        <w:t xml:space="preserve"> </w:t>
      </w:r>
      <w:proofErr w:type="spellStart"/>
      <w:r w:rsidR="003A4AAA" w:rsidRPr="003F059E">
        <w:rPr>
          <w:rStyle w:val="Hyperlink"/>
          <w:rtl/>
        </w:rPr>
        <w:t>נומוס</w:t>
      </w:r>
      <w:proofErr w:type="spellEnd"/>
      <w:r w:rsidR="003A4AAA" w:rsidRPr="003F059E">
        <w:rPr>
          <w:rStyle w:val="Hyperlink"/>
          <w:rtl/>
        </w:rPr>
        <w:t xml:space="preserve"> </w:t>
      </w:r>
      <w:proofErr w:type="spellStart"/>
      <w:r w:rsidR="003A4AAA" w:rsidRPr="003F059E">
        <w:rPr>
          <w:rStyle w:val="Hyperlink"/>
          <w:rtl/>
        </w:rPr>
        <w:t>אגרפוס</w:t>
      </w:r>
      <w:proofErr w:type="spellEnd"/>
      <w:r w:rsidR="003A4AAA">
        <w:rPr>
          <w:rtl/>
        </w:rPr>
        <w:fldChar w:fldCharType="end"/>
      </w:r>
      <w:r w:rsidR="003A4AAA">
        <w:rPr>
          <w:rFonts w:hint="cs"/>
          <w:rtl/>
        </w:rPr>
        <w:t xml:space="preserve"> ביהדות</w:t>
      </w:r>
      <w:r w:rsidR="009B29C3">
        <w:rPr>
          <w:rFonts w:hint="cs"/>
          <w:rtl/>
        </w:rPr>
        <w:t xml:space="preserve"> (דברינו בפרשת וירא)</w:t>
      </w:r>
      <w:r w:rsidR="003A4AAA">
        <w:rPr>
          <w:rFonts w:hint="cs"/>
          <w:rtl/>
        </w:rPr>
        <w:t xml:space="preserve">. </w:t>
      </w:r>
      <w:r w:rsidR="00AA3F51">
        <w:rPr>
          <w:rFonts w:hint="cs"/>
          <w:rtl/>
        </w:rPr>
        <w:t xml:space="preserve">על משקל מה שאברהם אומר, אך בלשון קצת אחרת: השופט כל הארץ הוא עצמו לא יעמוד למשפט? </w:t>
      </w:r>
      <w:r w:rsidR="009B29C3">
        <w:rPr>
          <w:rFonts w:hint="cs"/>
          <w:rtl/>
        </w:rPr>
        <w:t xml:space="preserve">הוא לא יציית לחוקים שהוא חוקק? </w:t>
      </w:r>
      <w:r>
        <w:rPr>
          <w:rtl/>
        </w:rPr>
        <w:t xml:space="preserve">אגב, בשני המקומות האחרים בהם מוזכר כלל זה בתלמוד (בבא מציעא </w:t>
      </w:r>
      <w:proofErr w:type="spellStart"/>
      <w:r>
        <w:rPr>
          <w:rtl/>
        </w:rPr>
        <w:t>קז</w:t>
      </w:r>
      <w:proofErr w:type="spellEnd"/>
      <w:r>
        <w:rPr>
          <w:rtl/>
        </w:rPr>
        <w:t xml:space="preserve"> ע"ב, ב"ב ס ע"ב) הדיון הוא על סדר הקדימויות, מי צריך לעשות את הצעד הראשון. הדגש שם הוא על: </w:t>
      </w:r>
      <w:proofErr w:type="spellStart"/>
      <w:r>
        <w:rPr>
          <w:rtl/>
        </w:rPr>
        <w:t>קשוט</w:t>
      </w:r>
      <w:proofErr w:type="spellEnd"/>
      <w:r>
        <w:rPr>
          <w:rtl/>
        </w:rPr>
        <w:t xml:space="preserve"> עצמך </w:t>
      </w:r>
      <w:r>
        <w:rPr>
          <w:u w:val="single"/>
          <w:rtl/>
        </w:rPr>
        <w:t>תחילה</w:t>
      </w:r>
      <w:r>
        <w:rPr>
          <w:rtl/>
        </w:rPr>
        <w:t>. כאן השימוש בכלל הוא הרבה יותר מהותי ועקרוני, אולי בדומה ל</w:t>
      </w:r>
      <w:r>
        <w:rPr>
          <w:rFonts w:hint="cs"/>
          <w:rtl/>
        </w:rPr>
        <w:t>ביטוי</w:t>
      </w:r>
      <w:r>
        <w:rPr>
          <w:rtl/>
        </w:rPr>
        <w:t>: אל תדון את חברך עד שתגיע למקומו.</w:t>
      </w:r>
      <w:r w:rsidR="00160868">
        <w:rPr>
          <w:rFonts w:hint="cs"/>
          <w:rtl/>
        </w:rPr>
        <w:t xml:space="preserve"> ואולי גם לפי הכלל שבדיני גיטין וקידושין, מסכת </w:t>
      </w:r>
      <w:r w:rsidR="00160868">
        <w:rPr>
          <w:rtl/>
        </w:rPr>
        <w:t>קידושין דף ו עמוד א</w:t>
      </w:r>
      <w:r w:rsidR="00160868">
        <w:rPr>
          <w:rFonts w:hint="cs"/>
          <w:rtl/>
        </w:rPr>
        <w:t>: "</w:t>
      </w:r>
      <w:r w:rsidR="00160868">
        <w:rPr>
          <w:rtl/>
        </w:rPr>
        <w:t>כל שאינו יודע בטיב גיטין וקידושין לא יהא לו עסק עמהם</w:t>
      </w:r>
      <w:r w:rsidR="00160868">
        <w:rPr>
          <w:rFonts w:hint="cs"/>
          <w:rtl/>
        </w:rPr>
        <w:t xml:space="preserve">. </w:t>
      </w:r>
      <w:r w:rsidR="00F6016D">
        <w:rPr>
          <w:rFonts w:hint="cs"/>
          <w:rtl/>
        </w:rPr>
        <w:t>ראו</w:t>
      </w:r>
      <w:r w:rsidR="00160868">
        <w:rPr>
          <w:rFonts w:hint="cs"/>
          <w:rtl/>
        </w:rPr>
        <w:t xml:space="preserve"> פירוש רש"י שם.</w:t>
      </w:r>
    </w:p>
  </w:footnote>
  <w:footnote w:id="7">
    <w:p w14:paraId="4A9A58E0" w14:textId="77777777" w:rsidR="005B53C5" w:rsidRDefault="005B53C5" w:rsidP="005B53C5">
      <w:pPr>
        <w:pStyle w:val="a3"/>
        <w:rPr>
          <w:rFonts w:hint="cs"/>
        </w:rPr>
      </w:pPr>
      <w:r>
        <w:rPr>
          <w:rStyle w:val="a5"/>
        </w:rPr>
        <w:footnoteRef/>
      </w:r>
      <w:r>
        <w:rPr>
          <w:rtl/>
        </w:rPr>
        <w:t xml:space="preserve"> </w:t>
      </w:r>
      <w:r>
        <w:rPr>
          <w:rFonts w:hint="cs"/>
          <w:rtl/>
        </w:rPr>
        <w:t>כך בדין שור שהרג אדם וחז"ל הרחיבו לעבד, ולא מצאנו מקור להרחבה זו.</w:t>
      </w:r>
    </w:p>
  </w:footnote>
  <w:footnote w:id="8">
    <w:p w14:paraId="1E506A1C" w14:textId="77777777" w:rsidR="00AA3F51" w:rsidRDefault="00AA3F51" w:rsidP="003A4AAA">
      <w:pPr>
        <w:pStyle w:val="a3"/>
        <w:rPr>
          <w:rFonts w:hint="cs"/>
          <w:rtl/>
        </w:rPr>
      </w:pPr>
      <w:r>
        <w:rPr>
          <w:rStyle w:val="a5"/>
        </w:rPr>
        <w:footnoteRef/>
      </w:r>
      <w:r>
        <w:rPr>
          <w:rtl/>
        </w:rPr>
        <w:t xml:space="preserve"> </w:t>
      </w:r>
      <w:r>
        <w:rPr>
          <w:rtl/>
        </w:rPr>
        <w:t xml:space="preserve">כבר העירו רבים על קשיים בסיפור זה. החל מכך ששמעון בן שטח שהיה גיסו של ינאי המלך לא היה רשאי לשבת בדין זה וכלה בכך שבסה"כ ינאי גם שלח את עבדו לדין וגם בא בעצמו והדרישה של שמעון בן שטח </w:t>
      </w:r>
      <w:r w:rsidR="006D6CBF">
        <w:rPr>
          <w:rFonts w:hint="cs"/>
          <w:rtl/>
        </w:rPr>
        <w:t xml:space="preserve">מינאי </w:t>
      </w:r>
      <w:r>
        <w:rPr>
          <w:rtl/>
        </w:rPr>
        <w:t xml:space="preserve">שיעמוד על רגליו במהלך הדיון איננה לפי ההלכה ("אמר ר' יהודה בר' </w:t>
      </w:r>
      <w:proofErr w:type="spellStart"/>
      <w:r>
        <w:rPr>
          <w:rtl/>
        </w:rPr>
        <w:t>אלעאי</w:t>
      </w:r>
      <w:proofErr w:type="spellEnd"/>
      <w:r>
        <w:rPr>
          <w:rtl/>
        </w:rPr>
        <w:t>: שמעתי שאם רוצה הדיין להושיב בעלי הדין - מושיב ובלבד שלא יהא אחד עומד ואחד יושב", דברים רבה ו בפרשתנו, שבועות ל ע"א וכן במקו</w:t>
      </w:r>
      <w:r w:rsidR="006D6CBF">
        <w:rPr>
          <w:rFonts w:hint="cs"/>
          <w:rtl/>
        </w:rPr>
        <w:t xml:space="preserve">רות </w:t>
      </w:r>
      <w:r>
        <w:rPr>
          <w:rtl/>
        </w:rPr>
        <w:t xml:space="preserve">אחרים). </w:t>
      </w:r>
      <w:r w:rsidR="00F6016D">
        <w:rPr>
          <w:rtl/>
        </w:rPr>
        <w:t>ראו</w:t>
      </w:r>
      <w:r>
        <w:rPr>
          <w:rtl/>
        </w:rPr>
        <w:t xml:space="preserve"> </w:t>
      </w:r>
      <w:r w:rsidR="003A4AAA">
        <w:rPr>
          <w:rFonts w:hint="cs"/>
          <w:rtl/>
        </w:rPr>
        <w:t xml:space="preserve">פירוש </w:t>
      </w:r>
      <w:proofErr w:type="spellStart"/>
      <w:r>
        <w:rPr>
          <w:rtl/>
        </w:rPr>
        <w:t>שטיינזלץ</w:t>
      </w:r>
      <w:proofErr w:type="spellEnd"/>
      <w:r>
        <w:rPr>
          <w:rtl/>
        </w:rPr>
        <w:t xml:space="preserve"> בסוגיה בסנהדרין שם</w:t>
      </w:r>
      <w:r w:rsidR="005B53C5">
        <w:rPr>
          <w:rFonts w:hint="cs"/>
          <w:rtl/>
        </w:rPr>
        <w:t>, תוספות</w:t>
      </w:r>
      <w:r w:rsidR="00AD3F3C">
        <w:rPr>
          <w:rFonts w:hint="cs"/>
          <w:rtl/>
        </w:rPr>
        <w:t>,</w:t>
      </w:r>
      <w:r w:rsidR="005B53C5">
        <w:rPr>
          <w:rFonts w:hint="cs"/>
          <w:rtl/>
        </w:rPr>
        <w:t xml:space="preserve"> </w:t>
      </w:r>
      <w:proofErr w:type="spellStart"/>
      <w:r w:rsidR="005B53C5">
        <w:rPr>
          <w:rFonts w:hint="cs"/>
          <w:rtl/>
        </w:rPr>
        <w:t>והר"ן</w:t>
      </w:r>
      <w:proofErr w:type="spellEnd"/>
      <w:r w:rsidR="005B53C5">
        <w:rPr>
          <w:rFonts w:hint="cs"/>
          <w:rtl/>
        </w:rPr>
        <w:t xml:space="preserve"> על אתר</w:t>
      </w:r>
      <w:r w:rsidR="00AD3F3C">
        <w:rPr>
          <w:rFonts w:hint="cs"/>
          <w:rtl/>
        </w:rPr>
        <w:t xml:space="preserve"> שלא מהסס לומר: "ואני אומר </w:t>
      </w:r>
      <w:r w:rsidR="006D6CBF">
        <w:rPr>
          <w:rFonts w:hint="cs"/>
          <w:rtl/>
        </w:rPr>
        <w:t>שאפשר שר' שמעון טעה בהא, שלא היה לו לביישו ולומר שיעמוד על רגליו, אחר שהוא מלך".</w:t>
      </w:r>
      <w:r w:rsidR="005B53C5">
        <w:rPr>
          <w:rFonts w:hint="cs"/>
          <w:rtl/>
        </w:rPr>
        <w:t>.</w:t>
      </w:r>
      <w:r w:rsidR="00331714">
        <w:rPr>
          <w:rFonts w:hint="cs"/>
          <w:rtl/>
        </w:rPr>
        <w:t xml:space="preserve"> שמעון בן שטח מצטייר כאן כדמות חזקה המייצגת את ההלכה ומצפה </w:t>
      </w:r>
      <w:proofErr w:type="spellStart"/>
      <w:r w:rsidR="00331714">
        <w:rPr>
          <w:rFonts w:hint="cs"/>
          <w:rtl/>
        </w:rPr>
        <w:t>שהכל</w:t>
      </w:r>
      <w:proofErr w:type="spellEnd"/>
      <w:r w:rsidR="00331714">
        <w:rPr>
          <w:rFonts w:hint="cs"/>
          <w:rtl/>
        </w:rPr>
        <w:t xml:space="preserve"> יישמעו לה</w:t>
      </w:r>
      <w:r w:rsidR="003A4AAA">
        <w:rPr>
          <w:rFonts w:hint="cs"/>
          <w:rtl/>
        </w:rPr>
        <w:t xml:space="preserve">. </w:t>
      </w:r>
      <w:r w:rsidR="00331714">
        <w:rPr>
          <w:rFonts w:hint="cs"/>
          <w:rtl/>
        </w:rPr>
        <w:t>כך גם במעשהו של תליית הנשים המכשפות באשקלון (סנהדרין פרק ו משנה ד). אבל גם שילם מחיר טראגי על קו הלכתי זה, במות בנו כשהעידו שני עדים כנגדו, גם כשהודו לבסוף שהיו עדי שקר (ירושלמי סנהדרין פרק ו סוף הלכה ג ו</w:t>
      </w:r>
      <w:r w:rsidR="00F6016D">
        <w:rPr>
          <w:rFonts w:hint="cs"/>
          <w:rtl/>
        </w:rPr>
        <w:t>ראו</w:t>
      </w:r>
      <w:r w:rsidR="00331714">
        <w:rPr>
          <w:rFonts w:hint="cs"/>
          <w:rtl/>
        </w:rPr>
        <w:t xml:space="preserve"> גם רש"י בסנהדרין בבלי מד ע"ב).</w:t>
      </w:r>
    </w:p>
  </w:footnote>
  <w:footnote w:id="9">
    <w:p w14:paraId="0E037AC2" w14:textId="77777777" w:rsidR="00AA3F51" w:rsidRDefault="00AA3F51" w:rsidP="00160868">
      <w:pPr>
        <w:pStyle w:val="a3"/>
        <w:rPr>
          <w:rFonts w:hint="cs"/>
          <w:rtl/>
        </w:rPr>
      </w:pPr>
      <w:r>
        <w:rPr>
          <w:rStyle w:val="a5"/>
        </w:rPr>
        <w:footnoteRef/>
      </w:r>
      <w:r>
        <w:rPr>
          <w:rtl/>
        </w:rPr>
        <w:t xml:space="preserve"> </w:t>
      </w:r>
      <w:r>
        <w:rPr>
          <w:rtl/>
        </w:rPr>
        <w:t>מסקנת הגמרא היא ברורה</w:t>
      </w:r>
      <w:r w:rsidR="005B3CA7">
        <w:rPr>
          <w:rFonts w:hint="cs"/>
          <w:rtl/>
        </w:rPr>
        <w:t xml:space="preserve"> ובניגוד למשנה</w:t>
      </w:r>
      <w:r>
        <w:rPr>
          <w:rtl/>
        </w:rPr>
        <w:t xml:space="preserve">: בעיקרון, מלך דן ודנים אותו. וזה מסתדר עם פסוקים רבים בנביאים בהם נראה שמלכים דנו </w:t>
      </w:r>
      <w:r w:rsidR="00160868">
        <w:rPr>
          <w:rFonts w:hint="cs"/>
          <w:rtl/>
        </w:rPr>
        <w:t xml:space="preserve">כפי שהבאנו לעיל. </w:t>
      </w:r>
      <w:r>
        <w:rPr>
          <w:rtl/>
        </w:rPr>
        <w:t>הנביאים תובעים מהם לדון ולשפוט את העם</w:t>
      </w:r>
      <w:r w:rsidR="003A4AAA">
        <w:rPr>
          <w:rFonts w:hint="cs"/>
          <w:rtl/>
        </w:rPr>
        <w:t xml:space="preserve"> ובה בעת דנים ומוכיחים אותם על מעשים לא נכונים שעשו (אבל בפועל לא היה מי שידון אותם משפטית)</w:t>
      </w:r>
      <w:r>
        <w:rPr>
          <w:rtl/>
        </w:rPr>
        <w:t>. אלא שבתקופה מאוחרת</w:t>
      </w:r>
      <w:r w:rsidR="004D6A39">
        <w:rPr>
          <w:rFonts w:hint="cs"/>
          <w:rtl/>
        </w:rPr>
        <w:t>, ב</w:t>
      </w:r>
      <w:r>
        <w:rPr>
          <w:rtl/>
        </w:rPr>
        <w:t>בית שני, בה אין כבר מלכים לבית דוד ו</w:t>
      </w:r>
      <w:r w:rsidR="00F90B3A">
        <w:rPr>
          <w:rFonts w:hint="cs"/>
          <w:rtl/>
        </w:rPr>
        <w:t>אולי כבר ב</w:t>
      </w:r>
      <w:r>
        <w:rPr>
          <w:rtl/>
        </w:rPr>
        <w:t xml:space="preserve">מלכי ישראל </w:t>
      </w:r>
      <w:r w:rsidR="00F90B3A">
        <w:rPr>
          <w:rFonts w:hint="cs"/>
          <w:rtl/>
        </w:rPr>
        <w:t xml:space="preserve">בבית ראשון </w:t>
      </w:r>
      <w:r>
        <w:rPr>
          <w:rtl/>
        </w:rPr>
        <w:t>ש</w:t>
      </w:r>
      <w:r w:rsidR="003A4AAA">
        <w:rPr>
          <w:rFonts w:hint="cs"/>
          <w:rtl/>
        </w:rPr>
        <w:t xml:space="preserve">חלקם </w:t>
      </w:r>
      <w:r w:rsidR="00F90B3A">
        <w:rPr>
          <w:rFonts w:hint="cs"/>
          <w:rtl/>
        </w:rPr>
        <w:t xml:space="preserve">אמנם </w:t>
      </w:r>
      <w:r w:rsidR="003A4AAA">
        <w:rPr>
          <w:rFonts w:hint="cs"/>
          <w:rtl/>
        </w:rPr>
        <w:t xml:space="preserve">נמשח </w:t>
      </w:r>
      <w:r>
        <w:rPr>
          <w:rtl/>
        </w:rPr>
        <w:t>ע"י נביאים כמו אליהו ואלישע</w:t>
      </w:r>
      <w:r w:rsidR="004D6A39">
        <w:rPr>
          <w:rFonts w:hint="cs"/>
          <w:rtl/>
        </w:rPr>
        <w:t xml:space="preserve">, </w:t>
      </w:r>
      <w:r>
        <w:rPr>
          <w:rtl/>
        </w:rPr>
        <w:t>נתקנה התקנה שמלך לא דן ולא דנים אותו</w:t>
      </w:r>
      <w:r w:rsidR="004D6A39">
        <w:rPr>
          <w:rFonts w:hint="cs"/>
          <w:rtl/>
        </w:rPr>
        <w:t>, מפני אימת המלכות</w:t>
      </w:r>
      <w:r>
        <w:rPr>
          <w:rtl/>
        </w:rPr>
        <w:t>. זאת ועוד, יש לשים לב שפה לא מדובר ב"מלכי ישראל" סתם, אלא במלכי בית חשמונאי שהיו כ</w:t>
      </w:r>
      <w:r w:rsidR="005B3CA7">
        <w:rPr>
          <w:rFonts w:hint="cs"/>
          <w:rtl/>
        </w:rPr>
        <w:t>ו</w:t>
      </w:r>
      <w:r>
        <w:rPr>
          <w:rtl/>
        </w:rPr>
        <w:t>הנים ועברו על</w:t>
      </w:r>
      <w:r w:rsidR="005B3CA7">
        <w:rPr>
          <w:rFonts w:hint="cs"/>
          <w:rtl/>
        </w:rPr>
        <w:t xml:space="preserve"> הפסוק</w:t>
      </w:r>
      <w:r>
        <w:rPr>
          <w:rtl/>
        </w:rPr>
        <w:t xml:space="preserve">: "לא יסור שבט מיהודה" (רמב"ן בראשית מט י בשם הירושלמי) ואין גם נביא שימשח את המלך. מלכי בית חשמונאי הם </w:t>
      </w:r>
      <w:r w:rsidR="005B3CA7">
        <w:rPr>
          <w:rFonts w:hint="cs"/>
          <w:rtl/>
        </w:rPr>
        <w:t>בעצם כו</w:t>
      </w:r>
      <w:r>
        <w:rPr>
          <w:rtl/>
        </w:rPr>
        <w:t xml:space="preserve">הנים - וכהן, אפילו כהן גדול, דן ודנים אותו </w:t>
      </w:r>
      <w:r w:rsidR="005B3CA7">
        <w:rPr>
          <w:rFonts w:hint="cs"/>
          <w:rtl/>
        </w:rPr>
        <w:t xml:space="preserve">כפי שראינו לעיל </w:t>
      </w:r>
      <w:r>
        <w:rPr>
          <w:rtl/>
        </w:rPr>
        <w:t>(סנהדרין פרק ב משנה א).</w:t>
      </w:r>
      <w:r w:rsidR="003A4AAA">
        <w:rPr>
          <w:rFonts w:hint="cs"/>
          <w:rtl/>
        </w:rPr>
        <w:t xml:space="preserve"> וכבר דרשו חכמים מינאי לבחור בין כתר כהונה וכתר מלכות ולא לאחוז בשניהם (קידושין </w:t>
      </w:r>
      <w:proofErr w:type="spellStart"/>
      <w:r w:rsidR="003A4AAA">
        <w:rPr>
          <w:rFonts w:hint="cs"/>
          <w:rtl/>
        </w:rPr>
        <w:t>סו</w:t>
      </w:r>
      <w:proofErr w:type="spellEnd"/>
      <w:r w:rsidR="003A4AAA">
        <w:rPr>
          <w:rFonts w:hint="cs"/>
          <w:rtl/>
        </w:rPr>
        <w:t xml:space="preserve"> ע"א).</w:t>
      </w:r>
    </w:p>
  </w:footnote>
  <w:footnote w:id="10">
    <w:p w14:paraId="36891C00" w14:textId="77777777" w:rsidR="005B3CA7" w:rsidRDefault="005B3CA7" w:rsidP="003A4AAA">
      <w:pPr>
        <w:pStyle w:val="a3"/>
        <w:rPr>
          <w:rFonts w:hint="cs"/>
          <w:rtl/>
        </w:rPr>
      </w:pPr>
      <w:r>
        <w:rPr>
          <w:rStyle w:val="a5"/>
        </w:rPr>
        <w:footnoteRef/>
      </w:r>
      <w:r>
        <w:rPr>
          <w:rtl/>
        </w:rPr>
        <w:t xml:space="preserve"> </w:t>
      </w:r>
      <w:r>
        <w:rPr>
          <w:rtl/>
        </w:rPr>
        <w:t>מהלך הסוגיה בירושלמי קצת קשה להבנה (</w:t>
      </w:r>
      <w:r w:rsidR="00F6016D">
        <w:rPr>
          <w:rtl/>
        </w:rPr>
        <w:t>ראו</w:t>
      </w:r>
      <w:r>
        <w:rPr>
          <w:rtl/>
        </w:rPr>
        <w:t xml:space="preserve"> המפרשים שם), אבל נראה שהוא כך: הוא פותח, בדומה לבבלי, בשאלה: מלך לא דן? והרי מצאנו שדוד היה עושה משפט וצדקה</w:t>
      </w:r>
      <w:r w:rsidR="004A0D6F">
        <w:rPr>
          <w:rFonts w:hint="cs"/>
          <w:rtl/>
        </w:rPr>
        <w:t>, היינו דן</w:t>
      </w:r>
      <w:r>
        <w:rPr>
          <w:rtl/>
        </w:rPr>
        <w:t xml:space="preserve"> (הבבלי מביא פסוק אחר, מירמיהו). מתרץ הירושלמי שדוד היה בבחינת "קצין, שוטר ומושל" (</w:t>
      </w:r>
      <w:r w:rsidR="00F6016D">
        <w:rPr>
          <w:rtl/>
        </w:rPr>
        <w:t>ראו</w:t>
      </w:r>
      <w:r>
        <w:rPr>
          <w:rtl/>
        </w:rPr>
        <w:t xml:space="preserve"> דברים רבה בראש פרשתנו על</w:t>
      </w:r>
      <w:r>
        <w:rPr>
          <w:rFonts w:hint="cs"/>
          <w:rtl/>
        </w:rPr>
        <w:t xml:space="preserve"> הפסוק:</w:t>
      </w:r>
      <w:r>
        <w:rPr>
          <w:rtl/>
        </w:rPr>
        <w:t xml:space="preserve"> "לך אל נמלה עצל") ועושה צדקה בכך שהיה מסייע בביצוע הדין, אפילו נותן מכיסו אם אין לחייב ממה לשלם</w:t>
      </w:r>
      <w:r w:rsidR="003A4AAA">
        <w:rPr>
          <w:rFonts w:hint="cs"/>
          <w:rtl/>
        </w:rPr>
        <w:t>, אבל לא יושב כדיין בדין</w:t>
      </w:r>
      <w:r>
        <w:rPr>
          <w:rtl/>
        </w:rPr>
        <w:t xml:space="preserve">. בדומה לכך </w:t>
      </w:r>
      <w:r>
        <w:rPr>
          <w:rFonts w:hint="cs"/>
          <w:rtl/>
        </w:rPr>
        <w:t xml:space="preserve">אומר מדרש </w:t>
      </w:r>
      <w:r>
        <w:rPr>
          <w:rtl/>
        </w:rPr>
        <w:t xml:space="preserve">תנחומא בובר בפרשתנו: "ואף יהושפט כיון שהוחזק במלכות, לא נתעסק אלא בעסקי הדין. שנאמר: ויתחזק על ישראל - שנתחזק ומינה את הדיינים". המלך אחראי על קיום וחיזוק מערכת המשפט ועל ביצוע גזרי הדין (בדומה למשרד המשפטים בימינו שהוא חלק מהרשות המבצעת). אבל אין הוא אישית יושב במשפט. </w:t>
      </w:r>
      <w:r w:rsidR="00F6016D">
        <w:rPr>
          <w:rFonts w:hint="cs"/>
          <w:rtl/>
        </w:rPr>
        <w:t>ראו</w:t>
      </w:r>
      <w:r w:rsidR="004A0D6F">
        <w:rPr>
          <w:rFonts w:hint="cs"/>
          <w:rtl/>
        </w:rPr>
        <w:t xml:space="preserve"> הפסוק המלא ב</w:t>
      </w:r>
      <w:r w:rsidR="004A0D6F">
        <w:rPr>
          <w:rtl/>
        </w:rPr>
        <w:t>שמואל ב ח טו</w:t>
      </w:r>
      <w:r w:rsidR="004A0D6F">
        <w:rPr>
          <w:rFonts w:hint="cs"/>
          <w:rtl/>
        </w:rPr>
        <w:t>: "</w:t>
      </w:r>
      <w:proofErr w:type="spellStart"/>
      <w:r w:rsidR="004A0D6F">
        <w:rPr>
          <w:rtl/>
        </w:rPr>
        <w:t>וַיִּמְלֹך</w:t>
      </w:r>
      <w:proofErr w:type="spellEnd"/>
      <w:r w:rsidR="004A0D6F">
        <w:rPr>
          <w:rtl/>
        </w:rPr>
        <w:t xml:space="preserve">ְ דָּוִד </w:t>
      </w:r>
      <w:proofErr w:type="spellStart"/>
      <w:r w:rsidR="004A0D6F">
        <w:rPr>
          <w:rtl/>
        </w:rPr>
        <w:t>עַל־כָּל־יִשְׂרָאֵל</w:t>
      </w:r>
      <w:proofErr w:type="spellEnd"/>
      <w:r w:rsidR="004A0D6F">
        <w:rPr>
          <w:rtl/>
        </w:rPr>
        <w:t xml:space="preserve"> וַיְהִי דָוִד עֹשֶׂה מִשְׁפָּט וּצְדָקָה </w:t>
      </w:r>
      <w:proofErr w:type="spellStart"/>
      <w:r w:rsidR="004A0D6F">
        <w:rPr>
          <w:rtl/>
        </w:rPr>
        <w:t>לְכָל־עַמּו</w:t>
      </w:r>
      <w:proofErr w:type="spellEnd"/>
      <w:r w:rsidR="004A0D6F">
        <w:rPr>
          <w:rtl/>
        </w:rPr>
        <w:t>ֹ</w:t>
      </w:r>
      <w:r w:rsidR="004A0D6F">
        <w:rPr>
          <w:rFonts w:hint="cs"/>
          <w:rtl/>
        </w:rPr>
        <w:t xml:space="preserve">". </w:t>
      </w:r>
      <w:r w:rsidR="00F569D8">
        <w:rPr>
          <w:rFonts w:hint="cs"/>
          <w:rtl/>
        </w:rPr>
        <w:t>דוד</w:t>
      </w:r>
      <w:r w:rsidR="004A0D6F">
        <w:rPr>
          <w:rFonts w:hint="cs"/>
          <w:rtl/>
        </w:rPr>
        <w:t xml:space="preserve"> כמלך היה אחראי לקיום מערכת המשפט. ההמשך בירושלמי הוא </w:t>
      </w:r>
      <w:r w:rsidR="003A4AAA">
        <w:rPr>
          <w:rFonts w:hint="cs"/>
          <w:rtl/>
        </w:rPr>
        <w:t>ש</w:t>
      </w:r>
      <w:r w:rsidR="004A0D6F">
        <w:rPr>
          <w:rFonts w:hint="cs"/>
          <w:rtl/>
        </w:rPr>
        <w:t>לא דנים את המלך בשל הפסוק בתהלים: "מלפניך משפטי יצא"</w:t>
      </w:r>
      <w:r w:rsidR="003A4AAA">
        <w:rPr>
          <w:rFonts w:hint="cs"/>
          <w:rtl/>
        </w:rPr>
        <w:t>, כפי שכבר ראינו בדברים רבה לעי</w:t>
      </w:r>
      <w:r w:rsidR="00160868">
        <w:rPr>
          <w:rFonts w:hint="cs"/>
          <w:rtl/>
        </w:rPr>
        <w:t>ל</w:t>
      </w:r>
      <w:r w:rsidR="004A0D6F">
        <w:rPr>
          <w:rFonts w:hint="cs"/>
          <w:rtl/>
        </w:rPr>
        <w:t xml:space="preserve">. </w:t>
      </w:r>
      <w:r>
        <w:rPr>
          <w:rtl/>
        </w:rPr>
        <w:t>נראה בברור ש</w:t>
      </w:r>
      <w:r w:rsidR="004A0D6F">
        <w:rPr>
          <w:rFonts w:hint="cs"/>
          <w:rtl/>
        </w:rPr>
        <w:t xml:space="preserve">הירושלמי </w:t>
      </w:r>
      <w:r>
        <w:rPr>
          <w:rtl/>
        </w:rPr>
        <w:t xml:space="preserve">הוא הבסיס לשיטת ר' ירמיה בדברים רבה לעיל. שניהם מציגים שיטה ברורה כנגד שיטת הבבלי </w:t>
      </w:r>
      <w:r w:rsidR="004A0D6F">
        <w:rPr>
          <w:rFonts w:hint="cs"/>
          <w:rtl/>
        </w:rPr>
        <w:t>ו</w:t>
      </w:r>
      <w:r>
        <w:rPr>
          <w:rtl/>
        </w:rPr>
        <w:t xml:space="preserve">לפיה המשנה בסנהדרין מובנת כפשוטה: מלך לא דן ולא דנים אותו, לא מעיד ולא </w:t>
      </w:r>
      <w:proofErr w:type="spellStart"/>
      <w:r>
        <w:rPr>
          <w:rtl/>
        </w:rPr>
        <w:t>מעידין</w:t>
      </w:r>
      <w:proofErr w:type="spellEnd"/>
      <w:r>
        <w:rPr>
          <w:rtl/>
        </w:rPr>
        <w:t xml:space="preserve"> אותו - מסיבות אידיאליות או פרקטיות ואין הבדל בין מלכי בית דוד ושאר מלכים.</w:t>
      </w:r>
      <w:r>
        <w:rPr>
          <w:rFonts w:hint="cs"/>
          <w:rtl/>
        </w:rPr>
        <w:t xml:space="preserve"> ומי יעמוד כנגד המלך אם יחטא</w:t>
      </w:r>
      <w:r w:rsidR="003A4AAA">
        <w:rPr>
          <w:rFonts w:hint="cs"/>
          <w:rtl/>
        </w:rPr>
        <w:t xml:space="preserve"> מלבד דין שמים</w:t>
      </w:r>
      <w:r>
        <w:rPr>
          <w:rFonts w:hint="cs"/>
          <w:rtl/>
        </w:rPr>
        <w:t xml:space="preserve">? הנביא, דעת הקהל, התקשורת ... </w:t>
      </w:r>
      <w:r w:rsidR="004A0D6F">
        <w:rPr>
          <w:rFonts w:hint="cs"/>
          <w:rtl/>
        </w:rPr>
        <w:t xml:space="preserve">אבל </w:t>
      </w:r>
      <w:r>
        <w:rPr>
          <w:rFonts w:hint="cs"/>
          <w:rtl/>
        </w:rPr>
        <w:t>לא מערכת המשפט.</w:t>
      </w:r>
    </w:p>
  </w:footnote>
  <w:footnote w:id="11">
    <w:p w14:paraId="4503F654" w14:textId="77777777" w:rsidR="005B3CA7" w:rsidRDefault="005B3CA7" w:rsidP="005B3CA7">
      <w:pPr>
        <w:pStyle w:val="a3"/>
        <w:rPr>
          <w:rFonts w:hint="cs"/>
          <w:rtl/>
        </w:rPr>
      </w:pPr>
      <w:r>
        <w:rPr>
          <w:rStyle w:val="a5"/>
        </w:rPr>
        <w:footnoteRef/>
      </w:r>
      <w:r>
        <w:rPr>
          <w:rtl/>
        </w:rPr>
        <w:t xml:space="preserve"> </w:t>
      </w:r>
      <w:r>
        <w:rPr>
          <w:rtl/>
        </w:rPr>
        <w:t>ינאי התיישב ליד שמעון בן שטח באופן מתריס. לא כנידון ואפילו לא כעד, אלא כשופט, ליד אב בית הדין. כסא = מלכות.</w:t>
      </w:r>
    </w:p>
  </w:footnote>
  <w:footnote w:id="12">
    <w:p w14:paraId="440DD58C" w14:textId="77777777" w:rsidR="005B3CA7" w:rsidRDefault="005B3CA7" w:rsidP="005B3CA7">
      <w:pPr>
        <w:pStyle w:val="a3"/>
        <w:rPr>
          <w:rFonts w:hint="cs"/>
          <w:rtl/>
        </w:rPr>
      </w:pPr>
      <w:r>
        <w:rPr>
          <w:rStyle w:val="a5"/>
        </w:rPr>
        <w:footnoteRef/>
      </w:r>
      <w:r>
        <w:rPr>
          <w:rtl/>
        </w:rPr>
        <w:t xml:space="preserve"> </w:t>
      </w:r>
      <w:r>
        <w:rPr>
          <w:rtl/>
        </w:rPr>
        <w:t>מדרש זה מציג את הסיפור של העימות בין שמעון בן שטח ובין המלך החשמונאי (לא מוזכר שמו!) באור אחר לגמרי מזה שבמסכת סנהדרין לעיל</w:t>
      </w:r>
      <w:r w:rsidR="000D043E">
        <w:rPr>
          <w:rFonts w:hint="cs"/>
          <w:rtl/>
        </w:rPr>
        <w:t xml:space="preserve">. </w:t>
      </w:r>
      <w:r w:rsidR="003E5934">
        <w:rPr>
          <w:rFonts w:hint="cs"/>
          <w:rtl/>
        </w:rPr>
        <w:t xml:space="preserve">לפנינו לכאורה דוגמא נוספת של </w:t>
      </w:r>
      <w:hyperlink r:id="rId3" w:anchor="gsc.tab=0" w:history="1">
        <w:r w:rsidR="003E5934" w:rsidRPr="000D043E">
          <w:rPr>
            <w:rStyle w:val="Hyperlink"/>
            <w:rFonts w:hint="cs"/>
            <w:rtl/>
          </w:rPr>
          <w:t>אגדה סותרת הלכה</w:t>
        </w:r>
      </w:hyperlink>
      <w:r w:rsidR="003E5934">
        <w:rPr>
          <w:rFonts w:hint="cs"/>
          <w:rtl/>
        </w:rPr>
        <w:t xml:space="preserve"> (ראו דברינו במיוחדים)</w:t>
      </w:r>
      <w:r>
        <w:rPr>
          <w:rtl/>
        </w:rPr>
        <w:t xml:space="preserve">. </w:t>
      </w:r>
      <w:r w:rsidR="003E5934">
        <w:rPr>
          <w:rFonts w:hint="cs"/>
          <w:rtl/>
        </w:rPr>
        <w:t xml:space="preserve">הדרשן שדורש את הפסוקים בפרשת שופטים על חשיבות הדין, לכאורה נסחף ולא חש להלכה. </w:t>
      </w:r>
      <w:r>
        <w:rPr>
          <w:rtl/>
        </w:rPr>
        <w:t>או שהוא כשיטת הירושלמי ור' ירמיה</w:t>
      </w:r>
      <w:r w:rsidR="003E5934">
        <w:rPr>
          <w:rFonts w:hint="cs"/>
          <w:rtl/>
        </w:rPr>
        <w:t>, וכבר הער</w:t>
      </w:r>
      <w:r w:rsidR="000D043E">
        <w:rPr>
          <w:rFonts w:hint="cs"/>
          <w:rtl/>
        </w:rPr>
        <w:t>נ</w:t>
      </w:r>
      <w:r w:rsidR="003E5934">
        <w:rPr>
          <w:rFonts w:hint="cs"/>
          <w:rtl/>
        </w:rPr>
        <w:t>ו שמלכי ב</w:t>
      </w:r>
      <w:r>
        <w:rPr>
          <w:rtl/>
        </w:rPr>
        <w:t>ית חשמונאי הם בעצם כהנים, שהתנהגו כמלכים ודנים אותם</w:t>
      </w:r>
      <w:r w:rsidR="000D043E">
        <w:rPr>
          <w:rFonts w:hint="cs"/>
          <w:rtl/>
        </w:rPr>
        <w:t xml:space="preserve">. </w:t>
      </w:r>
      <w:r w:rsidR="003E5934">
        <w:rPr>
          <w:rFonts w:hint="cs"/>
          <w:rtl/>
        </w:rPr>
        <w:t>(</w:t>
      </w:r>
      <w:r w:rsidR="000D043E">
        <w:rPr>
          <w:rFonts w:hint="cs"/>
          <w:rtl/>
        </w:rPr>
        <w:t xml:space="preserve">אך </w:t>
      </w:r>
      <w:r w:rsidR="003E5934">
        <w:rPr>
          <w:rFonts w:hint="cs"/>
          <w:rtl/>
        </w:rPr>
        <w:t>ראו</w:t>
      </w:r>
      <w:r w:rsidR="000D043E">
        <w:rPr>
          <w:rFonts w:hint="cs"/>
          <w:rtl/>
        </w:rPr>
        <w:t xml:space="preserve"> ההפך בגמרא קידושין </w:t>
      </w:r>
      <w:proofErr w:type="spellStart"/>
      <w:r w:rsidR="000D043E">
        <w:rPr>
          <w:rFonts w:hint="cs"/>
          <w:rtl/>
        </w:rPr>
        <w:t>סו</w:t>
      </w:r>
      <w:proofErr w:type="spellEnd"/>
      <w:r w:rsidR="000D043E">
        <w:rPr>
          <w:rFonts w:hint="cs"/>
          <w:rtl/>
        </w:rPr>
        <w:t xml:space="preserve"> ע"א שאמרו לינאי: "רב לך כתר מלכות, הנח כתר כהונה לזרעו של אהרון").</w:t>
      </w:r>
      <w:r w:rsidR="003E5934">
        <w:rPr>
          <w:rFonts w:hint="cs"/>
          <w:rtl/>
        </w:rPr>
        <w:t xml:space="preserve"> </w:t>
      </w:r>
      <w:r>
        <w:rPr>
          <w:rtl/>
        </w:rPr>
        <w:t xml:space="preserve">)? </w:t>
      </w:r>
      <w:r w:rsidR="003E5934">
        <w:rPr>
          <w:rtl/>
        </w:rPr>
        <w:t>האם הוא כשיטת הבבלי</w:t>
      </w:r>
      <w:r w:rsidR="003E5934">
        <w:rPr>
          <w:rFonts w:hint="cs"/>
          <w:rtl/>
        </w:rPr>
        <w:t>? (הדמיון</w:t>
      </w:r>
      <w:r w:rsidR="003E5934">
        <w:rPr>
          <w:rtl/>
        </w:rPr>
        <w:t xml:space="preserve"> בסיפור לא יכול להיות מקרי)</w:t>
      </w:r>
      <w:r w:rsidR="000D043E">
        <w:rPr>
          <w:rFonts w:hint="cs"/>
          <w:rtl/>
        </w:rPr>
        <w:t xml:space="preserve">. ואולי מדרש זה </w:t>
      </w:r>
      <w:r>
        <w:rPr>
          <w:rtl/>
        </w:rPr>
        <w:t>מציג אסכולה שלישית</w:t>
      </w:r>
      <w:r w:rsidR="000D043E">
        <w:rPr>
          <w:rFonts w:hint="cs"/>
          <w:rtl/>
        </w:rPr>
        <w:t xml:space="preserve"> לפיה </w:t>
      </w:r>
      <w:r>
        <w:rPr>
          <w:rtl/>
        </w:rPr>
        <w:t>המלך רשאי למחול על כבודו ולהעיד ואפילו ל</w:t>
      </w:r>
      <w:r>
        <w:rPr>
          <w:rFonts w:hint="cs"/>
          <w:rtl/>
        </w:rPr>
        <w:t>עמוד לדין</w:t>
      </w:r>
      <w:r>
        <w:rPr>
          <w:rtl/>
        </w:rPr>
        <w:t xml:space="preserve"> כי "מלפניך משפטי יצא"?</w:t>
      </w:r>
    </w:p>
  </w:footnote>
  <w:footnote w:id="13">
    <w:p w14:paraId="61C63E50" w14:textId="77777777" w:rsidR="000D043E" w:rsidRDefault="000D043E">
      <w:pPr>
        <w:pStyle w:val="a3"/>
        <w:rPr>
          <w:rFonts w:hint="cs"/>
          <w:rtl/>
        </w:rPr>
      </w:pPr>
      <w:r>
        <w:rPr>
          <w:rStyle w:val="a5"/>
        </w:rPr>
        <w:footnoteRef/>
      </w:r>
      <w:r>
        <w:rPr>
          <w:rtl/>
        </w:rPr>
        <w:t xml:space="preserve"> </w:t>
      </w:r>
      <w:r>
        <w:rPr>
          <w:rFonts w:hint="cs"/>
          <w:rtl/>
        </w:rPr>
        <w:t xml:space="preserve">ראו דברינו </w:t>
      </w:r>
      <w:hyperlink r:id="rId4" w:anchor="gsc.tab=0" w:history="1">
        <w:r w:rsidRPr="000D043E">
          <w:rPr>
            <w:rStyle w:val="Hyperlink"/>
            <w:rFonts w:hint="cs"/>
            <w:rtl/>
          </w:rPr>
          <w:t>אלמלא מקרא כתוב אי אפשר לאומרו</w:t>
        </w:r>
      </w:hyperlink>
      <w:r>
        <w:rPr>
          <w:rFonts w:hint="cs"/>
          <w:rtl/>
        </w:rPr>
        <w:t xml:space="preserve"> בדפים המיוחדים, שם הזכרנו דרשה זו בחברה טובה של מדרשים דומים. </w:t>
      </w:r>
    </w:p>
  </w:footnote>
  <w:footnote w:id="14">
    <w:p w14:paraId="0D5176D5" w14:textId="77777777" w:rsidR="00AD3F3C" w:rsidRDefault="00AD3F3C">
      <w:pPr>
        <w:pStyle w:val="a3"/>
        <w:rPr>
          <w:rFonts w:hint="cs"/>
        </w:rPr>
      </w:pPr>
      <w:r>
        <w:rPr>
          <w:rStyle w:val="a5"/>
        </w:rPr>
        <w:footnoteRef/>
      </w:r>
      <w:r>
        <w:rPr>
          <w:rtl/>
        </w:rPr>
        <w:t xml:space="preserve"> </w:t>
      </w:r>
      <w:r>
        <w:rPr>
          <w:rtl/>
        </w:rPr>
        <w:t xml:space="preserve">סיומת זו של </w:t>
      </w:r>
      <w:proofErr w:type="spellStart"/>
      <w:r>
        <w:rPr>
          <w:rtl/>
        </w:rPr>
        <w:t>תנחומא</w:t>
      </w:r>
      <w:proofErr w:type="spellEnd"/>
      <w:r>
        <w:rPr>
          <w:rtl/>
        </w:rPr>
        <w:t xml:space="preserve"> </w:t>
      </w:r>
      <w:r>
        <w:rPr>
          <w:rFonts w:hint="cs"/>
          <w:rtl/>
        </w:rPr>
        <w:t xml:space="preserve">אולי </w:t>
      </w:r>
      <w:r>
        <w:rPr>
          <w:rtl/>
        </w:rPr>
        <w:t>חוזרת בכל זאת ל</w:t>
      </w:r>
      <w:r>
        <w:rPr>
          <w:rFonts w:hint="cs"/>
          <w:rtl/>
        </w:rPr>
        <w:t>שיטת ה</w:t>
      </w:r>
      <w:r>
        <w:rPr>
          <w:rtl/>
        </w:rPr>
        <w:t>בבלי</w:t>
      </w:r>
      <w:r>
        <w:rPr>
          <w:rFonts w:hint="cs"/>
          <w:rtl/>
        </w:rPr>
        <w:t xml:space="preserve"> שמלך דן ודנים אותו</w:t>
      </w:r>
      <w:r w:rsidR="006D6CBF">
        <w:rPr>
          <w:rFonts w:hint="cs"/>
          <w:rtl/>
        </w:rPr>
        <w:t xml:space="preserve"> ואין סתירה בין רשת האגדה וההלכה</w:t>
      </w:r>
      <w:r>
        <w:rPr>
          <w:rtl/>
        </w:rPr>
        <w:t xml:space="preserve">. </w:t>
      </w:r>
      <w:r>
        <w:rPr>
          <w:rFonts w:hint="cs"/>
          <w:rtl/>
        </w:rPr>
        <w:t xml:space="preserve">ראשית, הרי התלמוד הבבלי הופך למעשה את דין המשנה. הנורמה היא כמלכי בית דוד שמלך דן ודנים אותו והמשנה מייצגת את מה שנקבע </w:t>
      </w:r>
      <w:r w:rsidR="006D6CBF">
        <w:rPr>
          <w:rFonts w:hint="cs"/>
          <w:rtl/>
        </w:rPr>
        <w:t xml:space="preserve">כהלכה </w:t>
      </w:r>
      <w:r>
        <w:rPr>
          <w:rFonts w:hint="cs"/>
          <w:rtl/>
        </w:rPr>
        <w:t>ל</w:t>
      </w:r>
      <w:r w:rsidR="006D6CBF">
        <w:rPr>
          <w:rFonts w:hint="cs"/>
          <w:rtl/>
        </w:rPr>
        <w:t>מעשה</w:t>
      </w:r>
      <w:r>
        <w:rPr>
          <w:rFonts w:hint="cs"/>
          <w:rtl/>
        </w:rPr>
        <w:t xml:space="preserve"> בגלל זרועם הקשה של מלכי בית ישראל (בית חשמונאי בבית שני!). הדרשן </w:t>
      </w:r>
      <w:proofErr w:type="spellStart"/>
      <w:r>
        <w:rPr>
          <w:rFonts w:hint="cs"/>
          <w:rtl/>
        </w:rPr>
        <w:t>בתנחומא</w:t>
      </w:r>
      <w:proofErr w:type="spellEnd"/>
      <w:r>
        <w:rPr>
          <w:rFonts w:hint="cs"/>
          <w:rtl/>
        </w:rPr>
        <w:t xml:space="preserve"> זורם עם הנורמה הערכית-עקרונית. זאת ועוד, </w:t>
      </w:r>
      <w:r>
        <w:rPr>
          <w:rtl/>
        </w:rPr>
        <w:t xml:space="preserve">אם הדיינים </w:t>
      </w:r>
      <w:proofErr w:type="spellStart"/>
      <w:r>
        <w:rPr>
          <w:rtl/>
        </w:rPr>
        <w:t>דנין</w:t>
      </w:r>
      <w:proofErr w:type="spellEnd"/>
      <w:r>
        <w:rPr>
          <w:rtl/>
        </w:rPr>
        <w:t xml:space="preserve"> כביכול את הקב"ה (בית דין נקרא א-להים), קל וחומר שהם יכולים לדון </w:t>
      </w:r>
      <w:r>
        <w:rPr>
          <w:rFonts w:hint="cs"/>
          <w:rtl/>
        </w:rPr>
        <w:t xml:space="preserve">גם </w:t>
      </w:r>
      <w:r>
        <w:rPr>
          <w:rtl/>
        </w:rPr>
        <w:t xml:space="preserve">את המלך שבמקרה הטוב, בא מכוחו של הקב"ה. וזו </w:t>
      </w:r>
      <w:r>
        <w:rPr>
          <w:rFonts w:hint="cs"/>
          <w:rtl/>
        </w:rPr>
        <w:t xml:space="preserve">תהיה גם </w:t>
      </w:r>
      <w:r>
        <w:rPr>
          <w:rtl/>
        </w:rPr>
        <w:t>תשובת הבבלי ל</w:t>
      </w:r>
      <w:r>
        <w:rPr>
          <w:rFonts w:hint="cs"/>
          <w:rtl/>
        </w:rPr>
        <w:t xml:space="preserve">טענת </w:t>
      </w:r>
      <w:r>
        <w:rPr>
          <w:rtl/>
        </w:rPr>
        <w:t xml:space="preserve">"מלפניך משפטי יצא" של הירושלמי. </w:t>
      </w:r>
      <w:r>
        <w:rPr>
          <w:rFonts w:hint="cs"/>
          <w:rtl/>
        </w:rPr>
        <w:t xml:space="preserve">דוד מבקש שדינו יצא מלפני הקב"ה </w:t>
      </w:r>
      <w:r>
        <w:rPr>
          <w:rtl/>
        </w:rPr>
        <w:t>–</w:t>
      </w:r>
      <w:r>
        <w:rPr>
          <w:rFonts w:hint="cs"/>
          <w:rtl/>
        </w:rPr>
        <w:t xml:space="preserve"> בבקשה, בית הדין הוא הקב"ה וזה האציל מסמכותו לבית דין שלמטה. </w:t>
      </w:r>
      <w:r>
        <w:rPr>
          <w:rtl/>
        </w:rPr>
        <w:t>ואולי יש כאן גם העמדה של אימת הדיינים מול אימת המלך</w:t>
      </w:r>
      <w:r>
        <w:rPr>
          <w:rFonts w:hint="cs"/>
          <w:rtl/>
        </w:rPr>
        <w:t xml:space="preserve"> שאמנם נאמר בו </w:t>
      </w:r>
      <w:r>
        <w:rPr>
          <w:rtl/>
        </w:rPr>
        <w:t>"שתהא אימתו עליך"</w:t>
      </w:r>
      <w:r>
        <w:rPr>
          <w:rFonts w:hint="cs"/>
          <w:rtl/>
        </w:rPr>
        <w:t xml:space="preserve"> ואינו יכול למחול על כבודו, אבל אימת הדיינים וכבוד שמים הם גבוהים וחזקים יותר</w:t>
      </w:r>
      <w:r>
        <w:rPr>
          <w:rtl/>
        </w:rPr>
        <w:t>.</w:t>
      </w:r>
    </w:p>
  </w:footnote>
  <w:footnote w:id="15">
    <w:p w14:paraId="09486ED9" w14:textId="77777777" w:rsidR="007D582A" w:rsidRDefault="007D582A" w:rsidP="00AB0093">
      <w:pPr>
        <w:pStyle w:val="a3"/>
        <w:rPr>
          <w:rFonts w:hint="cs"/>
          <w:rtl/>
        </w:rPr>
      </w:pPr>
      <w:r>
        <w:rPr>
          <w:rStyle w:val="a5"/>
        </w:rPr>
        <w:footnoteRef/>
      </w:r>
      <w:r>
        <w:rPr>
          <w:rtl/>
        </w:rPr>
        <w:t xml:space="preserve"> </w:t>
      </w:r>
      <w:r w:rsidR="00AB0093">
        <w:rPr>
          <w:rFonts w:hint="cs"/>
          <w:rtl/>
          <w:lang w:val="he-IL"/>
        </w:rPr>
        <w:t xml:space="preserve">כך דוד כמלך ופי שראינו </w:t>
      </w:r>
      <w:r>
        <w:rPr>
          <w:rFonts w:hint="cs"/>
          <w:rtl/>
          <w:lang w:val="he-IL"/>
        </w:rPr>
        <w:t xml:space="preserve">בירושלמי </w:t>
      </w:r>
      <w:r w:rsidR="00AB0093">
        <w:rPr>
          <w:rFonts w:hint="cs"/>
          <w:rtl/>
          <w:lang w:val="he-IL"/>
        </w:rPr>
        <w:t xml:space="preserve">ובמדרש </w:t>
      </w:r>
      <w:r>
        <w:rPr>
          <w:rFonts w:hint="cs"/>
          <w:rtl/>
          <w:lang w:val="he-IL"/>
        </w:rPr>
        <w:t xml:space="preserve">דברים רבה לעיל. </w:t>
      </w:r>
      <w:r w:rsidR="00AB0093">
        <w:rPr>
          <w:rFonts w:hint="cs"/>
          <w:rtl/>
          <w:lang w:val="he-IL"/>
        </w:rPr>
        <w:t xml:space="preserve">ובימי הסליחות והרחמים המתקרבים עומדים כל בית ישראל שהם כבני מלכים ומבקשים מהקב"ה: מלפניך משפטנו יצא. </w:t>
      </w:r>
      <w:r w:rsidR="00F6016D">
        <w:rPr>
          <w:rFonts w:hint="cs"/>
          <w:rtl/>
          <w:lang w:val="he-IL"/>
        </w:rPr>
        <w:t>ראו</w:t>
      </w:r>
      <w:r w:rsidR="00AB0093">
        <w:rPr>
          <w:rFonts w:hint="cs"/>
          <w:rtl/>
          <w:lang w:val="he-IL"/>
        </w:rPr>
        <w:t xml:space="preserve"> דברינו </w:t>
      </w:r>
      <w:hyperlink r:id="rId5" w:history="1">
        <w:r w:rsidR="00AB0093" w:rsidRPr="00AB0093">
          <w:rPr>
            <w:rStyle w:val="Hyperlink"/>
            <w:rFonts w:hint="cs"/>
            <w:rtl/>
            <w:lang w:val="he-IL"/>
          </w:rPr>
          <w:t>מלפניך משפטנו יצא</w:t>
        </w:r>
      </w:hyperlink>
      <w:r w:rsidR="00AB0093">
        <w:rPr>
          <w:rFonts w:hint="cs"/>
          <w:rtl/>
          <w:lang w:val="he-IL"/>
        </w:rPr>
        <w:t xml:space="preserve"> ביום הכיפורים. </w:t>
      </w:r>
    </w:p>
  </w:footnote>
  <w:footnote w:id="16">
    <w:p w14:paraId="3AD1276A" w14:textId="77777777" w:rsidR="00160868" w:rsidRDefault="00160868" w:rsidP="00160868">
      <w:pPr>
        <w:pStyle w:val="a3"/>
        <w:rPr>
          <w:rFonts w:hint="cs"/>
        </w:rPr>
      </w:pPr>
      <w:r>
        <w:rPr>
          <w:rStyle w:val="a5"/>
        </w:rPr>
        <w:footnoteRef/>
      </w:r>
      <w:r>
        <w:rPr>
          <w:rtl/>
        </w:rPr>
        <w:t xml:space="preserve"> </w:t>
      </w:r>
      <w:r>
        <w:rPr>
          <w:rFonts w:hint="cs"/>
          <w:rtl/>
        </w:rPr>
        <w:t>ש</w:t>
      </w:r>
      <w:r>
        <w:rPr>
          <w:rFonts w:hint="eastAsia"/>
          <w:rtl/>
        </w:rPr>
        <w:t>ׁ</w:t>
      </w:r>
      <w:r>
        <w:rPr>
          <w:rFonts w:hint="cs"/>
          <w:rtl/>
        </w:rPr>
        <w:t>ו</w:t>
      </w:r>
      <w:r>
        <w:rPr>
          <w:rFonts w:hint="eastAsia"/>
          <w:rtl/>
        </w:rPr>
        <w:t>ֹ</w:t>
      </w:r>
      <w:r>
        <w:rPr>
          <w:rFonts w:hint="cs"/>
          <w:rtl/>
        </w:rPr>
        <w:t>ח</w:t>
      </w:r>
      <w:r>
        <w:rPr>
          <w:rFonts w:hint="eastAsia"/>
          <w:rtl/>
        </w:rPr>
        <w:t>ֶ</w:t>
      </w:r>
      <w:r>
        <w:rPr>
          <w:rFonts w:hint="cs"/>
          <w:rtl/>
        </w:rPr>
        <w:t xml:space="preserve">ה הוא מתכופף או מרכין ראשו ואולי כל פלג גופו העליון. ויש לעשות כך בברכה הראשונה של תפילת עמידה, בתחילתה ובסופה, וכן בברכת מודים. ולהלכה </w:t>
      </w:r>
      <w:r w:rsidR="00F6016D">
        <w:rPr>
          <w:rFonts w:hint="cs"/>
          <w:rtl/>
        </w:rPr>
        <w:t>ראו</w:t>
      </w:r>
      <w:r>
        <w:rPr>
          <w:rFonts w:hint="cs"/>
          <w:rtl/>
        </w:rPr>
        <w:t xml:space="preserve"> </w:t>
      </w:r>
      <w:r>
        <w:rPr>
          <w:rtl/>
        </w:rPr>
        <w:t>רמב"ם הלכות תפילה ונשיאת כפים פרק ה</w:t>
      </w:r>
      <w:r>
        <w:rPr>
          <w:rFonts w:hint="cs"/>
          <w:rtl/>
        </w:rPr>
        <w:t xml:space="preserve"> ו</w:t>
      </w:r>
      <w:r>
        <w:rPr>
          <w:rtl/>
        </w:rPr>
        <w:t xml:space="preserve">שולחן ערוך אורח חיים הלכות תפלה סימן </w:t>
      </w:r>
      <w:proofErr w:type="spellStart"/>
      <w:r>
        <w:rPr>
          <w:rtl/>
        </w:rPr>
        <w:t>קיג</w:t>
      </w:r>
      <w:proofErr w:type="spellEnd"/>
      <w:r>
        <w:rPr>
          <w:rFonts w:hint="cs"/>
          <w:rtl/>
        </w:rPr>
        <w:t xml:space="preserve">, שם הפועל הוא </w:t>
      </w:r>
      <w:proofErr w:type="spellStart"/>
      <w:r>
        <w:rPr>
          <w:rFonts w:hint="cs"/>
          <w:rtl/>
        </w:rPr>
        <w:t>כר"ע</w:t>
      </w:r>
      <w:proofErr w:type="spellEnd"/>
      <w:r>
        <w:rPr>
          <w:rFonts w:hint="cs"/>
          <w:rtl/>
        </w:rPr>
        <w:t>.</w:t>
      </w:r>
    </w:p>
  </w:footnote>
  <w:footnote w:id="17">
    <w:p w14:paraId="04E1EA46" w14:textId="77777777" w:rsidR="009146DD" w:rsidRDefault="009146DD">
      <w:pPr>
        <w:pStyle w:val="a3"/>
        <w:rPr>
          <w:rFonts w:hint="cs"/>
        </w:rPr>
      </w:pPr>
      <w:r>
        <w:rPr>
          <w:rStyle w:val="a5"/>
        </w:rPr>
        <w:footnoteRef/>
      </w:r>
      <w:r>
        <w:rPr>
          <w:rtl/>
        </w:rPr>
        <w:t xml:space="preserve"> </w:t>
      </w:r>
      <w:r w:rsidR="00223E75">
        <w:rPr>
          <w:rFonts w:hint="cs"/>
          <w:rtl/>
        </w:rPr>
        <w:t xml:space="preserve">עד כאן לשון </w:t>
      </w:r>
      <w:proofErr w:type="spellStart"/>
      <w:r w:rsidR="00223E75">
        <w:rPr>
          <w:rFonts w:hint="cs"/>
          <w:rtl/>
        </w:rPr>
        <w:t>תוספתא</w:t>
      </w:r>
      <w:proofErr w:type="spellEnd"/>
      <w:r w:rsidR="00223E75">
        <w:rPr>
          <w:rFonts w:hint="cs"/>
          <w:rtl/>
        </w:rPr>
        <w:t xml:space="preserve"> ברכות פרק א הלכה ח.</w:t>
      </w:r>
    </w:p>
  </w:footnote>
  <w:footnote w:id="18">
    <w:p w14:paraId="69E52DF5" w14:textId="77777777" w:rsidR="000062EB" w:rsidRDefault="000062EB">
      <w:pPr>
        <w:pStyle w:val="a3"/>
        <w:rPr>
          <w:rFonts w:hint="cs"/>
          <w:rtl/>
        </w:rPr>
      </w:pPr>
      <w:r>
        <w:rPr>
          <w:rStyle w:val="a5"/>
        </w:rPr>
        <w:footnoteRef/>
      </w:r>
      <w:r>
        <w:rPr>
          <w:rtl/>
        </w:rPr>
        <w:t xml:space="preserve"> </w:t>
      </w:r>
      <w:r w:rsidR="00F6016D">
        <w:rPr>
          <w:rFonts w:hint="cs"/>
          <w:rtl/>
        </w:rPr>
        <w:t>ראו</w:t>
      </w:r>
      <w:r>
        <w:rPr>
          <w:rFonts w:hint="cs"/>
          <w:rtl/>
        </w:rPr>
        <w:t xml:space="preserve"> מקבילה ב</w:t>
      </w:r>
      <w:r>
        <w:rPr>
          <w:rtl/>
        </w:rPr>
        <w:t xml:space="preserve">בראשית רבה </w:t>
      </w:r>
      <w:r>
        <w:rPr>
          <w:rFonts w:hint="cs"/>
          <w:rtl/>
        </w:rPr>
        <w:t xml:space="preserve">לט </w:t>
      </w:r>
      <w:proofErr w:type="spellStart"/>
      <w:r>
        <w:rPr>
          <w:rFonts w:hint="cs"/>
          <w:rtl/>
        </w:rPr>
        <w:t>יב</w:t>
      </w:r>
      <w:proofErr w:type="spellEnd"/>
      <w:r>
        <w:rPr>
          <w:rFonts w:hint="cs"/>
          <w:rtl/>
        </w:rPr>
        <w:t xml:space="preserve">, </w:t>
      </w:r>
      <w:r>
        <w:rPr>
          <w:rtl/>
        </w:rPr>
        <w:t xml:space="preserve">פרשת לך </w:t>
      </w:r>
      <w:proofErr w:type="spellStart"/>
      <w:r>
        <w:rPr>
          <w:rtl/>
        </w:rPr>
        <w:t>לך</w:t>
      </w:r>
      <w:proofErr w:type="spellEnd"/>
      <w:r>
        <w:rPr>
          <w:rFonts w:hint="cs"/>
          <w:rtl/>
        </w:rPr>
        <w:t xml:space="preserve"> על הפסוק: "</w:t>
      </w:r>
      <w:proofErr w:type="spellStart"/>
      <w:r>
        <w:rPr>
          <w:rFonts w:hint="cs"/>
          <w:rtl/>
        </w:rPr>
        <w:t>ונברכו</w:t>
      </w:r>
      <w:proofErr w:type="spellEnd"/>
      <w:r>
        <w:rPr>
          <w:rFonts w:hint="cs"/>
          <w:rtl/>
        </w:rPr>
        <w:t xml:space="preserve"> בך כל משפחות האדמה", היינו שיכרעו ברך לפניך. ושם יש הבחנה בין כריעה ובין ב</w:t>
      </w:r>
      <w:r>
        <w:rPr>
          <w:rFonts w:hint="eastAsia"/>
          <w:rtl/>
        </w:rPr>
        <w:t>ְּ</w:t>
      </w:r>
      <w:r>
        <w:rPr>
          <w:rFonts w:hint="cs"/>
          <w:rtl/>
        </w:rPr>
        <w:t>ר</w:t>
      </w:r>
      <w:r>
        <w:rPr>
          <w:rFonts w:hint="eastAsia"/>
          <w:rtl/>
        </w:rPr>
        <w:t>ִ</w:t>
      </w:r>
      <w:r>
        <w:rPr>
          <w:rFonts w:hint="cs"/>
          <w:rtl/>
        </w:rPr>
        <w:t>יכ</w:t>
      </w:r>
      <w:r>
        <w:rPr>
          <w:rFonts w:hint="eastAsia"/>
          <w:rtl/>
        </w:rPr>
        <w:t>ָ</w:t>
      </w:r>
      <w:r>
        <w:rPr>
          <w:rFonts w:hint="cs"/>
          <w:rtl/>
        </w:rPr>
        <w:t>ה. בחרנו לסיים דף זה בהלכה, בפרט לשיטת ר' סימון בשם ר' יהושע בן לוי שהמלך ש</w:t>
      </w:r>
      <w:r w:rsidR="006D6CBF">
        <w:rPr>
          <w:rFonts w:hint="eastAsia"/>
          <w:rtl/>
        </w:rPr>
        <w:t>ׁ</w:t>
      </w:r>
      <w:r>
        <w:rPr>
          <w:rFonts w:hint="cs"/>
          <w:rtl/>
        </w:rPr>
        <w:t>ו</w:t>
      </w:r>
      <w:r w:rsidR="006D6CBF">
        <w:rPr>
          <w:rFonts w:hint="eastAsia"/>
          <w:rtl/>
        </w:rPr>
        <w:t>ֹ</w:t>
      </w:r>
      <w:r>
        <w:rPr>
          <w:rFonts w:hint="cs"/>
          <w:rtl/>
        </w:rPr>
        <w:t>ח</w:t>
      </w:r>
      <w:r w:rsidR="006D6CBF">
        <w:rPr>
          <w:rFonts w:hint="eastAsia"/>
          <w:rtl/>
        </w:rPr>
        <w:t>ֶ</w:t>
      </w:r>
      <w:r>
        <w:rPr>
          <w:rFonts w:hint="cs"/>
          <w:rtl/>
        </w:rPr>
        <w:t xml:space="preserve">ה לאורך כל התפילה. </w:t>
      </w:r>
      <w:r w:rsidR="006D6CBF">
        <w:rPr>
          <w:rFonts w:hint="cs"/>
          <w:rtl/>
        </w:rPr>
        <w:t>ושתי הגישות יכולות למצוא כאן סעד. מחד גיסא, הנה ה</w:t>
      </w:r>
      <w:r>
        <w:rPr>
          <w:rFonts w:hint="cs"/>
          <w:rtl/>
        </w:rPr>
        <w:t xml:space="preserve">מלך </w:t>
      </w:r>
      <w:r w:rsidR="006D6CBF">
        <w:rPr>
          <w:rFonts w:hint="cs"/>
          <w:rtl/>
        </w:rPr>
        <w:t xml:space="preserve">מרכין ראשו </w:t>
      </w:r>
      <w:r>
        <w:rPr>
          <w:rFonts w:hint="cs"/>
          <w:rtl/>
        </w:rPr>
        <w:t>שלוש פעמים ביום ושוחה כל תפילתו אל מול הקב"ה</w:t>
      </w:r>
      <w:r w:rsidR="00702975">
        <w:rPr>
          <w:rFonts w:hint="cs"/>
          <w:rtl/>
        </w:rPr>
        <w:t xml:space="preserve"> </w:t>
      </w:r>
      <w:r w:rsidR="00702975">
        <w:rPr>
          <w:rtl/>
        </w:rPr>
        <w:t>–</w:t>
      </w:r>
      <w:r w:rsidR="006D6CBF">
        <w:rPr>
          <w:rFonts w:hint="cs"/>
          <w:rtl/>
        </w:rPr>
        <w:t xml:space="preserve"> ה</w:t>
      </w:r>
      <w:r w:rsidR="00702975">
        <w:rPr>
          <w:rFonts w:hint="cs"/>
          <w:rtl/>
        </w:rPr>
        <w:t xml:space="preserve">וא שמצווה על הדינים ונוכח בהם. מאידך גיסא, ניתן לטעון בדיוק ההפך. שחייה זו אל מול הקב"ה משמעותה </w:t>
      </w:r>
      <w:r>
        <w:rPr>
          <w:rFonts w:hint="cs"/>
          <w:rtl/>
        </w:rPr>
        <w:t>שרק הקב"ה ישפוט אותו</w:t>
      </w:r>
      <w:r w:rsidR="00702975">
        <w:rPr>
          <w:rFonts w:hint="cs"/>
          <w:rtl/>
        </w:rPr>
        <w:t>. והרי זו בדיוק מחלוקת הירושלמי והבבלי בפירוש הפסוק: "מלפניך משפטי יצא".</w:t>
      </w:r>
      <w:r>
        <w:rPr>
          <w:rFonts w:hint="cs"/>
          <w:rtl/>
        </w:rPr>
        <w:t xml:space="preserve"> ואנו מכירים נביאים שעמדו מול מלכים בעוז להוכי</w:t>
      </w:r>
      <w:r w:rsidR="00F6016D">
        <w:rPr>
          <w:rFonts w:hint="cs"/>
          <w:rtl/>
        </w:rPr>
        <w:t>ח</w:t>
      </w:r>
      <w:r>
        <w:rPr>
          <w:rFonts w:hint="cs"/>
          <w:rtl/>
        </w:rPr>
        <w:t xml:space="preserve"> אותם כמו נתן מול דוד, אליהו מול אחאב ועוד. אבל ז</w:t>
      </w:r>
      <w:r w:rsidR="00702975">
        <w:rPr>
          <w:rFonts w:hint="cs"/>
          <w:rtl/>
        </w:rPr>
        <w:t>ו</w:t>
      </w:r>
      <w:r>
        <w:rPr>
          <w:rFonts w:hint="cs"/>
          <w:rtl/>
        </w:rPr>
        <w:t xml:space="preserve"> הייתה שפיטה מוסרית ולא בדין ומשפט.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0C36" w14:textId="14B4C070" w:rsidR="005D318D" w:rsidRDefault="005D318D" w:rsidP="00AB0093">
    <w:pPr>
      <w:pStyle w:val="1"/>
      <w:tabs>
        <w:tab w:val="clear" w:pos="9469"/>
        <w:tab w:val="right" w:pos="9299"/>
      </w:tabs>
      <w:rPr>
        <w:rFonts w:hint="cs"/>
        <w:rtl/>
      </w:rPr>
    </w:pPr>
    <w:r>
      <w:rPr>
        <w:rtl/>
      </w:rPr>
      <w:t xml:space="preserve">פרשת </w:t>
    </w:r>
    <w:fldSimple w:instr=" SUBJECT  \* MERGEFORMAT ">
      <w:r w:rsidR="00076389">
        <w:rPr>
          <w:rtl/>
        </w:rPr>
        <w:t>שופטים</w:t>
      </w:r>
    </w:fldSimple>
    <w:r>
      <w:rPr>
        <w:rFonts w:hint="cs"/>
        <w:rtl/>
      </w:rPr>
      <w:t>, רביעית לנחמה</w:t>
    </w:r>
    <w:r>
      <w:rPr>
        <w:rtl/>
      </w:rPr>
      <w:tab/>
    </w:r>
    <w:r>
      <w:rPr>
        <w:rFonts w:hint="cs"/>
        <w:rtl/>
      </w:rPr>
      <w:t>תשנ"ט-</w:t>
    </w:r>
    <w:r>
      <w:rPr>
        <w:rtl/>
      </w:rPr>
      <w:t>תשס</w:t>
    </w:r>
    <w:r>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D7FB" w14:textId="3C791147" w:rsidR="005D318D" w:rsidRDefault="005D318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76389">
      <w:rPr>
        <w:szCs w:val="24"/>
        <w:rtl/>
      </w:rPr>
      <w:t>שופטים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7638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08729468">
    <w:abstractNumId w:val="8"/>
  </w:num>
  <w:num w:numId="2" w16cid:durableId="1017194080">
    <w:abstractNumId w:val="3"/>
  </w:num>
  <w:num w:numId="3" w16cid:durableId="1795514001">
    <w:abstractNumId w:val="2"/>
  </w:num>
  <w:num w:numId="4" w16cid:durableId="838232510">
    <w:abstractNumId w:val="1"/>
  </w:num>
  <w:num w:numId="5" w16cid:durableId="1768111530">
    <w:abstractNumId w:val="0"/>
  </w:num>
  <w:num w:numId="6" w16cid:durableId="1982228543">
    <w:abstractNumId w:val="9"/>
  </w:num>
  <w:num w:numId="7" w16cid:durableId="110442675">
    <w:abstractNumId w:val="7"/>
  </w:num>
  <w:num w:numId="8" w16cid:durableId="1719740855">
    <w:abstractNumId w:val="6"/>
  </w:num>
  <w:num w:numId="9" w16cid:durableId="255794989">
    <w:abstractNumId w:val="5"/>
  </w:num>
  <w:num w:numId="10" w16cid:durableId="953944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1MDQ0MjIxMTS0NDJT0lEKTi0uzszPAykwqQUAZglapywAAAA="/>
  </w:docVars>
  <w:rsids>
    <w:rsidRoot w:val="0028711F"/>
    <w:rsid w:val="000062EB"/>
    <w:rsid w:val="000354CE"/>
    <w:rsid w:val="00076389"/>
    <w:rsid w:val="000C0A06"/>
    <w:rsid w:val="000C14BF"/>
    <w:rsid w:val="000D043E"/>
    <w:rsid w:val="00160868"/>
    <w:rsid w:val="00175295"/>
    <w:rsid w:val="001A3D79"/>
    <w:rsid w:val="00217230"/>
    <w:rsid w:val="00223E75"/>
    <w:rsid w:val="002428FB"/>
    <w:rsid w:val="0028711F"/>
    <w:rsid w:val="00317573"/>
    <w:rsid w:val="00331714"/>
    <w:rsid w:val="003A4AAA"/>
    <w:rsid w:val="003E5934"/>
    <w:rsid w:val="003F059E"/>
    <w:rsid w:val="004A0D6F"/>
    <w:rsid w:val="004D6A39"/>
    <w:rsid w:val="004E674C"/>
    <w:rsid w:val="004F2C05"/>
    <w:rsid w:val="005B3CA7"/>
    <w:rsid w:val="005B53C5"/>
    <w:rsid w:val="005D318D"/>
    <w:rsid w:val="005D57E9"/>
    <w:rsid w:val="00623667"/>
    <w:rsid w:val="00627B82"/>
    <w:rsid w:val="006376DD"/>
    <w:rsid w:val="00650D5D"/>
    <w:rsid w:val="00650F0E"/>
    <w:rsid w:val="00686AFA"/>
    <w:rsid w:val="006D6CBF"/>
    <w:rsid w:val="00702975"/>
    <w:rsid w:val="00716A26"/>
    <w:rsid w:val="00721D0E"/>
    <w:rsid w:val="007973CE"/>
    <w:rsid w:val="007A7B87"/>
    <w:rsid w:val="007D582A"/>
    <w:rsid w:val="00831A38"/>
    <w:rsid w:val="009146DD"/>
    <w:rsid w:val="00931288"/>
    <w:rsid w:val="00976F68"/>
    <w:rsid w:val="009903B4"/>
    <w:rsid w:val="009B29C3"/>
    <w:rsid w:val="009C7D66"/>
    <w:rsid w:val="00A336B6"/>
    <w:rsid w:val="00A87C83"/>
    <w:rsid w:val="00A93AD6"/>
    <w:rsid w:val="00AA3F51"/>
    <w:rsid w:val="00AB0093"/>
    <w:rsid w:val="00AD3F3C"/>
    <w:rsid w:val="00B961B5"/>
    <w:rsid w:val="00BA1A95"/>
    <w:rsid w:val="00BE7E47"/>
    <w:rsid w:val="00CC3265"/>
    <w:rsid w:val="00CF41BA"/>
    <w:rsid w:val="00D17ECC"/>
    <w:rsid w:val="00D74ABB"/>
    <w:rsid w:val="00D83370"/>
    <w:rsid w:val="00DF0C47"/>
    <w:rsid w:val="00E237E1"/>
    <w:rsid w:val="00F233A3"/>
    <w:rsid w:val="00F35A61"/>
    <w:rsid w:val="00F51A3B"/>
    <w:rsid w:val="00F569D8"/>
    <w:rsid w:val="00F6016D"/>
    <w:rsid w:val="00F90B3A"/>
    <w:rsid w:val="00FD52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2F7CCBF"/>
  <w15:chartTrackingRefBased/>
  <w15:docId w15:val="{CAE1236A-D091-426A-8B70-D9FC39AC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5295"/>
    <w:pPr>
      <w:bidi/>
    </w:pPr>
    <w:rPr>
      <w:rFonts w:cs="Narkisim"/>
      <w:sz w:val="22"/>
      <w:szCs w:val="22"/>
      <w:lang w:eastAsia="he-IL"/>
    </w:rPr>
  </w:style>
  <w:style w:type="paragraph" w:styleId="1">
    <w:name w:val="heading 1"/>
    <w:basedOn w:val="a"/>
    <w:next w:val="a"/>
    <w:link w:val="10"/>
    <w:qFormat/>
    <w:rsid w:val="00175295"/>
    <w:pPr>
      <w:keepNext/>
      <w:tabs>
        <w:tab w:val="right" w:pos="9469"/>
      </w:tabs>
      <w:jc w:val="both"/>
      <w:outlineLvl w:val="0"/>
    </w:pPr>
    <w:rPr>
      <w:rFonts w:cs="David"/>
      <w:b/>
      <w:bCs/>
      <w:szCs w:val="28"/>
    </w:rPr>
  </w:style>
  <w:style w:type="character" w:default="1" w:styleId="a0">
    <w:name w:val="Default Paragraph Font"/>
    <w:uiPriority w:val="1"/>
    <w:semiHidden/>
    <w:unhideWhenUsed/>
    <w:rsid w:val="001752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75295"/>
  </w:style>
  <w:style w:type="paragraph" w:styleId="a3">
    <w:name w:val="footnote text"/>
    <w:basedOn w:val="a"/>
    <w:link w:val="a4"/>
    <w:semiHidden/>
    <w:rsid w:val="00175295"/>
    <w:pPr>
      <w:ind w:left="170" w:hanging="170"/>
      <w:jc w:val="both"/>
    </w:pPr>
    <w:rPr>
      <w:sz w:val="20"/>
      <w:szCs w:val="20"/>
    </w:rPr>
  </w:style>
  <w:style w:type="character" w:styleId="a5">
    <w:name w:val="footnote reference"/>
    <w:semiHidden/>
    <w:rsid w:val="00175295"/>
    <w:rPr>
      <w:vertAlign w:val="superscript"/>
    </w:rPr>
  </w:style>
  <w:style w:type="paragraph" w:styleId="a6">
    <w:name w:val="header"/>
    <w:basedOn w:val="a"/>
    <w:link w:val="a7"/>
    <w:rsid w:val="00175295"/>
    <w:pPr>
      <w:tabs>
        <w:tab w:val="center" w:pos="4153"/>
        <w:tab w:val="right" w:pos="8306"/>
      </w:tabs>
    </w:pPr>
  </w:style>
  <w:style w:type="paragraph" w:styleId="a8">
    <w:name w:val="footer"/>
    <w:basedOn w:val="a"/>
    <w:link w:val="a9"/>
    <w:rsid w:val="00175295"/>
    <w:pPr>
      <w:tabs>
        <w:tab w:val="center" w:pos="4153"/>
        <w:tab w:val="right" w:pos="8306"/>
      </w:tabs>
    </w:pPr>
  </w:style>
  <w:style w:type="paragraph" w:customStyle="1" w:styleId="aa">
    <w:name w:val="כותרת"/>
    <w:basedOn w:val="a"/>
    <w:rsid w:val="00175295"/>
    <w:pPr>
      <w:spacing w:before="240" w:line="320" w:lineRule="atLeast"/>
      <w:jc w:val="center"/>
    </w:pPr>
    <w:rPr>
      <w:rFonts w:cs="David"/>
      <w:b/>
      <w:bCs/>
      <w:spacing w:val="20"/>
      <w:szCs w:val="32"/>
    </w:rPr>
  </w:style>
  <w:style w:type="paragraph" w:customStyle="1" w:styleId="ab">
    <w:name w:val="כותרת קטע"/>
    <w:basedOn w:val="a"/>
    <w:rsid w:val="00175295"/>
    <w:pPr>
      <w:spacing w:before="240" w:line="300" w:lineRule="atLeast"/>
    </w:pPr>
    <w:rPr>
      <w:rFonts w:cs="Arial"/>
      <w:b/>
      <w:bCs/>
      <w:szCs w:val="24"/>
    </w:rPr>
  </w:style>
  <w:style w:type="paragraph" w:customStyle="1" w:styleId="ac">
    <w:name w:val="מקור"/>
    <w:basedOn w:val="a"/>
    <w:rsid w:val="00175295"/>
    <w:pPr>
      <w:spacing w:line="320" w:lineRule="atLeast"/>
      <w:jc w:val="both"/>
    </w:pPr>
    <w:rPr>
      <w:rFonts w:cs="David"/>
      <w:szCs w:val="24"/>
    </w:rPr>
  </w:style>
  <w:style w:type="paragraph" w:customStyle="1" w:styleId="ad">
    <w:name w:val="מחלקי המים"/>
    <w:basedOn w:val="a"/>
    <w:rsid w:val="00175295"/>
    <w:pPr>
      <w:spacing w:line="320" w:lineRule="atLeast"/>
      <w:jc w:val="both"/>
    </w:pPr>
    <w:rPr>
      <w:b/>
      <w:bCs/>
      <w:szCs w:val="24"/>
    </w:rPr>
  </w:style>
  <w:style w:type="character" w:styleId="Hyperlink">
    <w:name w:val="Hyperlink"/>
    <w:rsid w:val="00175295"/>
    <w:rPr>
      <w:color w:val="0000FF"/>
      <w:u w:val="single"/>
    </w:rPr>
  </w:style>
  <w:style w:type="character" w:customStyle="1" w:styleId="a9">
    <w:name w:val="כותרת תחתונה תו"/>
    <w:link w:val="a8"/>
    <w:rsid w:val="00175295"/>
    <w:rPr>
      <w:rFonts w:cs="Narkisim"/>
      <w:sz w:val="22"/>
      <w:szCs w:val="22"/>
      <w:lang w:eastAsia="he-IL"/>
    </w:rPr>
  </w:style>
  <w:style w:type="character" w:styleId="ae">
    <w:name w:val="page number"/>
    <w:rsid w:val="00716A26"/>
  </w:style>
  <w:style w:type="character" w:customStyle="1" w:styleId="a4">
    <w:name w:val="טקסט הערת שוליים תו"/>
    <w:link w:val="a3"/>
    <w:semiHidden/>
    <w:rsid w:val="00175295"/>
    <w:rPr>
      <w:rFonts w:cs="Narkisim"/>
      <w:lang w:eastAsia="he-IL"/>
    </w:rPr>
  </w:style>
  <w:style w:type="character" w:customStyle="1" w:styleId="10">
    <w:name w:val="כותרת 1 תו"/>
    <w:link w:val="1"/>
    <w:rsid w:val="00175295"/>
    <w:rPr>
      <w:rFonts w:cs="David"/>
      <w:b/>
      <w:bCs/>
      <w:sz w:val="22"/>
      <w:szCs w:val="28"/>
      <w:lang w:eastAsia="he-IL"/>
    </w:rPr>
  </w:style>
  <w:style w:type="character" w:customStyle="1" w:styleId="a7">
    <w:name w:val="כותרת עליונה תו"/>
    <w:link w:val="a6"/>
    <w:rsid w:val="00175295"/>
    <w:rPr>
      <w:rFonts w:cs="Narkisim"/>
      <w:sz w:val="22"/>
      <w:szCs w:val="22"/>
      <w:lang w:eastAsia="he-IL"/>
    </w:rPr>
  </w:style>
  <w:style w:type="paragraph" w:styleId="af">
    <w:name w:val="Balloon Text"/>
    <w:basedOn w:val="a"/>
    <w:link w:val="af0"/>
    <w:uiPriority w:val="99"/>
    <w:unhideWhenUsed/>
    <w:rsid w:val="00175295"/>
    <w:rPr>
      <w:rFonts w:ascii="Tahoma" w:hAnsi="Tahoma" w:cs="Tahoma"/>
      <w:sz w:val="16"/>
      <w:szCs w:val="16"/>
    </w:rPr>
  </w:style>
  <w:style w:type="character" w:customStyle="1" w:styleId="af0">
    <w:name w:val="טקסט בלונים תו"/>
    <w:link w:val="af"/>
    <w:uiPriority w:val="99"/>
    <w:rsid w:val="00175295"/>
    <w:rPr>
      <w:rFonts w:ascii="Tahoma" w:hAnsi="Tahoma" w:cs="Tahoma"/>
      <w:sz w:val="16"/>
      <w:szCs w:val="16"/>
      <w:lang w:eastAsia="he-IL"/>
    </w:rPr>
  </w:style>
  <w:style w:type="character" w:styleId="FollowedHyperlink">
    <w:name w:val="FollowedHyperlink"/>
    <w:rsid w:val="003A4AAA"/>
    <w:rPr>
      <w:color w:val="800080"/>
      <w:u w:val="single"/>
    </w:rPr>
  </w:style>
  <w:style w:type="paragraph" w:customStyle="1" w:styleId="af1">
    <w:name w:val="פסוק"/>
    <w:basedOn w:val="ac"/>
    <w:qFormat/>
    <w:rsid w:val="00175295"/>
    <w:pPr>
      <w:spacing w:before="120"/>
    </w:pPr>
    <w:rPr>
      <w:b/>
      <w:bCs/>
    </w:rPr>
  </w:style>
  <w:style w:type="character" w:styleId="af2">
    <w:name w:val="Unresolved Mention"/>
    <w:uiPriority w:val="99"/>
    <w:semiHidden/>
    <w:unhideWhenUsed/>
    <w:rsid w:val="0097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0%D7%92%D7%93%D7%94-%D7%A1%D7%95%D7%AA%D7%A8%D7%AA-%D7%94%D7%9C%D7%9B%D7%94" TargetMode="External"/><Relationship Id="rId2" Type="http://schemas.openxmlformats.org/officeDocument/2006/relationships/hyperlink" Target="https://www.mayim.org.il/?parasha-event=%d7%95%d7%99%d7%a8%d7%90" TargetMode="External"/><Relationship Id="rId1" Type="http://schemas.openxmlformats.org/officeDocument/2006/relationships/hyperlink" Target="https://www.mayim.org.il/?parasha=%D7%9E%D7%9C%D7%9A-%D7%91%D7%9E%D7%A9%D7%A4%D7%98-%D7%99%D7%A2%D7%9E%D7%99%D7%93-%D7%90%D7%A8%D7%A5" TargetMode="External"/><Relationship Id="rId5" Type="http://schemas.openxmlformats.org/officeDocument/2006/relationships/hyperlink" Target="https://www.mayim.org.il/?holiday=%d7%9e%d7%9c%d7%a4%d7%a0%d7%99%d7%9a-%d7%9e%d7%a9%d7%a4%d7%98%d7%a0%d7%95-%d7%99%d6%b5%d7%a6%d6%b5%d7%90" TargetMode="External"/><Relationship Id="rId4" Type="http://schemas.openxmlformats.org/officeDocument/2006/relationships/hyperlink" Target="https://www.mayim.org.il/?meyuhadim=%D7%90%D7%9C%D7%9E%D7%9C%D7%90-%D7%9E%D7%A7%D7%A8%D7%90-%D7%9B%D7%AA%D7%95%D7%91-%D7%90%D7%99-%D7%90%D7%A4%D7%A9%D7%A8-%D7%9C%D7%90%D7%95%D7%9E%D7%A8%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2669B-3339-4C6C-9100-7E2527A8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912</Words>
  <Characters>3708</Characters>
  <Application>Microsoft Office Word</Application>
  <DocSecurity>0</DocSecurity>
  <Lines>30</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מלך לא דן ולא דנים אותו</vt:lpstr>
      <vt:lpstr>מלך לא דן ולא דנים אותו</vt:lpstr>
    </vt:vector>
  </TitlesOfParts>
  <Company>Microsoft</Company>
  <LinksUpToDate>false</LinksUpToDate>
  <CharactersWithSpaces>4611</CharactersWithSpaces>
  <SharedDoc>false</SharedDoc>
  <HLinks>
    <vt:vector size="36" baseType="variant">
      <vt:variant>
        <vt:i4>6946917</vt:i4>
      </vt:variant>
      <vt:variant>
        <vt:i4>15</vt:i4>
      </vt:variant>
      <vt:variant>
        <vt:i4>0</vt:i4>
      </vt:variant>
      <vt:variant>
        <vt:i4>5</vt:i4>
      </vt:variant>
      <vt:variant>
        <vt:lpwstr>https://www.mayim.org.il/?holiday=%d7%9e%d7%9c%d7%a4%d7%a0%d7%99%d7%9a-%d7%9e%d7%a9%d7%a4%d7%98%d7%a0%d7%95-%d7%99%d6%b5%d7%a6%d6%b5%d7%90</vt:lpwstr>
      </vt:variant>
      <vt:variant>
        <vt:lpwstr/>
      </vt:variant>
      <vt:variant>
        <vt:i4>3866750</vt:i4>
      </vt:variant>
      <vt:variant>
        <vt:i4>12</vt:i4>
      </vt:variant>
      <vt:variant>
        <vt:i4>0</vt:i4>
      </vt:variant>
      <vt:variant>
        <vt:i4>5</vt:i4>
      </vt:variant>
      <vt:variant>
        <vt:lpwstr>https://www.mayim.org.il/?meyuhadim=%D7%90%D7%9C%D7%9E%D7%9C%D7%90-%D7%9E%D7%A7%D7%A8%D7%90-%D7%9B%D7%AA%D7%95%D7%91-%D7%90%D7%99-%D7%90%D7%A4%D7%A9%D7%A8-%D7%9C%D7%90%D7%95%D7%9E%D7%A8%D7%95</vt:lpwstr>
      </vt:variant>
      <vt:variant>
        <vt:lpwstr>gsc.tab=0</vt:lpwstr>
      </vt:variant>
      <vt:variant>
        <vt:i4>4653120</vt:i4>
      </vt:variant>
      <vt:variant>
        <vt:i4>9</vt:i4>
      </vt:variant>
      <vt:variant>
        <vt:i4>0</vt:i4>
      </vt:variant>
      <vt:variant>
        <vt:i4>5</vt:i4>
      </vt:variant>
      <vt:variant>
        <vt:lpwstr>https://www.mayim.org.il/?meyuhadim=%D7%90%D7%92%D7%93%D7%94-%D7%A1%D7%95%D7%AA%D7%A8%D7%AA-%D7%94%D7%9C%D7%9B%D7%94</vt:lpwstr>
      </vt:variant>
      <vt:variant>
        <vt:lpwstr>gsc.tab=0</vt:lpwstr>
      </vt:variant>
      <vt:variant>
        <vt:i4>655440</vt:i4>
      </vt:variant>
      <vt:variant>
        <vt:i4>6</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262233</vt:i4>
      </vt:variant>
      <vt:variant>
        <vt:i4>3</vt:i4>
      </vt:variant>
      <vt:variant>
        <vt:i4>0</vt:i4>
      </vt:variant>
      <vt:variant>
        <vt:i4>5</vt:i4>
      </vt:variant>
      <vt:variant>
        <vt:lpwstr>https://www.mayim.org.il/?parasha-event=%d7%95%d7%99%d7%a8%d7%90</vt:lpwstr>
      </vt:variant>
      <vt:variant>
        <vt:lpwstr>gsc.tab=0</vt:lpwstr>
      </vt:variant>
      <vt:variant>
        <vt:i4>1769540</vt:i4>
      </vt:variant>
      <vt:variant>
        <vt:i4>0</vt:i4>
      </vt:variant>
      <vt:variant>
        <vt:i4>0</vt:i4>
      </vt:variant>
      <vt:variant>
        <vt:i4>5</vt:i4>
      </vt:variant>
      <vt:variant>
        <vt:lpwstr>https://www.mayim.org.il/?parasha=%D7%9E%D7%9C%D7%9A-%D7%91%D7%9E%D7%A9%D7%A4%D7%98-%D7%99%D7%A2%D7%9E%D7%99%D7%93-%D7%90%D7%A8%D7%A5</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מלך לא דן ולא דנים אותו</dc:title>
  <dc:subject>שופטים</dc:subject>
  <dc:creator>Asher Yuval</dc:creator>
  <cp:keywords/>
  <cp:lastModifiedBy>Shimon Afek</cp:lastModifiedBy>
  <cp:revision>3</cp:revision>
  <cp:lastPrinted>2023-03-27T13:43:00Z</cp:lastPrinted>
  <dcterms:created xsi:type="dcterms:W3CDTF">2023-03-27T13:43:00Z</dcterms:created>
  <dcterms:modified xsi:type="dcterms:W3CDTF">2023-03-27T13:43:00Z</dcterms:modified>
</cp:coreProperties>
</file>