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39529" w14:textId="77777777" w:rsidR="00360A49" w:rsidRDefault="0023254A">
      <w:pPr>
        <w:pStyle w:val="aa"/>
        <w:rPr>
          <w:rFonts w:hint="cs"/>
          <w:rtl/>
        </w:rPr>
      </w:pPr>
      <w:r>
        <w:rPr>
          <w:rFonts w:hint="cs"/>
          <w:rtl/>
        </w:rPr>
        <w:t>כתיבת ספרי אגדה</w:t>
      </w:r>
    </w:p>
    <w:p w14:paraId="004E352B" w14:textId="77777777" w:rsidR="004A4F42" w:rsidRPr="00A45683" w:rsidRDefault="004E40BB" w:rsidP="00215BA4">
      <w:pPr>
        <w:pStyle w:val="ac"/>
        <w:spacing w:before="240"/>
        <w:rPr>
          <w:rFonts w:cs="Narkisim"/>
          <w:szCs w:val="22"/>
          <w:rtl/>
        </w:rPr>
      </w:pPr>
      <w:r w:rsidRPr="004F14E9">
        <w:rPr>
          <w:rFonts w:cs="Narkisim" w:hint="cs"/>
          <w:b/>
          <w:bCs/>
          <w:szCs w:val="22"/>
          <w:rtl/>
        </w:rPr>
        <w:t>מים ראשונים:</w:t>
      </w:r>
      <w:r w:rsidR="0023254A">
        <w:rPr>
          <w:rFonts w:cs="Narkisim" w:hint="cs"/>
          <w:b/>
          <w:bCs/>
          <w:szCs w:val="22"/>
          <w:rtl/>
        </w:rPr>
        <w:t xml:space="preserve"> </w:t>
      </w:r>
      <w:r w:rsidR="0023254A" w:rsidRPr="00411527">
        <w:rPr>
          <w:rFonts w:cs="Narkisim" w:hint="cs"/>
          <w:szCs w:val="22"/>
          <w:rtl/>
        </w:rPr>
        <w:t>ידוע האיסור לכתוב תורה שבע</w:t>
      </w:r>
      <w:r w:rsidR="00411527" w:rsidRPr="00411527">
        <w:rPr>
          <w:rFonts w:cs="Narkisim" w:hint="cs"/>
          <w:szCs w:val="22"/>
          <w:rtl/>
        </w:rPr>
        <w:t>"פ</w:t>
      </w:r>
      <w:r w:rsidR="0023254A" w:rsidRPr="00411527">
        <w:rPr>
          <w:rFonts w:cs="Narkisim" w:hint="cs"/>
          <w:szCs w:val="22"/>
          <w:rtl/>
        </w:rPr>
        <w:t xml:space="preserve"> </w:t>
      </w:r>
      <w:r w:rsidR="00215BA4">
        <w:rPr>
          <w:rFonts w:cs="Narkisim" w:hint="cs"/>
          <w:szCs w:val="22"/>
          <w:rtl/>
        </w:rPr>
        <w:t xml:space="preserve">וההפרדה הברורה בין תורה שבכתב ותורה שבע"פ. וכמאמר הגמרא </w:t>
      </w:r>
      <w:proofErr w:type="spellStart"/>
      <w:r w:rsidR="00215BA4">
        <w:rPr>
          <w:rFonts w:cs="Narkisim" w:hint="cs"/>
          <w:szCs w:val="22"/>
          <w:rtl/>
        </w:rPr>
        <w:t>בגיטין</w:t>
      </w:r>
      <w:proofErr w:type="spellEnd"/>
      <w:r w:rsidR="00215BA4">
        <w:rPr>
          <w:rFonts w:cs="Narkisim" w:hint="cs"/>
          <w:szCs w:val="22"/>
          <w:rtl/>
        </w:rPr>
        <w:t xml:space="preserve"> ס ע"ב: "</w:t>
      </w:r>
      <w:r w:rsidR="00215BA4" w:rsidRPr="00215BA4">
        <w:rPr>
          <w:rFonts w:cs="Narkisim"/>
          <w:szCs w:val="22"/>
          <w:rtl/>
        </w:rPr>
        <w:t>דברים שבכתב אי אתה רשאי לאומרן על פה, דברים שבעל פה אי אתה רשאי לאומרן בכתב</w:t>
      </w:r>
      <w:r w:rsidR="00215BA4">
        <w:rPr>
          <w:rFonts w:cs="Narkisim" w:hint="cs"/>
          <w:szCs w:val="22"/>
          <w:rtl/>
        </w:rPr>
        <w:t>"</w:t>
      </w:r>
      <w:r w:rsidR="00215BA4" w:rsidRPr="00215BA4">
        <w:rPr>
          <w:rFonts w:cs="Narkisim"/>
          <w:szCs w:val="22"/>
          <w:rtl/>
        </w:rPr>
        <w:t>.</w:t>
      </w:r>
      <w:r w:rsidR="00215BA4">
        <w:rPr>
          <w:rStyle w:val="a5"/>
          <w:rFonts w:cs="Narkisim"/>
          <w:szCs w:val="22"/>
          <w:rtl/>
        </w:rPr>
        <w:footnoteReference w:id="1"/>
      </w:r>
      <w:r w:rsidR="00215BA4" w:rsidRPr="00215BA4">
        <w:rPr>
          <w:rFonts w:cs="Narkisim"/>
          <w:szCs w:val="22"/>
          <w:rtl/>
        </w:rPr>
        <w:t xml:space="preserve"> </w:t>
      </w:r>
      <w:r w:rsidR="0023254A" w:rsidRPr="00411527">
        <w:rPr>
          <w:rFonts w:cs="Narkisim" w:hint="cs"/>
          <w:szCs w:val="22"/>
          <w:rtl/>
        </w:rPr>
        <w:t>האם איסור זה כולל גם דברי אגדה או שמא רק הלכה?</w:t>
      </w:r>
      <w:r w:rsidRPr="00411527">
        <w:rPr>
          <w:rFonts w:cs="Narkisim" w:hint="cs"/>
          <w:szCs w:val="22"/>
          <w:rtl/>
        </w:rPr>
        <w:t xml:space="preserve"> </w:t>
      </w:r>
      <w:r w:rsidR="00A45683" w:rsidRPr="00A45683">
        <w:rPr>
          <w:rFonts w:cs="Narkisim" w:hint="cs"/>
          <w:szCs w:val="22"/>
          <w:rtl/>
        </w:rPr>
        <w:t>מה היא "אגדה"</w:t>
      </w:r>
      <w:r w:rsidR="00A45683">
        <w:rPr>
          <w:rFonts w:cs="Narkisim" w:hint="cs"/>
          <w:szCs w:val="22"/>
          <w:rtl/>
        </w:rPr>
        <w:t xml:space="preserve"> (</w:t>
      </w:r>
      <w:r w:rsidR="00A45683" w:rsidRPr="00A45683">
        <w:rPr>
          <w:rFonts w:cs="Narkisim" w:hint="cs"/>
          <w:szCs w:val="22"/>
          <w:rtl/>
        </w:rPr>
        <w:t>"</w:t>
      </w:r>
      <w:proofErr w:type="spellStart"/>
      <w:r w:rsidR="00A45683" w:rsidRPr="00A45683">
        <w:rPr>
          <w:rFonts w:cs="Narkisim" w:hint="cs"/>
          <w:szCs w:val="22"/>
          <w:rtl/>
        </w:rPr>
        <w:t>אגדתא</w:t>
      </w:r>
      <w:proofErr w:type="spellEnd"/>
      <w:r w:rsidR="00A45683">
        <w:rPr>
          <w:rFonts w:cs="Narkisim" w:hint="cs"/>
          <w:szCs w:val="22"/>
          <w:rtl/>
        </w:rPr>
        <w:t>") בהקשר זה?</w:t>
      </w:r>
    </w:p>
    <w:p w14:paraId="535A5C0E" w14:textId="77777777" w:rsidR="00445DFE" w:rsidRDefault="00445DFE" w:rsidP="00445DFE">
      <w:pPr>
        <w:pStyle w:val="ab"/>
        <w:rPr>
          <w:rtl/>
        </w:rPr>
      </w:pPr>
      <w:r>
        <w:rPr>
          <w:rtl/>
        </w:rPr>
        <w:t xml:space="preserve">ירושלמי שבת פרק </w:t>
      </w:r>
      <w:proofErr w:type="spellStart"/>
      <w:r>
        <w:rPr>
          <w:rtl/>
        </w:rPr>
        <w:t>טז</w:t>
      </w:r>
      <w:proofErr w:type="spellEnd"/>
      <w:r>
        <w:rPr>
          <w:rtl/>
        </w:rPr>
        <w:t xml:space="preserve"> הלכה א</w:t>
      </w:r>
      <w:r>
        <w:rPr>
          <w:rFonts w:hint="cs"/>
          <w:rtl/>
        </w:rPr>
        <w:t xml:space="preserve"> </w:t>
      </w:r>
      <w:r>
        <w:rPr>
          <w:rFonts w:cs="David"/>
          <w:rtl/>
        </w:rPr>
        <w:t>–</w:t>
      </w:r>
      <w:r>
        <w:rPr>
          <w:rFonts w:hint="cs"/>
          <w:rtl/>
        </w:rPr>
        <w:t xml:space="preserve"> אסור לכתוב אגדה, אבל פעם אחת ...</w:t>
      </w:r>
    </w:p>
    <w:p w14:paraId="4C8A7016" w14:textId="77777777" w:rsidR="00445DFE" w:rsidRDefault="00445DFE" w:rsidP="00445DFE">
      <w:pPr>
        <w:pStyle w:val="ac"/>
        <w:rPr>
          <w:rtl/>
          <w:lang w:val="he-IL"/>
        </w:rPr>
      </w:pPr>
      <w:proofErr w:type="spellStart"/>
      <w:r>
        <w:rPr>
          <w:rtl/>
        </w:rPr>
        <w:t>א"ר</w:t>
      </w:r>
      <w:proofErr w:type="spellEnd"/>
      <w:r>
        <w:rPr>
          <w:rtl/>
        </w:rPr>
        <w:t xml:space="preserve"> יהושע בן לוי</w:t>
      </w:r>
      <w:r>
        <w:rPr>
          <w:rFonts w:hint="cs"/>
          <w:rtl/>
        </w:rPr>
        <w:t>:</w:t>
      </w:r>
      <w:r>
        <w:rPr>
          <w:rtl/>
        </w:rPr>
        <w:t xml:space="preserve"> </w:t>
      </w:r>
      <w:proofErr w:type="spellStart"/>
      <w:r>
        <w:rPr>
          <w:rtl/>
        </w:rPr>
        <w:t>הדא</w:t>
      </w:r>
      <w:proofErr w:type="spellEnd"/>
      <w:r>
        <w:rPr>
          <w:rtl/>
        </w:rPr>
        <w:t xml:space="preserve"> </w:t>
      </w:r>
      <w:proofErr w:type="spellStart"/>
      <w:r>
        <w:rPr>
          <w:rtl/>
        </w:rPr>
        <w:t>אגדתא</w:t>
      </w:r>
      <w:proofErr w:type="spellEnd"/>
      <w:r>
        <w:rPr>
          <w:rtl/>
        </w:rPr>
        <w:t xml:space="preserve"> הכותבה אין לו חלק. ה</w:t>
      </w:r>
      <w:r>
        <w:rPr>
          <w:rFonts w:hint="cs"/>
          <w:rtl/>
        </w:rPr>
        <w:t>ד</w:t>
      </w:r>
      <w:r>
        <w:rPr>
          <w:rtl/>
        </w:rPr>
        <w:t>ורשה מת</w:t>
      </w:r>
      <w:r>
        <w:rPr>
          <w:rFonts w:hint="cs"/>
          <w:rtl/>
        </w:rPr>
        <w:t>ב</w:t>
      </w:r>
      <w:r>
        <w:rPr>
          <w:rtl/>
        </w:rPr>
        <w:t>רך</w:t>
      </w:r>
      <w:r>
        <w:rPr>
          <w:rStyle w:val="a5"/>
          <w:rtl/>
        </w:rPr>
        <w:footnoteReference w:id="2"/>
      </w:r>
      <w:r>
        <w:rPr>
          <w:rtl/>
        </w:rPr>
        <w:t xml:space="preserve"> השומעה אינו מקבל שכר. </w:t>
      </w:r>
      <w:proofErr w:type="spellStart"/>
      <w:r>
        <w:rPr>
          <w:rtl/>
        </w:rPr>
        <w:t>א"ר</w:t>
      </w:r>
      <w:proofErr w:type="spellEnd"/>
      <w:r>
        <w:rPr>
          <w:rtl/>
        </w:rPr>
        <w:t xml:space="preserve"> יהושע בן לוי</w:t>
      </w:r>
      <w:r>
        <w:rPr>
          <w:rFonts w:hint="cs"/>
          <w:rtl/>
        </w:rPr>
        <w:t>:</w:t>
      </w:r>
      <w:r>
        <w:rPr>
          <w:rtl/>
        </w:rPr>
        <w:t xml:space="preserve"> אנא מן </w:t>
      </w:r>
      <w:proofErr w:type="spellStart"/>
      <w:r>
        <w:rPr>
          <w:rtl/>
        </w:rPr>
        <w:t>יומוי</w:t>
      </w:r>
      <w:proofErr w:type="spellEnd"/>
      <w:r>
        <w:rPr>
          <w:rtl/>
        </w:rPr>
        <w:t xml:space="preserve"> לא </w:t>
      </w:r>
      <w:proofErr w:type="spellStart"/>
      <w:r>
        <w:rPr>
          <w:rtl/>
        </w:rPr>
        <w:t>איסתכלית</w:t>
      </w:r>
      <w:proofErr w:type="spellEnd"/>
      <w:r>
        <w:rPr>
          <w:rtl/>
        </w:rPr>
        <w:t xml:space="preserve"> בספרא </w:t>
      </w:r>
      <w:proofErr w:type="spellStart"/>
      <w:r>
        <w:rPr>
          <w:rtl/>
        </w:rPr>
        <w:t>דאגדתא</w:t>
      </w:r>
      <w:proofErr w:type="spellEnd"/>
      <w:r>
        <w:rPr>
          <w:rFonts w:hint="cs"/>
          <w:rtl/>
        </w:rPr>
        <w:t>.</w:t>
      </w:r>
      <w:r>
        <w:rPr>
          <w:rtl/>
        </w:rPr>
        <w:t xml:space="preserve"> אלא חד זמן </w:t>
      </w:r>
      <w:proofErr w:type="spellStart"/>
      <w:r>
        <w:rPr>
          <w:rtl/>
        </w:rPr>
        <w:t>איסתכלית</w:t>
      </w:r>
      <w:proofErr w:type="spellEnd"/>
      <w:r>
        <w:rPr>
          <w:rtl/>
        </w:rPr>
        <w:t xml:space="preserve"> </w:t>
      </w:r>
      <w:proofErr w:type="spellStart"/>
      <w:r>
        <w:rPr>
          <w:rtl/>
        </w:rPr>
        <w:t>אשכחית</w:t>
      </w:r>
      <w:proofErr w:type="spellEnd"/>
      <w:r>
        <w:rPr>
          <w:rtl/>
        </w:rPr>
        <w:t xml:space="preserve"> כתוב בה</w:t>
      </w:r>
      <w:r>
        <w:rPr>
          <w:rFonts w:hint="cs"/>
          <w:rtl/>
        </w:rPr>
        <w:t>:</w:t>
      </w:r>
      <w:r>
        <w:rPr>
          <w:rtl/>
        </w:rPr>
        <w:t xml:space="preserve"> מאה ושבעים וחמש פרשיות שכתוב בתורה</w:t>
      </w:r>
      <w:r>
        <w:rPr>
          <w:rFonts w:hint="cs"/>
          <w:rtl/>
        </w:rPr>
        <w:t>:</w:t>
      </w:r>
      <w:r>
        <w:rPr>
          <w:rtl/>
        </w:rPr>
        <w:t xml:space="preserve"> דבר</w:t>
      </w:r>
      <w:r>
        <w:rPr>
          <w:rFonts w:hint="cs"/>
          <w:rtl/>
        </w:rPr>
        <w:t>,</w:t>
      </w:r>
      <w:r>
        <w:rPr>
          <w:rtl/>
        </w:rPr>
        <w:t xml:space="preserve"> אמירה</w:t>
      </w:r>
      <w:r>
        <w:rPr>
          <w:rFonts w:hint="cs"/>
          <w:rtl/>
        </w:rPr>
        <w:t>,</w:t>
      </w:r>
      <w:r>
        <w:rPr>
          <w:rtl/>
        </w:rPr>
        <w:t xml:space="preserve"> ציווי </w:t>
      </w:r>
      <w:r>
        <w:rPr>
          <w:rFonts w:hint="cs"/>
          <w:rtl/>
        </w:rPr>
        <w:t xml:space="preserve">- </w:t>
      </w:r>
      <w:r>
        <w:rPr>
          <w:rtl/>
        </w:rPr>
        <w:t xml:space="preserve">כנגד שנותיו של אבינו אברהם </w:t>
      </w:r>
      <w:proofErr w:type="spellStart"/>
      <w:r>
        <w:rPr>
          <w:rtl/>
        </w:rPr>
        <w:t>דכתיב</w:t>
      </w:r>
      <w:proofErr w:type="spellEnd"/>
      <w:r>
        <w:rPr>
          <w:rtl/>
        </w:rPr>
        <w:t xml:space="preserve"> [תהילים סח </w:t>
      </w:r>
      <w:proofErr w:type="spellStart"/>
      <w:r>
        <w:rPr>
          <w:rtl/>
        </w:rPr>
        <w:t>יט</w:t>
      </w:r>
      <w:proofErr w:type="spellEnd"/>
      <w:r>
        <w:rPr>
          <w:rtl/>
        </w:rPr>
        <w:t>]</w:t>
      </w:r>
      <w:r>
        <w:rPr>
          <w:rFonts w:hint="cs"/>
          <w:rtl/>
        </w:rPr>
        <w:t>:</w:t>
      </w:r>
      <w:r>
        <w:rPr>
          <w:rtl/>
        </w:rPr>
        <w:t xml:space="preserve"> </w:t>
      </w:r>
      <w:r>
        <w:rPr>
          <w:rFonts w:hint="cs"/>
          <w:rtl/>
        </w:rPr>
        <w:t>"</w:t>
      </w:r>
      <w:r>
        <w:rPr>
          <w:rtl/>
        </w:rPr>
        <w:t>לָקַחְתָּ מַתָּנוֹת בָּאָדָם</w:t>
      </w:r>
      <w:r>
        <w:rPr>
          <w:rFonts w:hint="cs"/>
          <w:rtl/>
        </w:rPr>
        <w:t>"</w:t>
      </w:r>
      <w:r>
        <w:rPr>
          <w:rtl/>
        </w:rPr>
        <w:t>. וכתיב [יהושע יד טו]</w:t>
      </w:r>
      <w:r>
        <w:rPr>
          <w:rFonts w:hint="cs"/>
          <w:rtl/>
        </w:rPr>
        <w:t>: "</w:t>
      </w:r>
      <w:r>
        <w:rPr>
          <w:rtl/>
        </w:rPr>
        <w:t>האדם הגדול בענקים</w:t>
      </w:r>
      <w:r>
        <w:rPr>
          <w:rFonts w:hint="cs"/>
          <w:rtl/>
        </w:rPr>
        <w:t xml:space="preserve">" </w:t>
      </w:r>
      <w:r>
        <w:rPr>
          <w:rtl/>
        </w:rPr>
        <w:t>.</w:t>
      </w:r>
      <w:r w:rsidRPr="00A87308">
        <w:rPr>
          <w:rtl/>
          <w:lang w:val="he-IL"/>
        </w:rPr>
        <w:t>.</w:t>
      </w:r>
      <w:r>
        <w:rPr>
          <w:rFonts w:hint="cs"/>
          <w:rtl/>
          <w:lang w:val="he-IL"/>
        </w:rPr>
        <w:t>.</w:t>
      </w:r>
      <w:r>
        <w:rPr>
          <w:rStyle w:val="a5"/>
          <w:rtl/>
          <w:lang w:val="he-IL"/>
        </w:rPr>
        <w:footnoteReference w:id="3"/>
      </w:r>
      <w:r w:rsidRPr="00A87308">
        <w:rPr>
          <w:rtl/>
          <w:lang w:val="he-IL"/>
        </w:rPr>
        <w:t xml:space="preserve"> </w:t>
      </w:r>
    </w:p>
    <w:p w14:paraId="75FACC8A" w14:textId="77777777" w:rsidR="00445DFE" w:rsidRDefault="00445DFE" w:rsidP="00445DFE">
      <w:pPr>
        <w:pStyle w:val="ac"/>
        <w:rPr>
          <w:rtl/>
          <w:lang w:val="he-IL"/>
        </w:rPr>
      </w:pPr>
      <w:r w:rsidRPr="00A87308">
        <w:rPr>
          <w:rtl/>
          <w:lang w:val="he-IL"/>
        </w:rPr>
        <w:t>אפי</w:t>
      </w:r>
      <w:r>
        <w:rPr>
          <w:rFonts w:hint="cs"/>
          <w:rtl/>
          <w:lang w:val="he-IL"/>
        </w:rPr>
        <w:t>לו</w:t>
      </w:r>
      <w:r w:rsidRPr="00A87308">
        <w:rPr>
          <w:rtl/>
          <w:lang w:val="he-IL"/>
        </w:rPr>
        <w:t xml:space="preserve"> כן אנא </w:t>
      </w:r>
      <w:proofErr w:type="spellStart"/>
      <w:r w:rsidRPr="00A87308">
        <w:rPr>
          <w:rtl/>
          <w:lang w:val="he-IL"/>
        </w:rPr>
        <w:t>מתבעי</w:t>
      </w:r>
      <w:proofErr w:type="spellEnd"/>
      <w:r w:rsidRPr="00A87308">
        <w:rPr>
          <w:rtl/>
          <w:lang w:val="he-IL"/>
        </w:rPr>
        <w:t xml:space="preserve"> </w:t>
      </w:r>
      <w:proofErr w:type="spellStart"/>
      <w:r w:rsidRPr="00A87308">
        <w:rPr>
          <w:rtl/>
          <w:lang w:val="he-IL"/>
        </w:rPr>
        <w:t>בליליא</w:t>
      </w:r>
      <w:proofErr w:type="spellEnd"/>
      <w:r w:rsidRPr="00A87308">
        <w:rPr>
          <w:rtl/>
          <w:lang w:val="he-IL"/>
        </w:rPr>
        <w:t>.</w:t>
      </w:r>
      <w:r>
        <w:rPr>
          <w:rStyle w:val="a5"/>
          <w:rtl/>
          <w:lang w:val="he-IL"/>
        </w:rPr>
        <w:footnoteReference w:id="4"/>
      </w:r>
      <w:r>
        <w:rPr>
          <w:rFonts w:hint="cs"/>
          <w:rtl/>
          <w:lang w:val="he-IL"/>
        </w:rPr>
        <w:t xml:space="preserve"> </w:t>
      </w:r>
      <w:r w:rsidRPr="00A87308">
        <w:rPr>
          <w:rtl/>
          <w:lang w:val="he-IL"/>
        </w:rPr>
        <w:t xml:space="preserve">ר' </w:t>
      </w:r>
      <w:proofErr w:type="spellStart"/>
      <w:r w:rsidRPr="00A87308">
        <w:rPr>
          <w:rtl/>
          <w:lang w:val="he-IL"/>
        </w:rPr>
        <w:t>חייא</w:t>
      </w:r>
      <w:proofErr w:type="spellEnd"/>
      <w:r w:rsidRPr="00A87308">
        <w:rPr>
          <w:rtl/>
          <w:lang w:val="he-IL"/>
        </w:rPr>
        <w:t xml:space="preserve"> בר בא </w:t>
      </w:r>
      <w:proofErr w:type="spellStart"/>
      <w:r w:rsidRPr="00A87308">
        <w:rPr>
          <w:rtl/>
          <w:lang w:val="he-IL"/>
        </w:rPr>
        <w:t>חמא</w:t>
      </w:r>
      <w:proofErr w:type="spellEnd"/>
      <w:r>
        <w:rPr>
          <w:rFonts w:hint="cs"/>
          <w:rtl/>
          <w:lang w:val="he-IL"/>
        </w:rPr>
        <w:t xml:space="preserve"> (ראה)</w:t>
      </w:r>
      <w:r w:rsidRPr="00A87308">
        <w:rPr>
          <w:rtl/>
          <w:lang w:val="he-IL"/>
        </w:rPr>
        <w:t xml:space="preserve"> חד ספר </w:t>
      </w:r>
      <w:proofErr w:type="spellStart"/>
      <w:r w:rsidRPr="00A87308">
        <w:rPr>
          <w:rtl/>
          <w:lang w:val="he-IL"/>
        </w:rPr>
        <w:t>דאגדה</w:t>
      </w:r>
      <w:proofErr w:type="spellEnd"/>
      <w:r>
        <w:rPr>
          <w:rFonts w:hint="cs"/>
          <w:rtl/>
          <w:lang w:val="he-IL"/>
        </w:rPr>
        <w:t>,</w:t>
      </w:r>
      <w:r w:rsidRPr="00A87308">
        <w:rPr>
          <w:rtl/>
          <w:lang w:val="he-IL"/>
        </w:rPr>
        <w:t xml:space="preserve"> אמר</w:t>
      </w:r>
      <w:r>
        <w:rPr>
          <w:rFonts w:hint="cs"/>
          <w:rtl/>
          <w:lang w:val="he-IL"/>
        </w:rPr>
        <w:t>:</w:t>
      </w:r>
      <w:r w:rsidRPr="00A87308">
        <w:rPr>
          <w:rtl/>
          <w:lang w:val="he-IL"/>
        </w:rPr>
        <w:t xml:space="preserve"> אי מה כתיב </w:t>
      </w:r>
      <w:proofErr w:type="spellStart"/>
      <w:r w:rsidRPr="00A87308">
        <w:rPr>
          <w:rtl/>
          <w:lang w:val="he-IL"/>
        </w:rPr>
        <w:t>ט</w:t>
      </w:r>
      <w:r>
        <w:rPr>
          <w:rtl/>
          <w:lang w:val="he-IL"/>
        </w:rPr>
        <w:t>ְ</w:t>
      </w:r>
      <w:r w:rsidRPr="00A87308">
        <w:rPr>
          <w:rtl/>
          <w:lang w:val="he-IL"/>
        </w:rPr>
        <w:t>באו</w:t>
      </w:r>
      <w:r>
        <w:rPr>
          <w:rtl/>
          <w:lang w:val="he-IL"/>
        </w:rPr>
        <w:t>ֹ</w:t>
      </w:r>
      <w:r w:rsidRPr="00A87308">
        <w:rPr>
          <w:rtl/>
          <w:lang w:val="he-IL"/>
        </w:rPr>
        <w:t>ת</w:t>
      </w:r>
      <w:proofErr w:type="spellEnd"/>
      <w:r>
        <w:rPr>
          <w:rFonts w:hint="cs"/>
          <w:rtl/>
          <w:lang w:val="he-IL"/>
        </w:rPr>
        <w:t>,</w:t>
      </w:r>
      <w:r w:rsidRPr="00A87308">
        <w:rPr>
          <w:rtl/>
          <w:lang w:val="he-IL"/>
        </w:rPr>
        <w:t xml:space="preserve"> תקטע ידה </w:t>
      </w:r>
      <w:proofErr w:type="spellStart"/>
      <w:r w:rsidRPr="00A87308">
        <w:rPr>
          <w:rtl/>
          <w:lang w:val="he-IL"/>
        </w:rPr>
        <w:t>דכתבתה</w:t>
      </w:r>
      <w:proofErr w:type="spellEnd"/>
      <w:r w:rsidRPr="00A87308">
        <w:rPr>
          <w:rtl/>
          <w:lang w:val="he-IL"/>
        </w:rPr>
        <w:t>.</w:t>
      </w:r>
      <w:r>
        <w:rPr>
          <w:rStyle w:val="a5"/>
          <w:rtl/>
          <w:lang w:val="he-IL"/>
        </w:rPr>
        <w:footnoteReference w:id="5"/>
      </w:r>
      <w:r w:rsidRPr="00A87308">
        <w:rPr>
          <w:rtl/>
          <w:lang w:val="he-IL"/>
        </w:rPr>
        <w:t xml:space="preserve"> אמר ליה חד</w:t>
      </w:r>
      <w:r>
        <w:rPr>
          <w:rFonts w:hint="cs"/>
          <w:rtl/>
          <w:lang w:val="he-IL"/>
        </w:rPr>
        <w:t>:</w:t>
      </w:r>
      <w:r w:rsidRPr="00A87308">
        <w:rPr>
          <w:rtl/>
          <w:lang w:val="he-IL"/>
        </w:rPr>
        <w:t xml:space="preserve"> אבוי </w:t>
      </w:r>
      <w:proofErr w:type="spellStart"/>
      <w:r w:rsidRPr="00A87308">
        <w:rPr>
          <w:rtl/>
          <w:lang w:val="he-IL"/>
        </w:rPr>
        <w:t>דההוא</w:t>
      </w:r>
      <w:proofErr w:type="spellEnd"/>
      <w:r w:rsidRPr="00A87308">
        <w:rPr>
          <w:rtl/>
          <w:lang w:val="he-IL"/>
        </w:rPr>
        <w:t xml:space="preserve"> גברא כתבה.</w:t>
      </w:r>
      <w:r>
        <w:rPr>
          <w:rStyle w:val="a5"/>
          <w:rtl/>
          <w:lang w:val="he-IL"/>
        </w:rPr>
        <w:footnoteReference w:id="6"/>
      </w:r>
      <w:r w:rsidRPr="00A87308">
        <w:rPr>
          <w:rtl/>
          <w:lang w:val="he-IL"/>
        </w:rPr>
        <w:t xml:space="preserve"> א</w:t>
      </w:r>
      <w:r>
        <w:rPr>
          <w:rFonts w:hint="cs"/>
          <w:rtl/>
          <w:lang w:val="he-IL"/>
        </w:rPr>
        <w:t xml:space="preserve">מר לו: </w:t>
      </w:r>
      <w:r w:rsidRPr="00A87308">
        <w:rPr>
          <w:rtl/>
          <w:lang w:val="he-IL"/>
        </w:rPr>
        <w:t xml:space="preserve">כן אמרת תקטע ידה </w:t>
      </w:r>
      <w:proofErr w:type="spellStart"/>
      <w:r w:rsidRPr="00A87308">
        <w:rPr>
          <w:rtl/>
          <w:lang w:val="he-IL"/>
        </w:rPr>
        <w:t>דכתבתה</w:t>
      </w:r>
      <w:proofErr w:type="spellEnd"/>
      <w:r w:rsidRPr="00A87308">
        <w:rPr>
          <w:rtl/>
          <w:lang w:val="he-IL"/>
        </w:rPr>
        <w:t xml:space="preserve">. </w:t>
      </w:r>
      <w:proofErr w:type="spellStart"/>
      <w:r w:rsidRPr="00A87308">
        <w:rPr>
          <w:rtl/>
          <w:lang w:val="he-IL"/>
        </w:rPr>
        <w:t>והוית</w:t>
      </w:r>
      <w:proofErr w:type="spellEnd"/>
      <w:r w:rsidRPr="00A87308">
        <w:rPr>
          <w:rtl/>
          <w:lang w:val="he-IL"/>
        </w:rPr>
        <w:t xml:space="preserve"> ליה כן </w:t>
      </w:r>
      <w:r>
        <w:rPr>
          <w:rFonts w:hint="cs"/>
          <w:rtl/>
          <w:lang w:val="he-IL"/>
        </w:rPr>
        <w:t>"</w:t>
      </w:r>
      <w:r w:rsidRPr="00A87308">
        <w:rPr>
          <w:rtl/>
          <w:lang w:val="he-IL"/>
        </w:rPr>
        <w:t>כשגגה שיוצא מלפני השליט</w:t>
      </w:r>
      <w:r>
        <w:rPr>
          <w:rFonts w:hint="cs"/>
          <w:rtl/>
          <w:lang w:val="he-IL"/>
        </w:rPr>
        <w:t xml:space="preserve">" </w:t>
      </w:r>
      <w:r w:rsidRPr="00A87308">
        <w:rPr>
          <w:rtl/>
          <w:lang w:val="he-IL"/>
        </w:rPr>
        <w:t>[קהלת י ה].</w:t>
      </w:r>
      <w:r>
        <w:rPr>
          <w:rStyle w:val="a5"/>
          <w:rtl/>
          <w:lang w:val="he-IL"/>
        </w:rPr>
        <w:footnoteReference w:id="7"/>
      </w:r>
    </w:p>
    <w:p w14:paraId="3185AE17" w14:textId="77777777" w:rsidR="00445DFE" w:rsidRDefault="00445DFE" w:rsidP="00445DFE">
      <w:pPr>
        <w:pStyle w:val="ab"/>
        <w:rPr>
          <w:rtl/>
          <w:lang w:val="he-IL"/>
        </w:rPr>
      </w:pPr>
      <w:r w:rsidRPr="00CC7C35">
        <w:rPr>
          <w:rtl/>
          <w:lang w:val="he-IL"/>
        </w:rPr>
        <w:t>בראשית רבה</w:t>
      </w:r>
      <w:r>
        <w:rPr>
          <w:rFonts w:hint="cs"/>
          <w:rtl/>
          <w:lang w:val="he-IL"/>
        </w:rPr>
        <w:t xml:space="preserve"> י ה </w:t>
      </w:r>
      <w:r w:rsidRPr="00CC7C35">
        <w:rPr>
          <w:rtl/>
          <w:lang w:val="he-IL"/>
        </w:rPr>
        <w:t xml:space="preserve">פרשת בראשית </w:t>
      </w:r>
      <w:r>
        <w:rPr>
          <w:rtl/>
          <w:lang w:val="he-IL"/>
        </w:rPr>
        <w:t>–</w:t>
      </w:r>
      <w:r>
        <w:rPr>
          <w:rFonts w:hint="cs"/>
          <w:rtl/>
          <w:lang w:val="he-IL"/>
        </w:rPr>
        <w:t xml:space="preserve"> דרשות ר' יהושע בן לוי</w:t>
      </w:r>
    </w:p>
    <w:p w14:paraId="707467D1" w14:textId="77777777" w:rsidR="00445DFE" w:rsidRDefault="00445DFE" w:rsidP="00445DFE">
      <w:pPr>
        <w:pStyle w:val="ac"/>
        <w:rPr>
          <w:rtl/>
          <w:lang w:val="he-IL"/>
        </w:rPr>
      </w:pPr>
      <w:r>
        <w:rPr>
          <w:rFonts w:hint="cs"/>
          <w:rtl/>
          <w:lang w:val="he-IL"/>
        </w:rPr>
        <w:t>"</w:t>
      </w:r>
      <w:proofErr w:type="spellStart"/>
      <w:r>
        <w:rPr>
          <w:rFonts w:hint="cs"/>
          <w:rtl/>
          <w:lang w:val="he-IL"/>
        </w:rPr>
        <w:t>ויכולו</w:t>
      </w:r>
      <w:proofErr w:type="spellEnd"/>
      <w:r>
        <w:rPr>
          <w:rFonts w:hint="cs"/>
          <w:rtl/>
          <w:lang w:val="he-IL"/>
        </w:rPr>
        <w:t xml:space="preserve"> השמים והארץ" ... </w:t>
      </w:r>
      <w:proofErr w:type="spellStart"/>
      <w:r w:rsidRPr="00CC7C35">
        <w:rPr>
          <w:rtl/>
          <w:lang w:val="he-IL"/>
        </w:rPr>
        <w:t>א"ר</w:t>
      </w:r>
      <w:proofErr w:type="spellEnd"/>
      <w:r w:rsidRPr="00CC7C35">
        <w:rPr>
          <w:rtl/>
          <w:lang w:val="he-IL"/>
        </w:rPr>
        <w:t xml:space="preserve"> יהושע בן לוי</w:t>
      </w:r>
      <w:r>
        <w:rPr>
          <w:rFonts w:hint="cs"/>
          <w:rtl/>
          <w:lang w:val="he-IL"/>
        </w:rPr>
        <w:t>:</w:t>
      </w:r>
      <w:r w:rsidRPr="00CC7C35">
        <w:rPr>
          <w:rtl/>
          <w:lang w:val="he-IL"/>
        </w:rPr>
        <w:t xml:space="preserve"> </w:t>
      </w:r>
      <w:proofErr w:type="spellStart"/>
      <w:r w:rsidRPr="00CC7C35">
        <w:rPr>
          <w:rtl/>
          <w:lang w:val="he-IL"/>
        </w:rPr>
        <w:t>נשתכללו</w:t>
      </w:r>
      <w:proofErr w:type="spellEnd"/>
      <w:r w:rsidRPr="00CC7C35">
        <w:rPr>
          <w:rtl/>
          <w:lang w:val="he-IL"/>
        </w:rPr>
        <w:t xml:space="preserve"> שמים בחמה ולבנה ובמזלות </w:t>
      </w:r>
      <w:proofErr w:type="spellStart"/>
      <w:r w:rsidRPr="00CC7C35">
        <w:rPr>
          <w:rtl/>
          <w:lang w:val="he-IL"/>
        </w:rPr>
        <w:t>ונשתכללה</w:t>
      </w:r>
      <w:proofErr w:type="spellEnd"/>
      <w:r w:rsidRPr="00CC7C35">
        <w:rPr>
          <w:rtl/>
          <w:lang w:val="he-IL"/>
        </w:rPr>
        <w:t xml:space="preserve"> הארץ באילנות </w:t>
      </w:r>
      <w:proofErr w:type="spellStart"/>
      <w:r w:rsidRPr="00CC7C35">
        <w:rPr>
          <w:rtl/>
          <w:lang w:val="he-IL"/>
        </w:rPr>
        <w:t>ובדשאין</w:t>
      </w:r>
      <w:proofErr w:type="spellEnd"/>
      <w:r w:rsidRPr="00CC7C35">
        <w:rPr>
          <w:rtl/>
          <w:lang w:val="he-IL"/>
        </w:rPr>
        <w:t xml:space="preserve"> וגן עדן</w:t>
      </w:r>
      <w:r>
        <w:rPr>
          <w:rFonts w:hint="cs"/>
          <w:rtl/>
          <w:lang w:val="he-IL"/>
        </w:rPr>
        <w:t>.</w:t>
      </w:r>
      <w:r w:rsidRPr="00CC7C35">
        <w:rPr>
          <w:rtl/>
          <w:lang w:val="he-IL"/>
        </w:rPr>
        <w:t xml:space="preserve"> רבי סימון בשם רבי יהושע בן לוי</w:t>
      </w:r>
      <w:r>
        <w:rPr>
          <w:rFonts w:hint="cs"/>
          <w:rtl/>
          <w:lang w:val="he-IL"/>
        </w:rPr>
        <w:t>:</w:t>
      </w:r>
      <w:r w:rsidRPr="00CC7C35">
        <w:rPr>
          <w:rtl/>
          <w:lang w:val="he-IL"/>
        </w:rPr>
        <w:t xml:space="preserve"> מכוללים היו המעשים והיו </w:t>
      </w:r>
      <w:proofErr w:type="spellStart"/>
      <w:r w:rsidRPr="00CC7C35">
        <w:rPr>
          <w:rtl/>
          <w:lang w:val="he-IL"/>
        </w:rPr>
        <w:t>מותחין</w:t>
      </w:r>
      <w:proofErr w:type="spellEnd"/>
      <w:r w:rsidRPr="00CC7C35">
        <w:rPr>
          <w:rtl/>
          <w:lang w:val="he-IL"/>
        </w:rPr>
        <w:t xml:space="preserve"> </w:t>
      </w:r>
      <w:proofErr w:type="spellStart"/>
      <w:r w:rsidRPr="00CC7C35">
        <w:rPr>
          <w:rtl/>
          <w:lang w:val="he-IL"/>
        </w:rPr>
        <w:t>והולכין</w:t>
      </w:r>
      <w:proofErr w:type="spellEnd"/>
      <w:r>
        <w:rPr>
          <w:rFonts w:hint="cs"/>
          <w:rtl/>
          <w:lang w:val="he-IL"/>
        </w:rPr>
        <w:t>.</w:t>
      </w:r>
      <w:r>
        <w:rPr>
          <w:rStyle w:val="a5"/>
          <w:rtl/>
          <w:lang w:val="he-IL"/>
        </w:rPr>
        <w:footnoteReference w:id="8"/>
      </w:r>
    </w:p>
    <w:p w14:paraId="3CBFB75C" w14:textId="77777777" w:rsidR="00445DFE" w:rsidRPr="00D909C2" w:rsidRDefault="00445DFE" w:rsidP="00445DFE">
      <w:pPr>
        <w:pStyle w:val="ab"/>
        <w:rPr>
          <w:rtl/>
          <w:lang w:val="he-IL"/>
        </w:rPr>
      </w:pPr>
      <w:r w:rsidRPr="00D909C2">
        <w:rPr>
          <w:rtl/>
          <w:lang w:val="he-IL"/>
        </w:rPr>
        <w:t>בראשית רבה</w:t>
      </w:r>
      <w:r>
        <w:rPr>
          <w:rFonts w:hint="cs"/>
          <w:rtl/>
          <w:lang w:val="he-IL"/>
        </w:rPr>
        <w:t xml:space="preserve"> לג ג </w:t>
      </w:r>
      <w:r w:rsidRPr="00D909C2">
        <w:rPr>
          <w:rtl/>
          <w:lang w:val="he-IL"/>
        </w:rPr>
        <w:t xml:space="preserve">פרשת נח </w:t>
      </w:r>
      <w:r>
        <w:rPr>
          <w:rtl/>
          <w:lang w:val="he-IL"/>
        </w:rPr>
        <w:t>–</w:t>
      </w:r>
      <w:r>
        <w:rPr>
          <w:rFonts w:hint="cs"/>
          <w:rtl/>
          <w:lang w:val="he-IL"/>
        </w:rPr>
        <w:t xml:space="preserve"> אגדת תהלים</w:t>
      </w:r>
    </w:p>
    <w:p w14:paraId="21EA16C5" w14:textId="77777777" w:rsidR="00445DFE" w:rsidRDefault="00445DFE" w:rsidP="00445DFE">
      <w:pPr>
        <w:pStyle w:val="ac"/>
        <w:rPr>
          <w:rtl/>
          <w:lang w:val="he-IL"/>
        </w:rPr>
      </w:pPr>
      <w:r w:rsidRPr="00D909C2">
        <w:rPr>
          <w:rtl/>
          <w:lang w:val="he-IL"/>
        </w:rPr>
        <w:t xml:space="preserve">רבינו </w:t>
      </w:r>
      <w:r>
        <w:rPr>
          <w:rFonts w:hint="cs"/>
          <w:rtl/>
          <w:lang w:val="he-IL"/>
        </w:rPr>
        <w:t xml:space="preserve">היה מספר בשבחו של </w:t>
      </w:r>
      <w:r w:rsidRPr="00D909C2">
        <w:rPr>
          <w:rtl/>
          <w:lang w:val="he-IL"/>
        </w:rPr>
        <w:t xml:space="preserve">רבי </w:t>
      </w:r>
      <w:proofErr w:type="spellStart"/>
      <w:r w:rsidRPr="00D909C2">
        <w:rPr>
          <w:rtl/>
          <w:lang w:val="he-IL"/>
        </w:rPr>
        <w:t>חייא</w:t>
      </w:r>
      <w:proofErr w:type="spellEnd"/>
      <w:r w:rsidRPr="00D909C2">
        <w:rPr>
          <w:rtl/>
          <w:lang w:val="he-IL"/>
        </w:rPr>
        <w:t xml:space="preserve"> </w:t>
      </w:r>
      <w:r>
        <w:rPr>
          <w:rFonts w:hint="cs"/>
          <w:rtl/>
          <w:lang w:val="he-IL"/>
        </w:rPr>
        <w:t xml:space="preserve">הגדול לפני </w:t>
      </w:r>
      <w:r w:rsidRPr="00D909C2">
        <w:rPr>
          <w:rtl/>
          <w:lang w:val="he-IL"/>
        </w:rPr>
        <w:t xml:space="preserve">ר' ישמעאל </w:t>
      </w:r>
      <w:proofErr w:type="spellStart"/>
      <w:r w:rsidRPr="00D909C2">
        <w:rPr>
          <w:rtl/>
          <w:lang w:val="he-IL"/>
        </w:rPr>
        <w:t>ב"ר</w:t>
      </w:r>
      <w:proofErr w:type="spellEnd"/>
      <w:r w:rsidRPr="00D909C2">
        <w:rPr>
          <w:rtl/>
          <w:lang w:val="he-IL"/>
        </w:rPr>
        <w:t xml:space="preserve"> יוסי</w:t>
      </w:r>
      <w:r>
        <w:rPr>
          <w:rFonts w:hint="cs"/>
          <w:rtl/>
          <w:lang w:val="he-IL"/>
        </w:rPr>
        <w:t>,</w:t>
      </w:r>
      <w:r>
        <w:rPr>
          <w:rStyle w:val="a5"/>
          <w:rtl/>
          <w:lang w:val="he-IL"/>
        </w:rPr>
        <w:footnoteReference w:id="9"/>
      </w:r>
      <w:r w:rsidRPr="00D909C2">
        <w:rPr>
          <w:rtl/>
          <w:lang w:val="he-IL"/>
        </w:rPr>
        <w:t xml:space="preserve"> א"ל</w:t>
      </w:r>
      <w:r>
        <w:rPr>
          <w:rFonts w:hint="cs"/>
          <w:rtl/>
          <w:lang w:val="he-IL"/>
        </w:rPr>
        <w:t>:</w:t>
      </w:r>
      <w:r>
        <w:rPr>
          <w:rStyle w:val="a5"/>
          <w:rtl/>
          <w:lang w:val="he-IL"/>
        </w:rPr>
        <w:footnoteReference w:id="10"/>
      </w:r>
      <w:r w:rsidRPr="00D909C2">
        <w:rPr>
          <w:rtl/>
          <w:lang w:val="he-IL"/>
        </w:rPr>
        <w:t xml:space="preserve"> אדם גדול, אדם קדוש</w:t>
      </w:r>
      <w:r>
        <w:rPr>
          <w:rFonts w:hint="cs"/>
          <w:rtl/>
          <w:lang w:val="he-IL"/>
        </w:rPr>
        <w:t>! פעם אחת ראהו בבית המרחץ ולא נכנע מפניו.</w:t>
      </w:r>
      <w:r>
        <w:rPr>
          <w:rStyle w:val="a5"/>
          <w:rtl/>
          <w:lang w:val="he-IL"/>
        </w:rPr>
        <w:footnoteReference w:id="11"/>
      </w:r>
      <w:r>
        <w:rPr>
          <w:rFonts w:hint="cs"/>
          <w:rtl/>
          <w:lang w:val="he-IL"/>
        </w:rPr>
        <w:t xml:space="preserve"> אמר לו:</w:t>
      </w:r>
      <w:r>
        <w:rPr>
          <w:rStyle w:val="a5"/>
          <w:rtl/>
          <w:lang w:val="he-IL"/>
        </w:rPr>
        <w:footnoteReference w:id="12"/>
      </w:r>
      <w:r>
        <w:rPr>
          <w:rFonts w:hint="cs"/>
          <w:rtl/>
          <w:lang w:val="he-IL"/>
        </w:rPr>
        <w:t xml:space="preserve"> אותו </w:t>
      </w:r>
      <w:r w:rsidRPr="00D909C2">
        <w:rPr>
          <w:rtl/>
          <w:lang w:val="he-IL"/>
        </w:rPr>
        <w:t>תלמיד</w:t>
      </w:r>
      <w:r>
        <w:rPr>
          <w:rFonts w:hint="cs"/>
          <w:rtl/>
          <w:lang w:val="he-IL"/>
        </w:rPr>
        <w:t xml:space="preserve"> של</w:t>
      </w:r>
      <w:r w:rsidRPr="00D909C2">
        <w:rPr>
          <w:rtl/>
          <w:lang w:val="he-IL"/>
        </w:rPr>
        <w:t xml:space="preserve">ך </w:t>
      </w:r>
      <w:r>
        <w:rPr>
          <w:rFonts w:hint="cs"/>
          <w:rtl/>
          <w:lang w:val="he-IL"/>
        </w:rPr>
        <w:t xml:space="preserve">שהיית </w:t>
      </w:r>
      <w:r w:rsidRPr="00D909C2">
        <w:rPr>
          <w:rtl/>
          <w:lang w:val="he-IL"/>
        </w:rPr>
        <w:t>משתבח ב</w:t>
      </w:r>
      <w:r>
        <w:rPr>
          <w:rFonts w:hint="cs"/>
          <w:rtl/>
          <w:lang w:val="he-IL"/>
        </w:rPr>
        <w:t xml:space="preserve">ו, ראיתיו בבית המרחץ </w:t>
      </w:r>
      <w:r>
        <w:rPr>
          <w:rFonts w:hint="cs"/>
          <w:rtl/>
          <w:lang w:val="he-IL"/>
        </w:rPr>
        <w:lastRenderedPageBreak/>
        <w:t xml:space="preserve">ולא נכנע מפני. </w:t>
      </w:r>
      <w:r w:rsidRPr="00D909C2">
        <w:rPr>
          <w:rtl/>
          <w:lang w:val="he-IL"/>
        </w:rPr>
        <w:t>א</w:t>
      </w:r>
      <w:r>
        <w:rPr>
          <w:rFonts w:hint="cs"/>
          <w:rtl/>
          <w:lang w:val="he-IL"/>
        </w:rPr>
        <w:t>מר לו:</w:t>
      </w:r>
      <w:r>
        <w:rPr>
          <w:rStyle w:val="a5"/>
          <w:rtl/>
          <w:lang w:val="he-IL"/>
        </w:rPr>
        <w:footnoteReference w:id="13"/>
      </w:r>
      <w:r>
        <w:rPr>
          <w:rFonts w:hint="cs"/>
          <w:rtl/>
          <w:lang w:val="he-IL"/>
        </w:rPr>
        <w:t xml:space="preserve"> </w:t>
      </w:r>
      <w:r w:rsidRPr="00D909C2">
        <w:rPr>
          <w:rtl/>
          <w:lang w:val="he-IL"/>
        </w:rPr>
        <w:t xml:space="preserve">ולמה לא </w:t>
      </w:r>
      <w:r>
        <w:rPr>
          <w:rFonts w:hint="cs"/>
          <w:rtl/>
          <w:lang w:val="he-IL"/>
        </w:rPr>
        <w:t>נכנעת מפניו?</w:t>
      </w:r>
      <w:r w:rsidRPr="00D909C2">
        <w:rPr>
          <w:rtl/>
          <w:lang w:val="he-IL"/>
        </w:rPr>
        <w:t xml:space="preserve"> א"ל רבי </w:t>
      </w:r>
      <w:proofErr w:type="spellStart"/>
      <w:r w:rsidRPr="00D909C2">
        <w:rPr>
          <w:rtl/>
          <w:lang w:val="he-IL"/>
        </w:rPr>
        <w:t>חייא</w:t>
      </w:r>
      <w:proofErr w:type="spellEnd"/>
      <w:r>
        <w:rPr>
          <w:rFonts w:hint="cs"/>
          <w:rtl/>
          <w:lang w:val="he-IL"/>
        </w:rPr>
        <w:t>:</w:t>
      </w:r>
      <w:r w:rsidRPr="00D909C2">
        <w:rPr>
          <w:rtl/>
          <w:lang w:val="he-IL"/>
        </w:rPr>
        <w:t xml:space="preserve"> מסתכל הייתי באגדת תהלים</w:t>
      </w:r>
      <w:r>
        <w:rPr>
          <w:rFonts w:hint="cs"/>
          <w:rtl/>
          <w:lang w:val="he-IL"/>
        </w:rPr>
        <w:t>.</w:t>
      </w:r>
      <w:r w:rsidRPr="00D909C2">
        <w:rPr>
          <w:rtl/>
          <w:lang w:val="he-IL"/>
        </w:rPr>
        <w:t xml:space="preserve"> כיון </w:t>
      </w:r>
      <w:r>
        <w:rPr>
          <w:rFonts w:hint="cs"/>
          <w:rtl/>
          <w:lang w:val="he-IL"/>
        </w:rPr>
        <w:t>ש</w:t>
      </w:r>
      <w:r w:rsidRPr="00D909C2">
        <w:rPr>
          <w:rtl/>
          <w:lang w:val="he-IL"/>
        </w:rPr>
        <w:t xml:space="preserve">שמע </w:t>
      </w:r>
      <w:r>
        <w:rPr>
          <w:rFonts w:hint="cs"/>
          <w:rtl/>
          <w:lang w:val="he-IL"/>
        </w:rPr>
        <w:t xml:space="preserve">(רבי) </w:t>
      </w:r>
      <w:r w:rsidRPr="00D909C2">
        <w:rPr>
          <w:rtl/>
          <w:lang w:val="he-IL"/>
        </w:rPr>
        <w:t>כן</w:t>
      </w:r>
      <w:r>
        <w:rPr>
          <w:rFonts w:hint="cs"/>
          <w:rtl/>
          <w:lang w:val="he-IL"/>
        </w:rPr>
        <w:t>,</w:t>
      </w:r>
      <w:r w:rsidRPr="00D909C2">
        <w:rPr>
          <w:rtl/>
          <w:lang w:val="he-IL"/>
        </w:rPr>
        <w:t xml:space="preserve"> מסר ל</w:t>
      </w:r>
      <w:r>
        <w:rPr>
          <w:rFonts w:hint="cs"/>
          <w:rtl/>
          <w:lang w:val="he-IL"/>
        </w:rPr>
        <w:t xml:space="preserve">ו שני </w:t>
      </w:r>
      <w:r w:rsidRPr="00D909C2">
        <w:rPr>
          <w:rtl/>
          <w:lang w:val="he-IL"/>
        </w:rPr>
        <w:t>תלמיד</w:t>
      </w:r>
      <w:r>
        <w:rPr>
          <w:rFonts w:hint="cs"/>
          <w:rtl/>
          <w:lang w:val="he-IL"/>
        </w:rPr>
        <w:t xml:space="preserve">ים, והיו נכנסים עמו </w:t>
      </w:r>
      <w:r w:rsidRPr="00D909C2">
        <w:rPr>
          <w:rtl/>
          <w:lang w:val="he-IL"/>
        </w:rPr>
        <w:t>ל</w:t>
      </w:r>
      <w:r>
        <w:rPr>
          <w:rtl/>
          <w:lang w:val="he-IL"/>
        </w:rPr>
        <w:t>ָ</w:t>
      </w:r>
      <w:r w:rsidRPr="00D909C2">
        <w:rPr>
          <w:rtl/>
          <w:lang w:val="he-IL"/>
        </w:rPr>
        <w:t>א</w:t>
      </w:r>
      <w:r>
        <w:rPr>
          <w:rtl/>
          <w:lang w:val="he-IL"/>
        </w:rPr>
        <w:t>ִ</w:t>
      </w:r>
      <w:r w:rsidRPr="00D909C2">
        <w:rPr>
          <w:rtl/>
          <w:lang w:val="he-IL"/>
        </w:rPr>
        <w:t>ש</w:t>
      </w:r>
      <w:r>
        <w:rPr>
          <w:rtl/>
          <w:lang w:val="he-IL"/>
        </w:rPr>
        <w:t>ּׁ</w:t>
      </w:r>
      <w:r w:rsidRPr="00D909C2">
        <w:rPr>
          <w:rtl/>
          <w:lang w:val="he-IL"/>
        </w:rPr>
        <w:t>ו</w:t>
      </w:r>
      <w:r>
        <w:rPr>
          <w:rtl/>
          <w:lang w:val="he-IL"/>
        </w:rPr>
        <w:t>ּ</w:t>
      </w:r>
      <w:r w:rsidRPr="00D909C2">
        <w:rPr>
          <w:rtl/>
          <w:lang w:val="he-IL"/>
        </w:rPr>
        <w:t>נ</w:t>
      </w:r>
      <w:r>
        <w:rPr>
          <w:rtl/>
          <w:lang w:val="he-IL"/>
        </w:rPr>
        <w:t>ָ</w:t>
      </w:r>
      <w:r w:rsidRPr="00D909C2">
        <w:rPr>
          <w:rtl/>
          <w:lang w:val="he-IL"/>
        </w:rPr>
        <w:t>ה</w:t>
      </w:r>
      <w:r>
        <w:rPr>
          <w:rStyle w:val="a5"/>
          <w:rtl/>
          <w:lang w:val="he-IL"/>
        </w:rPr>
        <w:footnoteReference w:id="14"/>
      </w:r>
      <w:r w:rsidRPr="00D909C2">
        <w:rPr>
          <w:rtl/>
          <w:lang w:val="he-IL"/>
        </w:rPr>
        <w:t xml:space="preserve"> </w:t>
      </w:r>
      <w:r>
        <w:rPr>
          <w:rFonts w:hint="cs"/>
          <w:rtl/>
          <w:lang w:val="he-IL"/>
        </w:rPr>
        <w:t>ש</w:t>
      </w:r>
      <w:r w:rsidRPr="00D909C2">
        <w:rPr>
          <w:rtl/>
          <w:lang w:val="he-IL"/>
        </w:rPr>
        <w:t>לא ישה</w:t>
      </w:r>
      <w:r>
        <w:rPr>
          <w:rFonts w:hint="cs"/>
          <w:rtl/>
          <w:lang w:val="he-IL"/>
        </w:rPr>
        <w:t>ה ותצטער נפשו.</w:t>
      </w:r>
      <w:r>
        <w:rPr>
          <w:rStyle w:val="a5"/>
          <w:rtl/>
          <w:lang w:val="he-IL"/>
        </w:rPr>
        <w:footnoteReference w:id="15"/>
      </w:r>
    </w:p>
    <w:p w14:paraId="2C784EF2" w14:textId="77777777" w:rsidR="001E23FB" w:rsidRPr="0023254A" w:rsidRDefault="001E23FB" w:rsidP="001E23FB">
      <w:pPr>
        <w:pStyle w:val="ab"/>
        <w:rPr>
          <w:rtl/>
          <w:lang w:val="he-IL"/>
        </w:rPr>
      </w:pPr>
      <w:r w:rsidRPr="0023254A">
        <w:rPr>
          <w:rtl/>
          <w:lang w:val="he-IL"/>
        </w:rPr>
        <w:t>מסכת גיטין דף ס עמוד א</w:t>
      </w:r>
      <w:r>
        <w:rPr>
          <w:rFonts w:hint="cs"/>
          <w:rtl/>
          <w:lang w:val="he-IL"/>
        </w:rPr>
        <w:t xml:space="preserve"> </w:t>
      </w:r>
      <w:r>
        <w:rPr>
          <w:rFonts w:cs="David"/>
          <w:rtl/>
          <w:lang w:val="he-IL"/>
        </w:rPr>
        <w:t>–</w:t>
      </w:r>
      <w:r>
        <w:rPr>
          <w:rFonts w:hint="cs"/>
          <w:rtl/>
          <w:lang w:val="he-IL"/>
        </w:rPr>
        <w:t xml:space="preserve"> עיון בספרי אגדה בשבת</w:t>
      </w:r>
    </w:p>
    <w:p w14:paraId="1E79696A" w14:textId="77777777" w:rsidR="001E23FB" w:rsidRDefault="001E23FB" w:rsidP="001E23FB">
      <w:pPr>
        <w:pStyle w:val="ac"/>
        <w:rPr>
          <w:rtl/>
          <w:lang w:val="he-IL"/>
        </w:rPr>
      </w:pPr>
      <w:r w:rsidRPr="0023254A">
        <w:rPr>
          <w:rtl/>
          <w:lang w:val="he-IL"/>
        </w:rPr>
        <w:t xml:space="preserve">רבה ורב יוסף </w:t>
      </w:r>
      <w:proofErr w:type="spellStart"/>
      <w:r w:rsidRPr="0023254A">
        <w:rPr>
          <w:rtl/>
          <w:lang w:val="he-IL"/>
        </w:rPr>
        <w:t>דאמרי</w:t>
      </w:r>
      <w:proofErr w:type="spellEnd"/>
      <w:r w:rsidRPr="0023254A">
        <w:rPr>
          <w:rtl/>
          <w:lang w:val="he-IL"/>
        </w:rPr>
        <w:t xml:space="preserve"> </w:t>
      </w:r>
      <w:proofErr w:type="spellStart"/>
      <w:r w:rsidRPr="0023254A">
        <w:rPr>
          <w:rtl/>
          <w:lang w:val="he-IL"/>
        </w:rPr>
        <w:t>תרוייהו</w:t>
      </w:r>
      <w:proofErr w:type="spellEnd"/>
      <w:r w:rsidRPr="0023254A">
        <w:rPr>
          <w:rtl/>
          <w:lang w:val="he-IL"/>
        </w:rPr>
        <w:t xml:space="preserve">: אין </w:t>
      </w:r>
      <w:proofErr w:type="spellStart"/>
      <w:r w:rsidRPr="0023254A">
        <w:rPr>
          <w:rtl/>
          <w:lang w:val="he-IL"/>
        </w:rPr>
        <w:t>קוראין</w:t>
      </w:r>
      <w:proofErr w:type="spellEnd"/>
      <w:r w:rsidRPr="0023254A">
        <w:rPr>
          <w:rtl/>
          <w:lang w:val="he-IL"/>
        </w:rPr>
        <w:t xml:space="preserve"> </w:t>
      </w:r>
      <w:proofErr w:type="spellStart"/>
      <w:r w:rsidRPr="0023254A">
        <w:rPr>
          <w:rtl/>
          <w:lang w:val="he-IL"/>
        </w:rPr>
        <w:t>בחומשין</w:t>
      </w:r>
      <w:proofErr w:type="spellEnd"/>
      <w:r w:rsidRPr="0023254A">
        <w:rPr>
          <w:rtl/>
          <w:lang w:val="he-IL"/>
        </w:rPr>
        <w:t xml:space="preserve"> בבית הכנסת משום כבוד צבור. ורבה ורב יוסף </w:t>
      </w:r>
      <w:proofErr w:type="spellStart"/>
      <w:r w:rsidRPr="0023254A">
        <w:rPr>
          <w:rtl/>
          <w:lang w:val="he-IL"/>
        </w:rPr>
        <w:t>דאמרי</w:t>
      </w:r>
      <w:proofErr w:type="spellEnd"/>
      <w:r w:rsidRPr="0023254A">
        <w:rPr>
          <w:rtl/>
          <w:lang w:val="he-IL"/>
        </w:rPr>
        <w:t xml:space="preserve"> </w:t>
      </w:r>
      <w:proofErr w:type="spellStart"/>
      <w:r w:rsidRPr="0023254A">
        <w:rPr>
          <w:rtl/>
          <w:lang w:val="he-IL"/>
        </w:rPr>
        <w:t>תרוייהו</w:t>
      </w:r>
      <w:proofErr w:type="spellEnd"/>
      <w:r w:rsidRPr="0023254A">
        <w:rPr>
          <w:rtl/>
          <w:lang w:val="he-IL"/>
        </w:rPr>
        <w:t xml:space="preserve">: האי ספר </w:t>
      </w:r>
      <w:proofErr w:type="spellStart"/>
      <w:r w:rsidRPr="0023254A">
        <w:rPr>
          <w:rtl/>
          <w:lang w:val="he-IL"/>
        </w:rPr>
        <w:t>אפטרתא</w:t>
      </w:r>
      <w:proofErr w:type="spellEnd"/>
      <w:r w:rsidRPr="0023254A">
        <w:rPr>
          <w:rtl/>
          <w:lang w:val="he-IL"/>
        </w:rPr>
        <w:t xml:space="preserve"> - אסור למקרי ביה בשבת; מאי טעמא? דלא ניתן </w:t>
      </w:r>
      <w:proofErr w:type="spellStart"/>
      <w:r w:rsidRPr="0023254A">
        <w:rPr>
          <w:rtl/>
          <w:lang w:val="he-IL"/>
        </w:rPr>
        <w:t>ליכתב</w:t>
      </w:r>
      <w:proofErr w:type="spellEnd"/>
      <w:r w:rsidRPr="0023254A">
        <w:rPr>
          <w:rtl/>
          <w:lang w:val="he-IL"/>
        </w:rPr>
        <w:t>. מר בר רב אשי אמר: לטלטולי נמי אסור; מ</w:t>
      </w:r>
      <w:r>
        <w:rPr>
          <w:rFonts w:hint="cs"/>
          <w:rtl/>
          <w:lang w:val="he-IL"/>
        </w:rPr>
        <w:t>אי טעמא</w:t>
      </w:r>
      <w:r w:rsidRPr="0023254A">
        <w:rPr>
          <w:rtl/>
          <w:lang w:val="he-IL"/>
        </w:rPr>
        <w:t xml:space="preserve">? </w:t>
      </w:r>
      <w:proofErr w:type="spellStart"/>
      <w:r w:rsidRPr="0023254A">
        <w:rPr>
          <w:rtl/>
          <w:lang w:val="he-IL"/>
        </w:rPr>
        <w:t>דהא</w:t>
      </w:r>
      <w:proofErr w:type="spellEnd"/>
      <w:r w:rsidRPr="0023254A">
        <w:rPr>
          <w:rtl/>
          <w:lang w:val="he-IL"/>
        </w:rPr>
        <w:t xml:space="preserve"> לא חזי </w:t>
      </w:r>
      <w:proofErr w:type="spellStart"/>
      <w:r w:rsidRPr="0023254A">
        <w:rPr>
          <w:rtl/>
          <w:lang w:val="he-IL"/>
        </w:rPr>
        <w:t>למיקרי</w:t>
      </w:r>
      <w:proofErr w:type="spellEnd"/>
      <w:r w:rsidRPr="0023254A">
        <w:rPr>
          <w:rtl/>
          <w:lang w:val="he-IL"/>
        </w:rPr>
        <w:t xml:space="preserve"> ביה.</w:t>
      </w:r>
      <w:r>
        <w:rPr>
          <w:rStyle w:val="a5"/>
          <w:rtl/>
          <w:lang w:val="he-IL"/>
        </w:rPr>
        <w:footnoteReference w:id="16"/>
      </w:r>
      <w:r w:rsidRPr="0023254A">
        <w:rPr>
          <w:rtl/>
          <w:lang w:val="he-IL"/>
        </w:rPr>
        <w:t xml:space="preserve"> ולא היא, שרי לטלטולי ושרי </w:t>
      </w:r>
      <w:proofErr w:type="spellStart"/>
      <w:r w:rsidRPr="0023254A">
        <w:rPr>
          <w:rtl/>
          <w:lang w:val="he-IL"/>
        </w:rPr>
        <w:t>למיקרי</w:t>
      </w:r>
      <w:proofErr w:type="spellEnd"/>
      <w:r w:rsidRPr="0023254A">
        <w:rPr>
          <w:rtl/>
          <w:lang w:val="he-IL"/>
        </w:rPr>
        <w:t xml:space="preserve"> ביה,</w:t>
      </w:r>
      <w:r>
        <w:rPr>
          <w:rStyle w:val="a5"/>
          <w:rtl/>
          <w:lang w:val="he-IL"/>
        </w:rPr>
        <w:footnoteReference w:id="17"/>
      </w:r>
      <w:r w:rsidRPr="0023254A">
        <w:rPr>
          <w:rtl/>
          <w:lang w:val="he-IL"/>
        </w:rPr>
        <w:t xml:space="preserve"> דר' יוחנן </w:t>
      </w:r>
      <w:proofErr w:type="spellStart"/>
      <w:r w:rsidRPr="0023254A">
        <w:rPr>
          <w:rtl/>
          <w:lang w:val="he-IL"/>
        </w:rPr>
        <w:t>ור"ש</w:t>
      </w:r>
      <w:proofErr w:type="spellEnd"/>
      <w:r w:rsidRPr="0023254A">
        <w:rPr>
          <w:rtl/>
          <w:lang w:val="he-IL"/>
        </w:rPr>
        <w:t xml:space="preserve"> בן לקיש מעייני בספרא </w:t>
      </w:r>
      <w:proofErr w:type="spellStart"/>
      <w:r w:rsidRPr="0023254A">
        <w:rPr>
          <w:rtl/>
          <w:lang w:val="he-IL"/>
        </w:rPr>
        <w:t>דאגדתא</w:t>
      </w:r>
      <w:proofErr w:type="spellEnd"/>
      <w:r w:rsidRPr="0023254A">
        <w:rPr>
          <w:rtl/>
          <w:lang w:val="he-IL"/>
        </w:rPr>
        <w:t xml:space="preserve"> </w:t>
      </w:r>
      <w:proofErr w:type="spellStart"/>
      <w:r w:rsidRPr="0023254A">
        <w:rPr>
          <w:rtl/>
          <w:lang w:val="he-IL"/>
        </w:rPr>
        <w:t>בשבתא</w:t>
      </w:r>
      <w:proofErr w:type="spellEnd"/>
      <w:r w:rsidR="00D30475">
        <w:rPr>
          <w:rFonts w:hint="cs"/>
          <w:rtl/>
          <w:lang w:val="he-IL"/>
        </w:rPr>
        <w:t>.</w:t>
      </w:r>
      <w:r w:rsidRPr="0023254A">
        <w:rPr>
          <w:rtl/>
          <w:lang w:val="he-IL"/>
        </w:rPr>
        <w:t xml:space="preserve"> והא לא ניתן </w:t>
      </w:r>
      <w:proofErr w:type="spellStart"/>
      <w:r w:rsidRPr="0023254A">
        <w:rPr>
          <w:rtl/>
          <w:lang w:val="he-IL"/>
        </w:rPr>
        <w:t>ליכתב</w:t>
      </w:r>
      <w:proofErr w:type="spellEnd"/>
      <w:r w:rsidRPr="0023254A">
        <w:rPr>
          <w:rtl/>
          <w:lang w:val="he-IL"/>
        </w:rPr>
        <w:t>!</w:t>
      </w:r>
      <w:r>
        <w:rPr>
          <w:rFonts w:hint="cs"/>
          <w:rtl/>
          <w:lang w:val="he-IL"/>
        </w:rPr>
        <w:t xml:space="preserve"> אלא כיון דלא אפשר - "עת לעשות לה' הפרו תורתך", הכא נמי כיון דלא אפשר - "עת לעשות לה' הפרו תורתך".</w:t>
      </w:r>
      <w:r>
        <w:rPr>
          <w:rStyle w:val="a5"/>
          <w:rtl/>
          <w:lang w:val="he-IL"/>
        </w:rPr>
        <w:footnoteReference w:id="18"/>
      </w:r>
    </w:p>
    <w:p w14:paraId="32CDD6A2" w14:textId="77777777" w:rsidR="0023254A" w:rsidRPr="0023254A" w:rsidRDefault="0023254A" w:rsidP="003925EB">
      <w:pPr>
        <w:pStyle w:val="ab"/>
        <w:rPr>
          <w:rtl/>
          <w:lang w:val="he-IL"/>
        </w:rPr>
      </w:pPr>
      <w:r w:rsidRPr="0023254A">
        <w:rPr>
          <w:rtl/>
          <w:lang w:val="he-IL"/>
        </w:rPr>
        <w:t xml:space="preserve">מסכת סופרים פרק </w:t>
      </w:r>
      <w:proofErr w:type="spellStart"/>
      <w:r w:rsidRPr="0023254A">
        <w:rPr>
          <w:rtl/>
          <w:lang w:val="he-IL"/>
        </w:rPr>
        <w:t>טז</w:t>
      </w:r>
      <w:proofErr w:type="spellEnd"/>
      <w:r w:rsidRPr="0023254A">
        <w:rPr>
          <w:rtl/>
          <w:lang w:val="he-IL"/>
        </w:rPr>
        <w:t xml:space="preserve"> הלכה י</w:t>
      </w:r>
      <w:r w:rsidR="003925EB">
        <w:rPr>
          <w:rFonts w:hint="cs"/>
          <w:rtl/>
          <w:lang w:val="he-IL"/>
        </w:rPr>
        <w:t xml:space="preserve"> </w:t>
      </w:r>
      <w:r w:rsidR="003925EB">
        <w:rPr>
          <w:rFonts w:cs="David"/>
          <w:rtl/>
          <w:lang w:val="he-IL"/>
        </w:rPr>
        <w:t>–</w:t>
      </w:r>
      <w:r w:rsidR="003925EB">
        <w:rPr>
          <w:rFonts w:hint="cs"/>
          <w:rtl/>
          <w:lang w:val="he-IL"/>
        </w:rPr>
        <w:t xml:space="preserve"> מצילים ספרי אגדה בשבת</w:t>
      </w:r>
    </w:p>
    <w:p w14:paraId="1DAFD780" w14:textId="77777777" w:rsidR="0023254A" w:rsidRDefault="00215BA4" w:rsidP="0023254A">
      <w:pPr>
        <w:pStyle w:val="ac"/>
        <w:rPr>
          <w:rtl/>
          <w:lang w:val="he-IL"/>
        </w:rPr>
      </w:pPr>
      <w:r>
        <w:rPr>
          <w:rFonts w:hint="cs"/>
          <w:rtl/>
          <w:lang w:val="he-IL"/>
        </w:rPr>
        <w:t>"</w:t>
      </w:r>
      <w:r w:rsidR="0023254A" w:rsidRPr="0023254A">
        <w:rPr>
          <w:rtl/>
          <w:lang w:val="he-IL"/>
        </w:rPr>
        <w:t>דברי חכמים כדרבונות וכמשמרות נטועים בעלי אסופות נתנו מרועה אחד</w:t>
      </w:r>
      <w:r>
        <w:rPr>
          <w:rFonts w:hint="cs"/>
          <w:rtl/>
          <w:lang w:val="he-IL"/>
        </w:rPr>
        <w:t>" (קהלת</w:t>
      </w:r>
      <w:r w:rsidR="003925EB">
        <w:rPr>
          <w:rFonts w:hint="cs"/>
          <w:rtl/>
          <w:lang w:val="he-IL"/>
        </w:rPr>
        <w:t xml:space="preserve"> </w:t>
      </w:r>
      <w:proofErr w:type="spellStart"/>
      <w:r w:rsidR="003925EB">
        <w:rPr>
          <w:rFonts w:hint="cs"/>
          <w:rtl/>
          <w:lang w:val="he-IL"/>
        </w:rPr>
        <w:t>יב</w:t>
      </w:r>
      <w:proofErr w:type="spellEnd"/>
      <w:r w:rsidR="003925EB">
        <w:rPr>
          <w:rFonts w:hint="cs"/>
          <w:rtl/>
          <w:lang w:val="he-IL"/>
        </w:rPr>
        <w:t xml:space="preserve"> יא) - </w:t>
      </w:r>
      <w:r w:rsidR="0023254A" w:rsidRPr="0023254A">
        <w:rPr>
          <w:rtl/>
          <w:lang w:val="he-IL"/>
        </w:rPr>
        <w:t xml:space="preserve">כולם נתנו מרועה אחד, רועה אחד אמרן, וכולן </w:t>
      </w:r>
      <w:proofErr w:type="spellStart"/>
      <w:r w:rsidR="0023254A" w:rsidRPr="0023254A">
        <w:rPr>
          <w:rtl/>
          <w:lang w:val="he-IL"/>
        </w:rPr>
        <w:t>מצילין</w:t>
      </w:r>
      <w:proofErr w:type="spellEnd"/>
      <w:r w:rsidR="0023254A" w:rsidRPr="0023254A">
        <w:rPr>
          <w:rtl/>
          <w:lang w:val="he-IL"/>
        </w:rPr>
        <w:t xml:space="preserve"> אותן מפני הדליקה; וספרי </w:t>
      </w:r>
      <w:proofErr w:type="spellStart"/>
      <w:r w:rsidR="0023254A" w:rsidRPr="0023254A">
        <w:rPr>
          <w:rtl/>
          <w:lang w:val="he-IL"/>
        </w:rPr>
        <w:t>אגדתא</w:t>
      </w:r>
      <w:proofErr w:type="spellEnd"/>
      <w:r w:rsidR="0023254A" w:rsidRPr="0023254A">
        <w:rPr>
          <w:rtl/>
          <w:lang w:val="he-IL"/>
        </w:rPr>
        <w:t xml:space="preserve"> אף על פי שלא נתנו </w:t>
      </w:r>
      <w:proofErr w:type="spellStart"/>
      <w:r w:rsidR="0023254A" w:rsidRPr="0023254A">
        <w:rPr>
          <w:rtl/>
          <w:lang w:val="he-IL"/>
        </w:rPr>
        <w:t>ליכתב</w:t>
      </w:r>
      <w:proofErr w:type="spellEnd"/>
      <w:r w:rsidR="0023254A" w:rsidRPr="0023254A">
        <w:rPr>
          <w:rtl/>
          <w:lang w:val="he-IL"/>
        </w:rPr>
        <w:t xml:space="preserve">, </w:t>
      </w:r>
      <w:proofErr w:type="spellStart"/>
      <w:r w:rsidR="0023254A" w:rsidRPr="0023254A">
        <w:rPr>
          <w:rtl/>
          <w:lang w:val="he-IL"/>
        </w:rPr>
        <w:t>מצילין</w:t>
      </w:r>
      <w:proofErr w:type="spellEnd"/>
      <w:r w:rsidR="0023254A" w:rsidRPr="0023254A">
        <w:rPr>
          <w:rtl/>
          <w:lang w:val="he-IL"/>
        </w:rPr>
        <w:t xml:space="preserve"> אותן מפני הדליקה</w:t>
      </w:r>
      <w:r w:rsidR="003925EB">
        <w:rPr>
          <w:rFonts w:hint="cs"/>
          <w:rtl/>
          <w:lang w:val="he-IL"/>
        </w:rPr>
        <w:t xml:space="preserve">. </w:t>
      </w:r>
      <w:r w:rsidR="0023254A" w:rsidRPr="0023254A">
        <w:rPr>
          <w:rtl/>
          <w:lang w:val="he-IL"/>
        </w:rPr>
        <w:t>מה טעם</w:t>
      </w:r>
      <w:r w:rsidR="003925EB">
        <w:rPr>
          <w:rFonts w:hint="cs"/>
          <w:rtl/>
          <w:lang w:val="he-IL"/>
        </w:rPr>
        <w:t>?</w:t>
      </w:r>
      <w:r w:rsidR="0023254A" w:rsidRPr="0023254A">
        <w:rPr>
          <w:rtl/>
          <w:lang w:val="he-IL"/>
        </w:rPr>
        <w:t xml:space="preserve"> </w:t>
      </w:r>
      <w:r w:rsidR="003925EB">
        <w:rPr>
          <w:rFonts w:hint="cs"/>
          <w:rtl/>
          <w:lang w:val="he-IL"/>
        </w:rPr>
        <w:t>"</w:t>
      </w:r>
      <w:r w:rsidR="0023254A" w:rsidRPr="0023254A">
        <w:rPr>
          <w:rtl/>
          <w:lang w:val="he-IL"/>
        </w:rPr>
        <w:t>עת לעשות ל</w:t>
      </w:r>
      <w:r w:rsidR="003925EB">
        <w:rPr>
          <w:rFonts w:hint="cs"/>
          <w:rtl/>
          <w:lang w:val="he-IL"/>
        </w:rPr>
        <w:t xml:space="preserve">ה' </w:t>
      </w:r>
      <w:r w:rsidR="0023254A" w:rsidRPr="0023254A">
        <w:rPr>
          <w:rtl/>
          <w:lang w:val="he-IL"/>
        </w:rPr>
        <w:t>הפרו תורתך</w:t>
      </w:r>
      <w:r w:rsidR="003925EB">
        <w:rPr>
          <w:rFonts w:hint="cs"/>
          <w:rtl/>
          <w:lang w:val="he-IL"/>
        </w:rPr>
        <w:t xml:space="preserve">" (תהלים קיט </w:t>
      </w:r>
      <w:proofErr w:type="spellStart"/>
      <w:r w:rsidR="003925EB">
        <w:rPr>
          <w:rFonts w:hint="cs"/>
          <w:rtl/>
          <w:lang w:val="he-IL"/>
        </w:rPr>
        <w:t>קכו</w:t>
      </w:r>
      <w:proofErr w:type="spellEnd"/>
      <w:r w:rsidR="003925EB">
        <w:rPr>
          <w:rFonts w:hint="cs"/>
          <w:rtl/>
          <w:lang w:val="he-IL"/>
        </w:rPr>
        <w:t>)</w:t>
      </w:r>
      <w:r w:rsidR="0023254A" w:rsidRPr="0023254A">
        <w:rPr>
          <w:rtl/>
          <w:lang w:val="he-IL"/>
        </w:rPr>
        <w:t>.</w:t>
      </w:r>
      <w:r w:rsidR="00600A59">
        <w:rPr>
          <w:rStyle w:val="a5"/>
          <w:rtl/>
          <w:lang w:val="he-IL"/>
        </w:rPr>
        <w:footnoteReference w:id="19"/>
      </w:r>
    </w:p>
    <w:p w14:paraId="7DEB0A62" w14:textId="77777777" w:rsidR="0023254A" w:rsidRPr="0023254A" w:rsidRDefault="0023254A" w:rsidP="00237EC4">
      <w:pPr>
        <w:pStyle w:val="ab"/>
        <w:rPr>
          <w:rtl/>
          <w:lang w:val="he-IL"/>
        </w:rPr>
      </w:pPr>
      <w:r w:rsidRPr="0023254A">
        <w:rPr>
          <w:rtl/>
          <w:lang w:val="he-IL"/>
        </w:rPr>
        <w:t xml:space="preserve">מסכת ברכות דף </w:t>
      </w:r>
      <w:proofErr w:type="spellStart"/>
      <w:r w:rsidRPr="0023254A">
        <w:rPr>
          <w:rtl/>
          <w:lang w:val="he-IL"/>
        </w:rPr>
        <w:t>כג</w:t>
      </w:r>
      <w:proofErr w:type="spellEnd"/>
      <w:r w:rsidRPr="0023254A">
        <w:rPr>
          <w:rtl/>
          <w:lang w:val="he-IL"/>
        </w:rPr>
        <w:t xml:space="preserve"> עמוד א</w:t>
      </w:r>
      <w:r w:rsidR="00237EC4">
        <w:rPr>
          <w:rFonts w:hint="cs"/>
          <w:rtl/>
          <w:lang w:val="he-IL"/>
        </w:rPr>
        <w:t xml:space="preserve"> </w:t>
      </w:r>
      <w:r w:rsidR="00237EC4">
        <w:rPr>
          <w:rFonts w:cs="David"/>
          <w:rtl/>
          <w:lang w:val="he-IL"/>
        </w:rPr>
        <w:t>–</w:t>
      </w:r>
      <w:r w:rsidR="00237EC4">
        <w:rPr>
          <w:rFonts w:hint="cs"/>
          <w:rtl/>
          <w:lang w:val="he-IL"/>
        </w:rPr>
        <w:t xml:space="preserve"> בין ספרי אגדה לתפילין</w:t>
      </w:r>
      <w:r w:rsidR="00237EC4">
        <w:rPr>
          <w:rStyle w:val="a5"/>
          <w:rtl/>
          <w:lang w:val="he-IL"/>
        </w:rPr>
        <w:footnoteReference w:id="20"/>
      </w:r>
    </w:p>
    <w:p w14:paraId="3CFA5D58" w14:textId="77777777" w:rsidR="00C72607" w:rsidRDefault="0023254A" w:rsidP="00237EC4">
      <w:pPr>
        <w:pStyle w:val="ac"/>
        <w:rPr>
          <w:rtl/>
          <w:lang w:val="he-IL"/>
        </w:rPr>
      </w:pPr>
      <w:r w:rsidRPr="0023254A">
        <w:rPr>
          <w:rtl/>
          <w:lang w:val="he-IL"/>
        </w:rPr>
        <w:t xml:space="preserve">אמר רבה בר </w:t>
      </w:r>
      <w:proofErr w:type="spellStart"/>
      <w:r w:rsidRPr="0023254A">
        <w:rPr>
          <w:rtl/>
          <w:lang w:val="he-IL"/>
        </w:rPr>
        <w:t>בר</w:t>
      </w:r>
      <w:proofErr w:type="spellEnd"/>
      <w:r w:rsidRPr="0023254A">
        <w:rPr>
          <w:rtl/>
          <w:lang w:val="he-IL"/>
        </w:rPr>
        <w:t xml:space="preserve"> חנה: </w:t>
      </w:r>
      <w:r w:rsidR="00237EC4">
        <w:rPr>
          <w:rFonts w:hint="cs"/>
          <w:rtl/>
          <w:lang w:val="he-IL"/>
        </w:rPr>
        <w:t xml:space="preserve">כאשר היינו הולכים אחרי </w:t>
      </w:r>
      <w:r w:rsidRPr="0023254A">
        <w:rPr>
          <w:rtl/>
          <w:lang w:val="he-IL"/>
        </w:rPr>
        <w:t>רבי יוחנן, כ</w:t>
      </w:r>
      <w:r w:rsidR="00237EC4">
        <w:rPr>
          <w:rFonts w:hint="cs"/>
          <w:rtl/>
          <w:lang w:val="he-IL"/>
        </w:rPr>
        <w:t xml:space="preserve">אשר היה רוצה להיכנס </w:t>
      </w:r>
      <w:r w:rsidRPr="0023254A">
        <w:rPr>
          <w:rtl/>
          <w:lang w:val="he-IL"/>
        </w:rPr>
        <w:t xml:space="preserve">לבית </w:t>
      </w:r>
      <w:proofErr w:type="spellStart"/>
      <w:r w:rsidRPr="0023254A">
        <w:rPr>
          <w:rtl/>
          <w:lang w:val="he-IL"/>
        </w:rPr>
        <w:t>הכסא</w:t>
      </w:r>
      <w:proofErr w:type="spellEnd"/>
      <w:r w:rsidRPr="0023254A">
        <w:rPr>
          <w:rtl/>
          <w:lang w:val="he-IL"/>
        </w:rPr>
        <w:t xml:space="preserve">, </w:t>
      </w:r>
      <w:r w:rsidR="00237EC4">
        <w:rPr>
          <w:rFonts w:hint="cs"/>
          <w:rtl/>
          <w:lang w:val="he-IL"/>
        </w:rPr>
        <w:t xml:space="preserve">אם היה מחזיק (בידו) </w:t>
      </w:r>
      <w:r w:rsidRPr="0023254A">
        <w:rPr>
          <w:rtl/>
          <w:lang w:val="he-IL"/>
        </w:rPr>
        <w:t xml:space="preserve">ספרא </w:t>
      </w:r>
      <w:proofErr w:type="spellStart"/>
      <w:r w:rsidRPr="0023254A">
        <w:rPr>
          <w:rtl/>
          <w:lang w:val="he-IL"/>
        </w:rPr>
        <w:t>דאגדתא</w:t>
      </w:r>
      <w:proofErr w:type="spellEnd"/>
      <w:r w:rsidRPr="0023254A">
        <w:rPr>
          <w:rtl/>
          <w:lang w:val="he-IL"/>
        </w:rPr>
        <w:t xml:space="preserve"> </w:t>
      </w:r>
      <w:r w:rsidR="00237EC4">
        <w:rPr>
          <w:rtl/>
          <w:lang w:val="he-IL"/>
        </w:rPr>
        <w:t>–</w:t>
      </w:r>
      <w:r w:rsidRPr="0023254A">
        <w:rPr>
          <w:rtl/>
          <w:lang w:val="he-IL"/>
        </w:rPr>
        <w:t xml:space="preserve"> ה</w:t>
      </w:r>
      <w:r w:rsidR="00237EC4">
        <w:rPr>
          <w:rFonts w:hint="cs"/>
          <w:rtl/>
          <w:lang w:val="he-IL"/>
        </w:rPr>
        <w:t xml:space="preserve">יה נותן לנו; וכאשר היה מחזיק </w:t>
      </w:r>
      <w:r w:rsidRPr="0023254A">
        <w:rPr>
          <w:rtl/>
          <w:lang w:val="he-IL"/>
        </w:rPr>
        <w:t>תפילין - לא ה</w:t>
      </w:r>
      <w:r w:rsidR="00237EC4">
        <w:rPr>
          <w:rFonts w:hint="cs"/>
          <w:rtl/>
          <w:lang w:val="he-IL"/>
        </w:rPr>
        <w:t>יה נותן לנו</w:t>
      </w:r>
      <w:r w:rsidRPr="0023254A">
        <w:rPr>
          <w:rtl/>
          <w:lang w:val="he-IL"/>
        </w:rPr>
        <w:t>, אמר: הואיל ו</w:t>
      </w:r>
      <w:r w:rsidR="00237EC4">
        <w:rPr>
          <w:rFonts w:hint="cs"/>
          <w:rtl/>
          <w:lang w:val="he-IL"/>
        </w:rPr>
        <w:t xml:space="preserve">התירום </w:t>
      </w:r>
      <w:r w:rsidRPr="0023254A">
        <w:rPr>
          <w:rtl/>
          <w:lang w:val="he-IL"/>
        </w:rPr>
        <w:t>רבנן -</w:t>
      </w:r>
      <w:r>
        <w:rPr>
          <w:rFonts w:hint="cs"/>
          <w:rtl/>
          <w:lang w:val="he-IL"/>
        </w:rPr>
        <w:t xml:space="preserve"> </w:t>
      </w:r>
      <w:r w:rsidR="00237EC4">
        <w:rPr>
          <w:rFonts w:hint="cs"/>
          <w:rtl/>
          <w:lang w:val="he-IL"/>
        </w:rPr>
        <w:t>ישמרוני</w:t>
      </w:r>
      <w:r w:rsidRPr="0023254A">
        <w:rPr>
          <w:rtl/>
          <w:lang w:val="he-IL"/>
        </w:rPr>
        <w:t>.</w:t>
      </w:r>
      <w:r w:rsidR="00DB68A2">
        <w:rPr>
          <w:rStyle w:val="a5"/>
          <w:rtl/>
          <w:lang w:val="he-IL"/>
        </w:rPr>
        <w:footnoteReference w:id="21"/>
      </w:r>
    </w:p>
    <w:p w14:paraId="6BDBC9AA" w14:textId="77777777" w:rsidR="006C0C92" w:rsidRPr="006C0C92" w:rsidRDefault="006C0C92" w:rsidP="00DB68A2">
      <w:pPr>
        <w:pStyle w:val="ab"/>
        <w:rPr>
          <w:rtl/>
          <w:lang w:val="he-IL"/>
        </w:rPr>
      </w:pPr>
      <w:r w:rsidRPr="006C0C92">
        <w:rPr>
          <w:rtl/>
          <w:lang w:val="he-IL"/>
        </w:rPr>
        <w:lastRenderedPageBreak/>
        <w:t xml:space="preserve">מסכת סנהדרין דף </w:t>
      </w:r>
      <w:proofErr w:type="spellStart"/>
      <w:r w:rsidRPr="006C0C92">
        <w:rPr>
          <w:rtl/>
          <w:lang w:val="he-IL"/>
        </w:rPr>
        <w:t>נז</w:t>
      </w:r>
      <w:proofErr w:type="spellEnd"/>
      <w:r w:rsidRPr="006C0C92">
        <w:rPr>
          <w:rtl/>
          <w:lang w:val="he-IL"/>
        </w:rPr>
        <w:t xml:space="preserve"> עמוד ב</w:t>
      </w:r>
      <w:r w:rsidR="00DB68A2">
        <w:rPr>
          <w:rFonts w:hint="cs"/>
          <w:rtl/>
          <w:lang w:val="he-IL"/>
        </w:rPr>
        <w:t xml:space="preserve"> </w:t>
      </w:r>
      <w:r w:rsidR="00DB68A2">
        <w:rPr>
          <w:rFonts w:cs="David"/>
          <w:rtl/>
          <w:lang w:val="he-IL"/>
        </w:rPr>
        <w:t>–</w:t>
      </w:r>
      <w:r w:rsidR="00DB68A2">
        <w:rPr>
          <w:rFonts w:hint="cs"/>
          <w:rtl/>
          <w:lang w:val="he-IL"/>
        </w:rPr>
        <w:t xml:space="preserve"> לימוד הלכה מספר אגדה</w:t>
      </w:r>
    </w:p>
    <w:p w14:paraId="69D470A6" w14:textId="77777777" w:rsidR="00DB68A2" w:rsidRDefault="006C0C92" w:rsidP="00DB68A2">
      <w:pPr>
        <w:pStyle w:val="ac"/>
        <w:rPr>
          <w:rtl/>
          <w:lang w:val="he-IL"/>
        </w:rPr>
      </w:pPr>
      <w:r w:rsidRPr="006C0C92">
        <w:rPr>
          <w:rtl/>
          <w:lang w:val="he-IL"/>
        </w:rPr>
        <w:t xml:space="preserve">אשכח רבי יעקב בר אחא דהוה כתיב בספר </w:t>
      </w:r>
      <w:proofErr w:type="spellStart"/>
      <w:r w:rsidRPr="006C0C92">
        <w:rPr>
          <w:rtl/>
          <w:lang w:val="he-IL"/>
        </w:rPr>
        <w:t>אגדתא</w:t>
      </w:r>
      <w:proofErr w:type="spellEnd"/>
      <w:r w:rsidRPr="006C0C92">
        <w:rPr>
          <w:rtl/>
          <w:lang w:val="he-IL"/>
        </w:rPr>
        <w:t xml:space="preserve"> דבי רב: </w:t>
      </w:r>
      <w:r w:rsidR="002B6BE5">
        <w:rPr>
          <w:rFonts w:hint="cs"/>
          <w:rtl/>
          <w:lang w:val="he-IL"/>
        </w:rPr>
        <w:t>"</w:t>
      </w:r>
      <w:r w:rsidRPr="006C0C92">
        <w:rPr>
          <w:rtl/>
          <w:lang w:val="he-IL"/>
        </w:rPr>
        <w:t xml:space="preserve">בן נח נהרג בדיין אחד, ובעד אחד, שלא בהתראה, מפי איש ולא מפי </w:t>
      </w:r>
      <w:proofErr w:type="spellStart"/>
      <w:r w:rsidRPr="006C0C92">
        <w:rPr>
          <w:rtl/>
          <w:lang w:val="he-IL"/>
        </w:rPr>
        <w:t>אשה</w:t>
      </w:r>
      <w:proofErr w:type="spellEnd"/>
      <w:r w:rsidRPr="006C0C92">
        <w:rPr>
          <w:rtl/>
          <w:lang w:val="he-IL"/>
        </w:rPr>
        <w:t>, ואפילו קרוב</w:t>
      </w:r>
      <w:r w:rsidR="002B6BE5">
        <w:rPr>
          <w:rFonts w:hint="cs"/>
          <w:rtl/>
          <w:lang w:val="he-IL"/>
        </w:rPr>
        <w:t>"</w:t>
      </w:r>
      <w:r w:rsidRPr="006C0C92">
        <w:rPr>
          <w:rtl/>
          <w:lang w:val="he-IL"/>
        </w:rPr>
        <w:t xml:space="preserve">. משום רבי ישמעאל אמרו: אף על </w:t>
      </w:r>
      <w:proofErr w:type="spellStart"/>
      <w:r w:rsidRPr="006C0C92">
        <w:rPr>
          <w:rtl/>
          <w:lang w:val="he-IL"/>
        </w:rPr>
        <w:t>העוברין</w:t>
      </w:r>
      <w:proofErr w:type="spellEnd"/>
      <w:r w:rsidRPr="006C0C92">
        <w:rPr>
          <w:rtl/>
          <w:lang w:val="he-IL"/>
        </w:rPr>
        <w:t xml:space="preserve">. מנהני מילי? אמר רב יהודה: </w:t>
      </w:r>
      <w:proofErr w:type="spellStart"/>
      <w:r w:rsidRPr="006C0C92">
        <w:rPr>
          <w:rtl/>
          <w:lang w:val="he-IL"/>
        </w:rPr>
        <w:t>דאמר</w:t>
      </w:r>
      <w:proofErr w:type="spellEnd"/>
      <w:r w:rsidRPr="006C0C92">
        <w:rPr>
          <w:rtl/>
          <w:lang w:val="he-IL"/>
        </w:rPr>
        <w:t xml:space="preserve"> קרא</w:t>
      </w:r>
      <w:r w:rsidR="00DB68A2">
        <w:rPr>
          <w:rFonts w:hint="cs"/>
          <w:rtl/>
          <w:lang w:val="he-IL"/>
        </w:rPr>
        <w:t>:</w:t>
      </w:r>
      <w:r w:rsidRPr="006C0C92">
        <w:rPr>
          <w:rtl/>
          <w:lang w:val="he-IL"/>
        </w:rPr>
        <w:t xml:space="preserve"> </w:t>
      </w:r>
      <w:r w:rsidR="00DB68A2">
        <w:rPr>
          <w:rFonts w:hint="cs"/>
          <w:rtl/>
          <w:lang w:val="he-IL"/>
        </w:rPr>
        <w:t>"</w:t>
      </w:r>
      <w:r w:rsidRPr="006C0C92">
        <w:rPr>
          <w:rtl/>
          <w:lang w:val="he-IL"/>
        </w:rPr>
        <w:t>אך את דמכם לנפש</w:t>
      </w:r>
      <w:r w:rsidR="00421431">
        <w:rPr>
          <w:rFonts w:hint="cs"/>
          <w:rtl/>
          <w:lang w:val="he-IL"/>
        </w:rPr>
        <w:t>ו</w:t>
      </w:r>
      <w:r w:rsidRPr="006C0C92">
        <w:rPr>
          <w:rtl/>
          <w:lang w:val="he-IL"/>
        </w:rPr>
        <w:t>תיכם אדר</w:t>
      </w:r>
      <w:r w:rsidR="00DB68A2">
        <w:rPr>
          <w:rFonts w:hint="cs"/>
          <w:rtl/>
          <w:lang w:val="he-IL"/>
        </w:rPr>
        <w:t>ו</w:t>
      </w:r>
      <w:r w:rsidRPr="006C0C92">
        <w:rPr>
          <w:rtl/>
          <w:lang w:val="he-IL"/>
        </w:rPr>
        <w:t>ש</w:t>
      </w:r>
      <w:r w:rsidR="00DB68A2">
        <w:rPr>
          <w:rFonts w:hint="cs"/>
          <w:rtl/>
          <w:lang w:val="he-IL"/>
        </w:rPr>
        <w:t>"</w:t>
      </w:r>
      <w:r w:rsidRPr="006C0C92">
        <w:rPr>
          <w:rtl/>
          <w:lang w:val="he-IL"/>
        </w:rPr>
        <w:t xml:space="preserve"> - אפילו בדיין אחד,</w:t>
      </w:r>
      <w:r w:rsidR="00DB68A2" w:rsidRPr="00DB68A2">
        <w:rPr>
          <w:rtl/>
          <w:lang w:val="he-IL"/>
        </w:rPr>
        <w:t xml:space="preserve"> </w:t>
      </w:r>
      <w:r w:rsidR="00DB68A2" w:rsidRPr="00A87308">
        <w:rPr>
          <w:rtl/>
          <w:lang w:val="he-IL"/>
        </w:rPr>
        <w:t xml:space="preserve">מיד כל חיה - אפילו שלא בהתראה, </w:t>
      </w:r>
      <w:proofErr w:type="spellStart"/>
      <w:r w:rsidR="00DB68A2" w:rsidRPr="00A87308">
        <w:rPr>
          <w:rtl/>
          <w:lang w:val="he-IL"/>
        </w:rPr>
        <w:t>אדרשנו</w:t>
      </w:r>
      <w:proofErr w:type="spellEnd"/>
      <w:r w:rsidR="00DB68A2" w:rsidRPr="00A87308">
        <w:rPr>
          <w:rtl/>
          <w:lang w:val="he-IL"/>
        </w:rPr>
        <w:t xml:space="preserve"> ומיד האדם - אפילו בעד אחד, מיד איש - ולא מיד </w:t>
      </w:r>
      <w:proofErr w:type="spellStart"/>
      <w:r w:rsidR="00DB68A2" w:rsidRPr="00A87308">
        <w:rPr>
          <w:rtl/>
          <w:lang w:val="he-IL"/>
        </w:rPr>
        <w:t>אשה</w:t>
      </w:r>
      <w:proofErr w:type="spellEnd"/>
      <w:r w:rsidR="00DB68A2" w:rsidRPr="00A87308">
        <w:rPr>
          <w:rtl/>
          <w:lang w:val="he-IL"/>
        </w:rPr>
        <w:t>, אחיו - אפילו קרוב.</w:t>
      </w:r>
      <w:r w:rsidR="00A62FF7">
        <w:rPr>
          <w:rStyle w:val="a5"/>
          <w:rtl/>
          <w:lang w:val="he-IL"/>
        </w:rPr>
        <w:footnoteReference w:id="22"/>
      </w:r>
    </w:p>
    <w:p w14:paraId="15F26DBE" w14:textId="77777777" w:rsidR="00A87308" w:rsidRPr="00A87308" w:rsidRDefault="00A87308" w:rsidP="00DB68A2">
      <w:pPr>
        <w:pStyle w:val="ab"/>
        <w:rPr>
          <w:rtl/>
          <w:lang w:val="he-IL"/>
        </w:rPr>
      </w:pPr>
      <w:r w:rsidRPr="00A87308">
        <w:rPr>
          <w:rtl/>
          <w:lang w:val="he-IL"/>
        </w:rPr>
        <w:t>ירושלמי ברכות פרק ה הלכה א</w:t>
      </w:r>
      <w:r w:rsidR="00DB68A2">
        <w:rPr>
          <w:rFonts w:hint="cs"/>
          <w:rtl/>
          <w:lang w:val="he-IL"/>
        </w:rPr>
        <w:t xml:space="preserve"> </w:t>
      </w:r>
      <w:r w:rsidR="00DB68A2">
        <w:rPr>
          <w:rFonts w:cs="David"/>
          <w:rtl/>
          <w:lang w:val="he-IL"/>
        </w:rPr>
        <w:t>–</w:t>
      </w:r>
      <w:r w:rsidR="00DB68A2">
        <w:rPr>
          <w:rFonts w:hint="cs"/>
          <w:rtl/>
          <w:lang w:val="he-IL"/>
        </w:rPr>
        <w:t xml:space="preserve"> בשבח הלומד אגדה מתוך הספר</w:t>
      </w:r>
    </w:p>
    <w:p w14:paraId="1068D8E9" w14:textId="77777777" w:rsidR="00A87308" w:rsidRDefault="00A87308" w:rsidP="00A87308">
      <w:pPr>
        <w:pStyle w:val="ac"/>
        <w:rPr>
          <w:rtl/>
          <w:lang w:val="he-IL"/>
        </w:rPr>
      </w:pPr>
      <w:r w:rsidRPr="00A87308">
        <w:rPr>
          <w:rtl/>
          <w:lang w:val="he-IL"/>
        </w:rPr>
        <w:t>אמר רבי יוחנן</w:t>
      </w:r>
      <w:r w:rsidR="00DB5B6D">
        <w:rPr>
          <w:rFonts w:hint="cs"/>
          <w:rtl/>
          <w:lang w:val="he-IL"/>
        </w:rPr>
        <w:t>:</w:t>
      </w:r>
      <w:r w:rsidRPr="00A87308">
        <w:rPr>
          <w:rtl/>
          <w:lang w:val="he-IL"/>
        </w:rPr>
        <w:t xml:space="preserve"> ברית כרותה היא</w:t>
      </w:r>
      <w:r w:rsidR="00DB5B6D">
        <w:rPr>
          <w:rFonts w:hint="cs"/>
          <w:rtl/>
          <w:lang w:val="he-IL"/>
        </w:rPr>
        <w:t>:</w:t>
      </w:r>
      <w:r w:rsidRPr="00A87308">
        <w:rPr>
          <w:rtl/>
          <w:lang w:val="he-IL"/>
        </w:rPr>
        <w:t xml:space="preserve"> היגע תלמודו בבית הכנסת</w:t>
      </w:r>
      <w:r w:rsidR="00A74F28">
        <w:rPr>
          <w:rFonts w:hint="cs"/>
          <w:rtl/>
          <w:lang w:val="he-IL"/>
        </w:rPr>
        <w:t>,</w:t>
      </w:r>
      <w:r w:rsidRPr="00A87308">
        <w:rPr>
          <w:rtl/>
          <w:lang w:val="he-IL"/>
        </w:rPr>
        <w:t xml:space="preserve"> לא במהרה הוא </w:t>
      </w:r>
      <w:proofErr w:type="spellStart"/>
      <w:r w:rsidRPr="00A87308">
        <w:rPr>
          <w:rtl/>
          <w:lang w:val="he-IL"/>
        </w:rPr>
        <w:t>משכח</w:t>
      </w:r>
      <w:proofErr w:type="spellEnd"/>
      <w:r w:rsidR="00DB5B6D">
        <w:rPr>
          <w:rFonts w:hint="cs"/>
          <w:rtl/>
          <w:lang w:val="he-IL"/>
        </w:rPr>
        <w:t>.</w:t>
      </w:r>
      <w:r w:rsidR="00421431">
        <w:rPr>
          <w:rStyle w:val="a5"/>
          <w:rtl/>
          <w:lang w:val="he-IL"/>
        </w:rPr>
        <w:footnoteReference w:id="23"/>
      </w:r>
      <w:r w:rsidRPr="00A87308">
        <w:rPr>
          <w:rtl/>
          <w:lang w:val="he-IL"/>
        </w:rPr>
        <w:t xml:space="preserve"> אמר רבי יוחנן </w:t>
      </w:r>
      <w:proofErr w:type="spellStart"/>
      <w:r w:rsidRPr="00A87308">
        <w:rPr>
          <w:rtl/>
          <w:lang w:val="he-IL"/>
        </w:rPr>
        <w:t>ענתנייתא</w:t>
      </w:r>
      <w:proofErr w:type="spellEnd"/>
      <w:r w:rsidR="00FF55E1">
        <w:rPr>
          <w:rFonts w:hint="cs"/>
          <w:rtl/>
          <w:lang w:val="he-IL"/>
        </w:rPr>
        <w:t>:</w:t>
      </w:r>
      <w:r w:rsidR="00FF55E1">
        <w:rPr>
          <w:rStyle w:val="a5"/>
          <w:rtl/>
          <w:lang w:val="he-IL"/>
        </w:rPr>
        <w:footnoteReference w:id="24"/>
      </w:r>
      <w:r w:rsidRPr="00A87308">
        <w:rPr>
          <w:rtl/>
          <w:lang w:val="he-IL"/>
        </w:rPr>
        <w:t xml:space="preserve"> ברית כרותה היא</w:t>
      </w:r>
      <w:r w:rsidR="008F2667">
        <w:rPr>
          <w:rFonts w:hint="cs"/>
          <w:rtl/>
          <w:lang w:val="he-IL"/>
        </w:rPr>
        <w:t>:</w:t>
      </w:r>
      <w:r w:rsidRPr="00A87308">
        <w:rPr>
          <w:rtl/>
          <w:lang w:val="he-IL"/>
        </w:rPr>
        <w:t xml:space="preserve"> היגע בתלמודו בצנעה</w:t>
      </w:r>
      <w:r w:rsidR="00A74F28">
        <w:rPr>
          <w:rFonts w:hint="cs"/>
          <w:rtl/>
          <w:lang w:val="he-IL"/>
        </w:rPr>
        <w:t>,</w:t>
      </w:r>
      <w:r w:rsidRPr="00A87308">
        <w:rPr>
          <w:rtl/>
          <w:lang w:val="he-IL"/>
        </w:rPr>
        <w:t xml:space="preserve"> לא במהרה הוא </w:t>
      </w:r>
      <w:proofErr w:type="spellStart"/>
      <w:r w:rsidRPr="00A87308">
        <w:rPr>
          <w:rtl/>
          <w:lang w:val="he-IL"/>
        </w:rPr>
        <w:t>משכח</w:t>
      </w:r>
      <w:proofErr w:type="spellEnd"/>
      <w:r w:rsidR="006B29B1">
        <w:rPr>
          <w:rFonts w:hint="cs"/>
          <w:rtl/>
          <w:lang w:val="he-IL"/>
        </w:rPr>
        <w:t>,</w:t>
      </w:r>
      <w:r w:rsidRPr="00A87308">
        <w:rPr>
          <w:rtl/>
          <w:lang w:val="he-IL"/>
        </w:rPr>
        <w:t xml:space="preserve"> מה טעם</w:t>
      </w:r>
      <w:r w:rsidR="006B29B1">
        <w:rPr>
          <w:rFonts w:hint="cs"/>
          <w:rtl/>
          <w:lang w:val="he-IL"/>
        </w:rPr>
        <w:t>?</w:t>
      </w:r>
      <w:r w:rsidRPr="00A87308">
        <w:rPr>
          <w:rtl/>
          <w:lang w:val="he-IL"/>
        </w:rPr>
        <w:t xml:space="preserve"> </w:t>
      </w:r>
      <w:r w:rsidR="006B29B1">
        <w:rPr>
          <w:rFonts w:hint="cs"/>
          <w:rtl/>
          <w:lang w:val="he-IL"/>
        </w:rPr>
        <w:t>"</w:t>
      </w:r>
      <w:r w:rsidRPr="00A87308">
        <w:rPr>
          <w:rtl/>
          <w:lang w:val="he-IL"/>
        </w:rPr>
        <w:t>ואת צנועים חכמה</w:t>
      </w:r>
      <w:r w:rsidR="006B29B1">
        <w:rPr>
          <w:rFonts w:hint="cs"/>
          <w:rtl/>
          <w:lang w:val="he-IL"/>
        </w:rPr>
        <w:t xml:space="preserve">" </w:t>
      </w:r>
      <w:r w:rsidR="006B29B1" w:rsidRPr="00A87308">
        <w:rPr>
          <w:rtl/>
          <w:lang w:val="he-IL"/>
        </w:rPr>
        <w:t>[משלי יא ב]</w:t>
      </w:r>
      <w:r w:rsidR="006B29B1">
        <w:rPr>
          <w:rFonts w:hint="cs"/>
          <w:rtl/>
          <w:lang w:val="he-IL"/>
        </w:rPr>
        <w:t>.</w:t>
      </w:r>
      <w:r w:rsidRPr="00A87308">
        <w:rPr>
          <w:rtl/>
          <w:lang w:val="he-IL"/>
        </w:rPr>
        <w:t xml:space="preserve"> אמר רבי יוחנן</w:t>
      </w:r>
      <w:r w:rsidR="006B29B1">
        <w:rPr>
          <w:rFonts w:hint="cs"/>
          <w:rtl/>
          <w:lang w:val="he-IL"/>
        </w:rPr>
        <w:t>:</w:t>
      </w:r>
      <w:r w:rsidRPr="00A87308">
        <w:rPr>
          <w:rtl/>
          <w:lang w:val="he-IL"/>
        </w:rPr>
        <w:t xml:space="preserve"> ברית כרותה היא</w:t>
      </w:r>
      <w:r w:rsidR="006B29B1">
        <w:rPr>
          <w:rFonts w:hint="cs"/>
          <w:rtl/>
          <w:lang w:val="he-IL"/>
        </w:rPr>
        <w:t>:</w:t>
      </w:r>
      <w:r w:rsidRPr="00A87308">
        <w:rPr>
          <w:rtl/>
          <w:lang w:val="he-IL"/>
        </w:rPr>
        <w:t xml:space="preserve"> הלמד אגדה מתוך הספר</w:t>
      </w:r>
      <w:r w:rsidR="008F2667">
        <w:rPr>
          <w:rFonts w:hint="cs"/>
          <w:rtl/>
          <w:lang w:val="he-IL"/>
        </w:rPr>
        <w:t>,</w:t>
      </w:r>
      <w:r w:rsidRPr="00A87308">
        <w:rPr>
          <w:rtl/>
          <w:lang w:val="he-IL"/>
        </w:rPr>
        <w:t xml:space="preserve"> לא במהרה הוא </w:t>
      </w:r>
      <w:proofErr w:type="spellStart"/>
      <w:r w:rsidRPr="00A87308">
        <w:rPr>
          <w:rtl/>
          <w:lang w:val="he-IL"/>
        </w:rPr>
        <w:t>משכח</w:t>
      </w:r>
      <w:proofErr w:type="spellEnd"/>
      <w:r w:rsidR="006B29B1">
        <w:rPr>
          <w:rFonts w:hint="cs"/>
          <w:rtl/>
          <w:lang w:val="he-IL"/>
        </w:rPr>
        <w:t>.</w:t>
      </w:r>
      <w:r w:rsidR="005B75EC">
        <w:rPr>
          <w:rStyle w:val="a5"/>
          <w:rtl/>
          <w:lang w:val="he-IL"/>
        </w:rPr>
        <w:footnoteReference w:id="25"/>
      </w:r>
      <w:r w:rsidRPr="00A87308">
        <w:rPr>
          <w:rtl/>
          <w:lang w:val="he-IL"/>
        </w:rPr>
        <w:t xml:space="preserve"> </w:t>
      </w:r>
      <w:proofErr w:type="spellStart"/>
      <w:r w:rsidRPr="00A87308">
        <w:rPr>
          <w:rtl/>
          <w:lang w:val="he-IL"/>
        </w:rPr>
        <w:t>א"ר</w:t>
      </w:r>
      <w:proofErr w:type="spellEnd"/>
      <w:r w:rsidRPr="00A87308">
        <w:rPr>
          <w:rtl/>
          <w:lang w:val="he-IL"/>
        </w:rPr>
        <w:t xml:space="preserve"> תנחום</w:t>
      </w:r>
      <w:r w:rsidR="006B29B1">
        <w:rPr>
          <w:rFonts w:hint="cs"/>
          <w:rtl/>
          <w:lang w:val="he-IL"/>
        </w:rPr>
        <w:t>:</w:t>
      </w:r>
      <w:r w:rsidRPr="00A87308">
        <w:rPr>
          <w:rtl/>
          <w:lang w:val="he-IL"/>
        </w:rPr>
        <w:t xml:space="preserve"> הסובר תלמודו לא במהרה הוא </w:t>
      </w:r>
      <w:proofErr w:type="spellStart"/>
      <w:r w:rsidRPr="00A87308">
        <w:rPr>
          <w:rtl/>
          <w:lang w:val="he-IL"/>
        </w:rPr>
        <w:t>משכח</w:t>
      </w:r>
      <w:proofErr w:type="spellEnd"/>
      <w:r w:rsidR="00B265C8">
        <w:rPr>
          <w:rFonts w:hint="cs"/>
          <w:rtl/>
          <w:lang w:val="he-IL"/>
        </w:rPr>
        <w:t>, מה טעם? "פן תשכח את הדברים אשר ראו עיניך" (דברים ד ט)</w:t>
      </w:r>
      <w:r w:rsidR="006B29B1">
        <w:rPr>
          <w:rFonts w:hint="cs"/>
          <w:rtl/>
          <w:lang w:val="he-IL"/>
        </w:rPr>
        <w:t>.</w:t>
      </w:r>
      <w:r w:rsidR="005B75EC">
        <w:rPr>
          <w:rStyle w:val="a5"/>
          <w:rtl/>
          <w:lang w:val="he-IL"/>
        </w:rPr>
        <w:footnoteReference w:id="26"/>
      </w:r>
    </w:p>
    <w:p w14:paraId="21560FAE" w14:textId="77777777" w:rsidR="00A87308" w:rsidRDefault="00A87308" w:rsidP="00A87308">
      <w:pPr>
        <w:pStyle w:val="ac"/>
        <w:rPr>
          <w:rtl/>
          <w:lang w:val="he-IL"/>
        </w:rPr>
      </w:pPr>
    </w:p>
    <w:p w14:paraId="7DA4400D" w14:textId="77777777" w:rsidR="00360A49" w:rsidRDefault="00360A49" w:rsidP="0023254A">
      <w:pPr>
        <w:pStyle w:val="ad"/>
        <w:rPr>
          <w:rFonts w:hint="cs"/>
          <w:rtl/>
          <w:lang w:val="he-IL"/>
        </w:rPr>
      </w:pPr>
      <w:r>
        <w:rPr>
          <w:rFonts w:hint="cs"/>
          <w:rtl/>
          <w:lang w:val="he-IL"/>
        </w:rPr>
        <w:t>מחלקי המים</w:t>
      </w:r>
    </w:p>
    <w:p w14:paraId="213A3B9E" w14:textId="77777777" w:rsidR="00411527" w:rsidRDefault="00360A49" w:rsidP="00BB2ABA">
      <w:pPr>
        <w:autoSpaceDE w:val="0"/>
        <w:autoSpaceDN w:val="0"/>
        <w:adjustRightInd w:val="0"/>
        <w:spacing w:before="120" w:line="320" w:lineRule="atLeast"/>
        <w:jc w:val="both"/>
        <w:rPr>
          <w:rFonts w:ascii="Narkisim" w:hAnsi="Narkisim"/>
          <w:color w:val="000000"/>
          <w:rtl/>
          <w:lang w:eastAsia="en-US"/>
        </w:rPr>
      </w:pPr>
      <w:r w:rsidRPr="00DE1102">
        <w:rPr>
          <w:rFonts w:hint="cs"/>
          <w:b/>
          <w:bCs/>
          <w:rtl/>
          <w:lang w:val="he-IL"/>
        </w:rPr>
        <w:t>מים אחרונים</w:t>
      </w:r>
      <w:r w:rsidRPr="00DE1102">
        <w:rPr>
          <w:rFonts w:ascii="Narkisim" w:hAnsi="Narkisim"/>
          <w:rtl/>
          <w:lang w:val="he-IL"/>
        </w:rPr>
        <w:t>:</w:t>
      </w:r>
      <w:r w:rsidR="00411527">
        <w:rPr>
          <w:rFonts w:ascii="Narkisim" w:hAnsi="Narkisim" w:hint="cs"/>
          <w:rtl/>
          <w:lang w:val="he-IL"/>
        </w:rPr>
        <w:t xml:space="preserve"> נושא כתיבת ספרי אגדה, נדון בהרחבה בספרות המחקר. סיכום תמציתי ניתן למצוא במאמר</w:t>
      </w:r>
      <w:r w:rsidR="00BB2ABA">
        <w:rPr>
          <w:rFonts w:ascii="Narkisim" w:hAnsi="Narkisim" w:hint="cs"/>
          <w:rtl/>
          <w:lang w:val="he-IL"/>
        </w:rPr>
        <w:t>/ספר</w:t>
      </w:r>
      <w:r w:rsidR="00411527">
        <w:rPr>
          <w:rFonts w:ascii="Narkisim" w:hAnsi="Narkisim" w:hint="cs"/>
          <w:rtl/>
          <w:lang w:val="he-IL"/>
        </w:rPr>
        <w:t xml:space="preserve"> המקיף של </w:t>
      </w:r>
      <w:hyperlink r:id="rId8" w:history="1">
        <w:r w:rsidR="00411527" w:rsidRPr="00BB2ABA">
          <w:rPr>
            <w:rStyle w:val="Hyperlink"/>
            <w:rFonts w:ascii="Narkisim" w:hAnsi="Narkisim" w:hint="cs"/>
            <w:rtl/>
            <w:lang w:val="he-IL"/>
          </w:rPr>
          <w:t>יעקב זוסמן</w:t>
        </w:r>
        <w:r w:rsidR="00BB2ABA" w:rsidRPr="00BB2ABA">
          <w:rPr>
            <w:rStyle w:val="Hyperlink"/>
            <w:rFonts w:ascii="Narkisim" w:hAnsi="Narkisim" w:hint="cs"/>
            <w:rtl/>
            <w:lang w:val="he-IL"/>
          </w:rPr>
          <w:t>, תורה שבעל פה פשוטה כמשמעה</w:t>
        </w:r>
      </w:hyperlink>
      <w:r w:rsidR="00BB2ABA">
        <w:rPr>
          <w:rFonts w:ascii="Narkisim" w:hAnsi="Narkisim" w:hint="cs"/>
          <w:rtl/>
          <w:lang w:val="he-IL"/>
        </w:rPr>
        <w:t xml:space="preserve">, הוצאת מאגנס, 2019. </w:t>
      </w:r>
      <w:r w:rsidR="00411527">
        <w:rPr>
          <w:rFonts w:ascii="Narkisim" w:hAnsi="Narkisim" w:hint="cs"/>
          <w:rtl/>
          <w:lang w:val="he-IL"/>
        </w:rPr>
        <w:t>נביא מעט מדבריו שם: "</w:t>
      </w:r>
      <w:r w:rsidR="00411527">
        <w:rPr>
          <w:rFonts w:ascii="Narkisim" w:hAnsi="Narkisim" w:hint="cs"/>
          <w:color w:val="000000"/>
          <w:rtl/>
          <w:lang w:eastAsia="en-US"/>
        </w:rPr>
        <w:t>ברור שספרי אגדה היו קיימים לפחות מימי האמוראים ואילך, גם בארץ ישראל וגם בבבל, והיו חכמים שהורו היתר לעצמם לעיין מפעם לפעם בספרי אגדה, למרות התנגדותם החריפה של חכמים אחרים ... ייתכן אולי שבכמה מהמקורות הכוונה לעיסוק באגדה מתוך ספרי מקרא כלשהם, ואולם אין ספק שנזכרים גם ספרי אגדה ממש ...  ואילו בהלכה</w:t>
      </w:r>
      <w:r w:rsidR="00BB2ABA">
        <w:rPr>
          <w:rFonts w:ascii="Narkisim" w:hAnsi="Narkisim" w:hint="cs"/>
          <w:color w:val="000000"/>
          <w:rtl/>
          <w:lang w:eastAsia="en-US"/>
        </w:rPr>
        <w:t>, אין שום זכר לספר כלשהו, אע"פ שדווקא זה היה עיסוקים העיקרי של חכמים ... האבחנה בין אגדה להלכה ברורה לחלוטין, שהרי אותו ר' יוחנן הממליץ על לימוד אגדה מתוך הספר, משמו נמסר ש"כותבי הלכות כשורפי תורה והלומד מהם אינו נוטל שכר".</w:t>
      </w:r>
    </w:p>
    <w:p w14:paraId="520DF0D8" w14:textId="77777777" w:rsidR="00411527" w:rsidRPr="00DE1102" w:rsidRDefault="00411527" w:rsidP="00411527">
      <w:pPr>
        <w:autoSpaceDE w:val="0"/>
        <w:autoSpaceDN w:val="0"/>
        <w:adjustRightInd w:val="0"/>
        <w:spacing w:before="120" w:line="320" w:lineRule="atLeast"/>
        <w:jc w:val="both"/>
        <w:rPr>
          <w:rFonts w:ascii="Narkisim" w:hAnsi="Narkisim" w:hint="cs"/>
          <w:color w:val="000000"/>
          <w:rtl/>
          <w:lang w:eastAsia="en-US"/>
        </w:rPr>
      </w:pPr>
      <w:r>
        <w:rPr>
          <w:rFonts w:ascii="TimesNewRomanPSMT-Identity-H" w:cs="TimesNewRomanPSMT-Identity-H" w:hint="cs"/>
          <w:color w:val="FFFFFF"/>
          <w:sz w:val="20"/>
          <w:szCs w:val="20"/>
          <w:rtl/>
          <w:lang w:eastAsia="en-US"/>
        </w:rPr>
        <w:t>ברור</w:t>
      </w:r>
      <w:r>
        <w:rPr>
          <w:rFonts w:ascii="TimesNewRomanPSMT-Identity-H" w:cs="TimesNewRomanPSMT-Identity-H"/>
          <w:color w:val="FFFFFF"/>
          <w:sz w:val="20"/>
          <w:szCs w:val="20"/>
          <w:rtl/>
          <w:lang w:eastAsia="en-US"/>
        </w:rPr>
        <w:t xml:space="preserve"> </w:t>
      </w:r>
      <w:r>
        <w:rPr>
          <w:rFonts w:ascii="TimesNewRomanPSMT-Identity-H" w:cs="TimesNewRomanPSMT-Identity-H" w:hint="cs"/>
          <w:color w:val="FFFFFF"/>
          <w:sz w:val="26"/>
          <w:szCs w:val="26"/>
          <w:rtl/>
          <w:lang w:eastAsia="en-US"/>
        </w:rPr>
        <w:t>שספרי</w:t>
      </w:r>
      <w:r>
        <w:rPr>
          <w:rFonts w:ascii="TimesNewRomanPSMT-Identity-H" w:cs="TimesNewRomanPSMT-Identity-H"/>
          <w:color w:val="FFFFFF"/>
          <w:sz w:val="26"/>
          <w:szCs w:val="26"/>
          <w:rtl/>
          <w:lang w:eastAsia="en-US"/>
        </w:rPr>
        <w:t xml:space="preserve"> </w:t>
      </w:r>
      <w:r>
        <w:rPr>
          <w:rFonts w:ascii="TimesNewRomanPSMT-Identity-H" w:cs="TimesNewRomanPSMT-Identity-H" w:hint="cs"/>
          <w:color w:val="FFFFFF"/>
          <w:rtl/>
          <w:lang w:eastAsia="en-US"/>
        </w:rPr>
        <w:t>אגדה</w:t>
      </w:r>
      <w:r>
        <w:rPr>
          <w:rFonts w:ascii="TimesNewRomanPSMT-Identity-H" w:cs="TimesNewRomanPSMT-Identity-H"/>
          <w:color w:val="FFFFFF"/>
          <w:rtl/>
          <w:lang w:eastAsia="en-US"/>
        </w:rPr>
        <w:t xml:space="preserve"> </w:t>
      </w:r>
      <w:r>
        <w:rPr>
          <w:rFonts w:ascii="TimesNewRomanPSMT-Identity-H" w:cs="TimesNewRomanPSMT-Identity-H" w:hint="cs"/>
          <w:color w:val="FFFFFF"/>
          <w:rtl/>
          <w:lang w:eastAsia="en-US"/>
        </w:rPr>
        <w:t>היו</w:t>
      </w:r>
      <w:r>
        <w:rPr>
          <w:rFonts w:ascii="TimesNewRomanPSMT-Identity-H" w:cs="TimesNewRomanPSMT-Identity-H"/>
          <w:color w:val="FFFFFF"/>
          <w:rtl/>
          <w:lang w:eastAsia="en-US"/>
        </w:rPr>
        <w:t xml:space="preserve"> </w:t>
      </w:r>
      <w:r>
        <w:rPr>
          <w:rFonts w:ascii="TimesNewRomanPSMT-Identity-H" w:cs="TimesNewRomanPSMT-Identity-H" w:hint="cs"/>
          <w:color w:val="FFFFFF"/>
          <w:rtl/>
          <w:lang w:eastAsia="en-US"/>
        </w:rPr>
        <w:t>קיימים</w:t>
      </w:r>
      <w:r>
        <w:rPr>
          <w:rFonts w:ascii="TimesNewRomanPSMT-Identity-H" w:cs="TimesNewRomanPSMT-Identity-H"/>
          <w:color w:val="FFFFFF"/>
          <w:rtl/>
          <w:lang w:eastAsia="en-US"/>
        </w:rPr>
        <w:t xml:space="preserve"> </w:t>
      </w:r>
      <w:r>
        <w:rPr>
          <w:rFonts w:ascii="TimesNewRomanPSMT-Identity-H" w:cs="TimesNewRomanPSMT-Identity-H" w:hint="cs"/>
          <w:color w:val="FFFFFF"/>
          <w:sz w:val="23"/>
          <w:szCs w:val="23"/>
          <w:rtl/>
          <w:lang w:eastAsia="en-US"/>
        </w:rPr>
        <w:t>לפחות</w:t>
      </w:r>
      <w:r>
        <w:rPr>
          <w:rFonts w:ascii="TimesNewRomanPSMT-Identity-H" w:cs="TimesNewRomanPSMT-Identity-H"/>
          <w:color w:val="FFFFFF"/>
          <w:sz w:val="23"/>
          <w:szCs w:val="23"/>
          <w:rtl/>
          <w:lang w:eastAsia="en-US"/>
        </w:rPr>
        <w:t xml:space="preserve"> </w:t>
      </w:r>
      <w:r>
        <w:rPr>
          <w:rFonts w:ascii="TimesNewRomanPSMT-Identity-H" w:cs="TimesNewRomanPSMT-Identity-H" w:hint="cs"/>
          <w:color w:val="FFFFFF"/>
          <w:sz w:val="24"/>
          <w:szCs w:val="24"/>
          <w:rtl/>
          <w:lang w:eastAsia="en-US"/>
        </w:rPr>
        <w:t>מימי</w:t>
      </w:r>
      <w:r>
        <w:rPr>
          <w:rFonts w:ascii="TimesNewRomanPSMT-Identity-H" w:cs="TimesNewRomanPSMT-Identity-H"/>
          <w:color w:val="FFFFFF"/>
          <w:sz w:val="24"/>
          <w:szCs w:val="24"/>
          <w:rtl/>
          <w:lang w:eastAsia="en-US"/>
        </w:rPr>
        <w:t xml:space="preserve"> </w:t>
      </w:r>
      <w:r>
        <w:rPr>
          <w:rFonts w:ascii="TimesNewRomanPSMT-Identity-H" w:cs="TimesNewRomanPSMT-Identity-H" w:hint="cs"/>
          <w:color w:val="FFFFFF"/>
          <w:rtl/>
          <w:lang w:eastAsia="en-US"/>
        </w:rPr>
        <w:t>האמוראים</w:t>
      </w:r>
      <w:r>
        <w:rPr>
          <w:rFonts w:ascii="TimesNewRomanPSMT-Identity-H" w:cs="TimesNewRomanPSMT-Identity-H"/>
          <w:color w:val="FFFFFF"/>
          <w:rtl/>
          <w:lang w:eastAsia="en-US"/>
        </w:rPr>
        <w:t xml:space="preserve"> </w:t>
      </w:r>
      <w:r>
        <w:rPr>
          <w:rFonts w:ascii="TimesNewRomanPSMT-Identity-H" w:cs="TimesNewRomanPSMT-Identity-H" w:hint="cs"/>
          <w:color w:val="FFFFFF"/>
          <w:sz w:val="21"/>
          <w:szCs w:val="21"/>
          <w:rtl/>
          <w:lang w:eastAsia="en-US"/>
        </w:rPr>
        <w:t>ואילך</w:t>
      </w:r>
      <w:r>
        <w:rPr>
          <w:rFonts w:ascii="TimesNewRomanPSMT-Identity-H" w:cs="TimesNewRomanPSMT-Identity-H"/>
          <w:color w:val="FFFFFF"/>
          <w:sz w:val="21"/>
          <w:szCs w:val="21"/>
          <w:rtl/>
          <w:lang w:eastAsia="en-US"/>
        </w:rPr>
        <w:t xml:space="preserve">, </w:t>
      </w:r>
      <w:r>
        <w:rPr>
          <w:rFonts w:ascii="TimesNewRomanPSMT-Identity-H" w:cs="TimesNewRomanPSMT-Identity-H" w:hint="cs"/>
          <w:color w:val="FFFFFF"/>
          <w:sz w:val="21"/>
          <w:szCs w:val="21"/>
          <w:rtl/>
          <w:lang w:eastAsia="en-US"/>
        </w:rPr>
        <w:t>גם</w:t>
      </w:r>
      <w:r>
        <w:rPr>
          <w:rFonts w:ascii="TimesNewRomanPSMT-Identity-H" w:cs="TimesNewRomanPSMT-Identity-H"/>
          <w:color w:val="FFFFFF"/>
          <w:sz w:val="21"/>
          <w:szCs w:val="21"/>
          <w:rtl/>
          <w:lang w:eastAsia="en-US"/>
        </w:rPr>
        <w:t xml:space="preserve"> </w:t>
      </w:r>
      <w:r>
        <w:rPr>
          <w:rFonts w:ascii="TimesNewRomanPSMT-Identity-H" w:cs="TimesNewRomanPSMT-Identity-H" w:hint="cs"/>
          <w:color w:val="FFFFFF"/>
          <w:sz w:val="21"/>
          <w:szCs w:val="21"/>
          <w:rtl/>
          <w:lang w:eastAsia="en-US"/>
        </w:rPr>
        <w:t>בארץ</w:t>
      </w:r>
    </w:p>
    <w:sectPr w:rsidR="00411527" w:rsidRPr="00DE1102" w:rsidSect="0013082D">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A2FFB" w14:textId="77777777" w:rsidR="006058F4" w:rsidRDefault="006058F4">
      <w:r>
        <w:separator/>
      </w:r>
    </w:p>
  </w:endnote>
  <w:endnote w:type="continuationSeparator" w:id="0">
    <w:p w14:paraId="3516B885" w14:textId="77777777" w:rsidR="006058F4" w:rsidRDefault="0060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Identity-H">
    <w:altName w:val="Arial"/>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A93A" w14:textId="77777777" w:rsidR="00AE2222" w:rsidRPr="00F8747C" w:rsidRDefault="00AE2222"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2458B">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2458B">
      <w:rPr>
        <w:rStyle w:val="af"/>
        <w:noProof/>
        <w:rtl/>
      </w:rPr>
      <w:t>2</w:t>
    </w:r>
    <w:r w:rsidRPr="00F8747C">
      <w:rPr>
        <w:rStyle w:val="af"/>
      </w:rPr>
      <w:fldChar w:fldCharType="end"/>
    </w:r>
  </w:p>
  <w:p w14:paraId="6539E2DF" w14:textId="77777777" w:rsidR="00AE2222" w:rsidRDefault="00AE22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D5D24" w14:textId="77777777" w:rsidR="006058F4" w:rsidRDefault="006058F4">
      <w:r>
        <w:rPr>
          <w:rtl/>
        </w:rPr>
        <w:separator/>
      </w:r>
    </w:p>
  </w:footnote>
  <w:footnote w:type="continuationSeparator" w:id="0">
    <w:p w14:paraId="3BA32445" w14:textId="77777777" w:rsidR="006058F4" w:rsidRDefault="006058F4">
      <w:r>
        <w:continuationSeparator/>
      </w:r>
    </w:p>
  </w:footnote>
  <w:footnote w:id="1">
    <w:p w14:paraId="12511C09" w14:textId="77777777" w:rsidR="00215BA4" w:rsidRDefault="00215BA4" w:rsidP="00471A04">
      <w:pPr>
        <w:pStyle w:val="a3"/>
        <w:rPr>
          <w:rFonts w:hint="cs"/>
          <w:rtl/>
        </w:rPr>
      </w:pPr>
      <w:r>
        <w:rPr>
          <w:rStyle w:val="a5"/>
        </w:rPr>
        <w:footnoteRef/>
      </w:r>
      <w:r>
        <w:rPr>
          <w:rtl/>
        </w:rPr>
        <w:t xml:space="preserve"> </w:t>
      </w:r>
      <w:r w:rsidR="00471A04">
        <w:rPr>
          <w:rFonts w:hint="cs"/>
          <w:rtl/>
        </w:rPr>
        <w:t xml:space="preserve">ובגמרא </w:t>
      </w:r>
      <w:r w:rsidR="00471A04">
        <w:rPr>
          <w:rtl/>
        </w:rPr>
        <w:t>מסכת תמורה דף יד עמוד ב</w:t>
      </w:r>
      <w:r w:rsidR="00471A04">
        <w:rPr>
          <w:rFonts w:hint="cs"/>
          <w:rtl/>
        </w:rPr>
        <w:t>: "</w:t>
      </w:r>
      <w:proofErr w:type="spellStart"/>
      <w:r w:rsidR="00471A04">
        <w:rPr>
          <w:rtl/>
        </w:rPr>
        <w:t>א"ר</w:t>
      </w:r>
      <w:proofErr w:type="spellEnd"/>
      <w:r w:rsidR="00471A04">
        <w:rPr>
          <w:rtl/>
        </w:rPr>
        <w:t xml:space="preserve"> יוחנן: כותבי הלכות כשורף התורה, והלמד מהן - אינו נוטל שכר. דרש ר' יהודה בר נחמני מתורגמניה </w:t>
      </w:r>
      <w:proofErr w:type="spellStart"/>
      <w:r w:rsidR="00471A04">
        <w:rPr>
          <w:rtl/>
        </w:rPr>
        <w:t>דר"ל</w:t>
      </w:r>
      <w:proofErr w:type="spellEnd"/>
      <w:r w:rsidR="00471A04">
        <w:rPr>
          <w:rtl/>
        </w:rPr>
        <w:t xml:space="preserve">: כתוב אחד אומר כתוב לך את הדברים האלה, וכתוב אחד אומר כי על פי הדברים האלה, לומר לך דברים שעל פה - אי אתה רשאי לאומרן בכתב, ושבכתב - אי אתה רשאי לאומרן על פה. ותנא דבי רבי ישמעאל: כתוב לך את הדברים האלה - אלה אתה כותב, אבל אין אתה כותב הלכות! </w:t>
      </w:r>
      <w:r>
        <w:rPr>
          <w:rFonts w:hint="cs"/>
          <w:rtl/>
        </w:rPr>
        <w:t xml:space="preserve">ראו דברינו </w:t>
      </w:r>
      <w:hyperlink r:id="rId1" w:anchor="gsc.tab=0" w:history="1">
        <w:r w:rsidRPr="00215BA4">
          <w:rPr>
            <w:rStyle w:val="Hyperlink"/>
            <w:rFonts w:hint="cs"/>
            <w:rtl/>
          </w:rPr>
          <w:t>כתוב לך את הדברים האלה</w:t>
        </w:r>
      </w:hyperlink>
      <w:r>
        <w:rPr>
          <w:rFonts w:hint="cs"/>
          <w:rtl/>
        </w:rPr>
        <w:t xml:space="preserve"> בפרשת כי </w:t>
      </w:r>
      <w:proofErr w:type="spellStart"/>
      <w:r>
        <w:rPr>
          <w:rFonts w:hint="cs"/>
          <w:rtl/>
        </w:rPr>
        <w:t>תשא</w:t>
      </w:r>
      <w:proofErr w:type="spellEnd"/>
      <w:r>
        <w:rPr>
          <w:rFonts w:hint="cs"/>
          <w:rtl/>
        </w:rPr>
        <w:t>.</w:t>
      </w:r>
    </w:p>
  </w:footnote>
  <w:footnote w:id="2">
    <w:p w14:paraId="4CAD3B11" w14:textId="77777777" w:rsidR="00445DFE" w:rsidRDefault="00445DFE" w:rsidP="00445DFE">
      <w:pPr>
        <w:pStyle w:val="a3"/>
        <w:rPr>
          <w:rFonts w:hint="cs"/>
        </w:rPr>
      </w:pPr>
      <w:r>
        <w:rPr>
          <w:rStyle w:val="a5"/>
        </w:rPr>
        <w:footnoteRef/>
      </w:r>
      <w:r>
        <w:rPr>
          <w:rtl/>
        </w:rPr>
        <w:t xml:space="preserve"> </w:t>
      </w:r>
      <w:proofErr w:type="spellStart"/>
      <w:r>
        <w:rPr>
          <w:rFonts w:hint="cs"/>
          <w:rtl/>
        </w:rPr>
        <w:t>מתקלל</w:t>
      </w:r>
      <w:proofErr w:type="spellEnd"/>
      <w:r>
        <w:rPr>
          <w:rFonts w:hint="cs"/>
          <w:rtl/>
        </w:rPr>
        <w:t xml:space="preserve"> בלשון </w:t>
      </w:r>
      <w:proofErr w:type="spellStart"/>
      <w:r>
        <w:rPr>
          <w:rFonts w:hint="cs"/>
          <w:rtl/>
        </w:rPr>
        <w:t>סגינהור</w:t>
      </w:r>
      <w:proofErr w:type="spellEnd"/>
      <w:r>
        <w:rPr>
          <w:rFonts w:hint="cs"/>
          <w:rtl/>
        </w:rPr>
        <w:t xml:space="preserve">, כמו "ברך </w:t>
      </w:r>
      <w:proofErr w:type="spellStart"/>
      <w:r>
        <w:rPr>
          <w:rFonts w:hint="cs"/>
          <w:rtl/>
        </w:rPr>
        <w:t>אלהים</w:t>
      </w:r>
      <w:proofErr w:type="spellEnd"/>
      <w:r>
        <w:rPr>
          <w:rFonts w:hint="cs"/>
          <w:rtl/>
        </w:rPr>
        <w:t xml:space="preserve"> ומות" (איוב א), "ברך נבות </w:t>
      </w:r>
      <w:proofErr w:type="spellStart"/>
      <w:r>
        <w:rPr>
          <w:rFonts w:hint="cs"/>
          <w:rtl/>
        </w:rPr>
        <w:t>אלהים</w:t>
      </w:r>
      <w:proofErr w:type="spellEnd"/>
      <w:r>
        <w:rPr>
          <w:rFonts w:hint="cs"/>
          <w:rtl/>
        </w:rPr>
        <w:t xml:space="preserve"> ומלך" (מלכים א </w:t>
      </w:r>
      <w:proofErr w:type="spellStart"/>
      <w:r>
        <w:rPr>
          <w:rFonts w:hint="cs"/>
          <w:rtl/>
        </w:rPr>
        <w:t>כא</w:t>
      </w:r>
      <w:proofErr w:type="spellEnd"/>
      <w:r>
        <w:rPr>
          <w:rFonts w:hint="cs"/>
          <w:rtl/>
        </w:rPr>
        <w:t xml:space="preserve">). ויש שאומרים שאפילו </w:t>
      </w:r>
      <w:proofErr w:type="spellStart"/>
      <w:r>
        <w:rPr>
          <w:rFonts w:hint="cs"/>
          <w:rtl/>
        </w:rPr>
        <w:t>מתנדה</w:t>
      </w:r>
      <w:proofErr w:type="spellEnd"/>
      <w:r>
        <w:rPr>
          <w:rFonts w:hint="cs"/>
          <w:rtl/>
        </w:rPr>
        <w:t>. ויש שגורסים כאן: מתחרך, היינו נשרף.</w:t>
      </w:r>
    </w:p>
  </w:footnote>
  <w:footnote w:id="3">
    <w:p w14:paraId="2CBFE50D" w14:textId="77777777" w:rsidR="00445DFE" w:rsidRDefault="00445DFE" w:rsidP="00445DFE">
      <w:pPr>
        <w:pStyle w:val="a3"/>
        <w:rPr>
          <w:rFonts w:hint="cs"/>
          <w:rtl/>
        </w:rPr>
      </w:pPr>
      <w:r>
        <w:rPr>
          <w:rStyle w:val="a5"/>
        </w:rPr>
        <w:footnoteRef/>
      </w:r>
      <w:r>
        <w:rPr>
          <w:rtl/>
        </w:rPr>
        <w:t xml:space="preserve"> </w:t>
      </w:r>
      <w:r w:rsidRPr="009A1573">
        <w:rPr>
          <w:rFonts w:hint="cs"/>
          <w:rtl/>
        </w:rPr>
        <w:t>בקטע שהשמטנו כאן ממשיכה הדרשה</w:t>
      </w:r>
      <w:r>
        <w:rPr>
          <w:rFonts w:hint="cs"/>
          <w:rtl/>
        </w:rPr>
        <w:t xml:space="preserve"> </w:t>
      </w:r>
      <w:r w:rsidRPr="009A1573">
        <w:rPr>
          <w:rFonts w:hint="cs"/>
          <w:rtl/>
        </w:rPr>
        <w:t xml:space="preserve">על </w:t>
      </w:r>
      <w:r w:rsidRPr="009A1573">
        <w:rPr>
          <w:rtl/>
        </w:rPr>
        <w:t xml:space="preserve">מאה וארבעים ושבעה </w:t>
      </w:r>
      <w:r w:rsidRPr="009A1573">
        <w:rPr>
          <w:rFonts w:hint="cs"/>
          <w:rtl/>
        </w:rPr>
        <w:t>ה</w:t>
      </w:r>
      <w:r w:rsidRPr="009A1573">
        <w:rPr>
          <w:rtl/>
        </w:rPr>
        <w:t>מזמור</w:t>
      </w:r>
      <w:r w:rsidRPr="009A1573">
        <w:rPr>
          <w:rFonts w:hint="cs"/>
          <w:rtl/>
        </w:rPr>
        <w:t>ים שב</w:t>
      </w:r>
      <w:r w:rsidRPr="009A1573">
        <w:rPr>
          <w:rtl/>
        </w:rPr>
        <w:t>תהילים</w:t>
      </w:r>
      <w:r w:rsidRPr="009A1573">
        <w:rPr>
          <w:rFonts w:hint="cs"/>
          <w:rtl/>
        </w:rPr>
        <w:t xml:space="preserve"> (בנוסח שבידינו הם 150) שהם</w:t>
      </w:r>
      <w:r w:rsidRPr="009A1573">
        <w:rPr>
          <w:rtl/>
        </w:rPr>
        <w:t xml:space="preserve"> כנגד שנותיו של אבינו יעקב</w:t>
      </w:r>
      <w:r w:rsidRPr="009A1573">
        <w:rPr>
          <w:rFonts w:hint="cs"/>
          <w:rtl/>
        </w:rPr>
        <w:t xml:space="preserve">, 123 הללויה שהם כנגד </w:t>
      </w:r>
      <w:r w:rsidRPr="009A1573">
        <w:rPr>
          <w:rtl/>
        </w:rPr>
        <w:t>שנותיו של אהרן</w:t>
      </w:r>
      <w:r w:rsidRPr="009A1573">
        <w:rPr>
          <w:rFonts w:hint="cs"/>
          <w:rtl/>
        </w:rPr>
        <w:t xml:space="preserve"> ועוד</w:t>
      </w:r>
      <w:r w:rsidRPr="009A1573">
        <w:rPr>
          <w:rtl/>
        </w:rPr>
        <w:t>.</w:t>
      </w:r>
      <w:r>
        <w:rPr>
          <w:rFonts w:hint="cs"/>
          <w:rtl/>
        </w:rPr>
        <w:t xml:space="preserve"> ואנו דלגנו והמשכנו בדבריו של ר' יהושע בן לוי.</w:t>
      </w:r>
      <w:r w:rsidR="00A45683">
        <w:rPr>
          <w:rFonts w:hint="cs"/>
          <w:rtl/>
        </w:rPr>
        <w:t xml:space="preserve"> אגב, יש חוקרים שמבקשים ללמוד ממקור זה על חלוקת קריאת התורה הקדומה בארץ ישראל ל- 175 סדרות, ויש שחולקים.</w:t>
      </w:r>
    </w:p>
  </w:footnote>
  <w:footnote w:id="4">
    <w:p w14:paraId="58C2F073" w14:textId="77777777" w:rsidR="00445DFE" w:rsidRDefault="00445DFE" w:rsidP="00445DFE">
      <w:pPr>
        <w:pStyle w:val="a3"/>
        <w:rPr>
          <w:rFonts w:hint="cs"/>
          <w:rtl/>
        </w:rPr>
      </w:pPr>
      <w:r>
        <w:rPr>
          <w:rStyle w:val="a5"/>
        </w:rPr>
        <w:footnoteRef/>
      </w:r>
      <w:r>
        <w:rPr>
          <w:rtl/>
        </w:rPr>
        <w:t xml:space="preserve"> </w:t>
      </w:r>
      <w:r>
        <w:rPr>
          <w:rFonts w:hint="cs"/>
          <w:rtl/>
        </w:rPr>
        <w:t xml:space="preserve">מפרש </w:t>
      </w:r>
      <w:r>
        <w:rPr>
          <w:rtl/>
        </w:rPr>
        <w:t>פני משה</w:t>
      </w:r>
      <w:r>
        <w:rPr>
          <w:rFonts w:hint="cs"/>
          <w:rtl/>
        </w:rPr>
        <w:t>: "</w:t>
      </w:r>
      <w:r>
        <w:rPr>
          <w:rtl/>
        </w:rPr>
        <w:t xml:space="preserve">אפילו כן אנא </w:t>
      </w:r>
      <w:proofErr w:type="spellStart"/>
      <w:r>
        <w:rPr>
          <w:rtl/>
        </w:rPr>
        <w:t>מתבעית</w:t>
      </w:r>
      <w:proofErr w:type="spellEnd"/>
      <w:r>
        <w:rPr>
          <w:rtl/>
        </w:rPr>
        <w:t xml:space="preserve"> </w:t>
      </w:r>
      <w:proofErr w:type="spellStart"/>
      <w:r>
        <w:rPr>
          <w:rtl/>
        </w:rPr>
        <w:t>בליליא</w:t>
      </w:r>
      <w:proofErr w:type="spellEnd"/>
      <w:r>
        <w:rPr>
          <w:rtl/>
        </w:rPr>
        <w:t xml:space="preserve">. ואף על פי שלא הסתכלתי בה אלא פעם אחת מרגיש אני שבשביל כך בא לי פחד </w:t>
      </w:r>
      <w:proofErr w:type="spellStart"/>
      <w:r>
        <w:rPr>
          <w:rtl/>
        </w:rPr>
        <w:t>ובעיתות</w:t>
      </w:r>
      <w:proofErr w:type="spellEnd"/>
      <w:r>
        <w:rPr>
          <w:rtl/>
        </w:rPr>
        <w:t xml:space="preserve"> בלילה לפי שאין לקרות בה</w:t>
      </w:r>
      <w:r>
        <w:rPr>
          <w:rFonts w:hint="cs"/>
          <w:rtl/>
        </w:rPr>
        <w:t>". חזרנו לדברי ר' יהושע בן לוי</w:t>
      </w:r>
      <w:r w:rsidR="00A45683">
        <w:rPr>
          <w:rFonts w:hint="cs"/>
          <w:rtl/>
        </w:rPr>
        <w:t xml:space="preserve"> שמתנגד לכתיבת ספרי אגדה אבל נזקק להם פעם אחת</w:t>
      </w:r>
      <w:r>
        <w:rPr>
          <w:rFonts w:hint="cs"/>
          <w:rtl/>
        </w:rPr>
        <w:t xml:space="preserve">. </w:t>
      </w:r>
    </w:p>
  </w:footnote>
  <w:footnote w:id="5">
    <w:p w14:paraId="498F459E" w14:textId="77777777" w:rsidR="00445DFE" w:rsidRDefault="00445DFE" w:rsidP="00445DFE">
      <w:pPr>
        <w:pStyle w:val="a3"/>
        <w:rPr>
          <w:rFonts w:hint="cs"/>
        </w:rPr>
      </w:pPr>
      <w:r>
        <w:rPr>
          <w:rStyle w:val="a5"/>
        </w:rPr>
        <w:footnoteRef/>
      </w:r>
      <w:r>
        <w:rPr>
          <w:rtl/>
        </w:rPr>
        <w:t xml:space="preserve"> </w:t>
      </w:r>
      <w:r>
        <w:rPr>
          <w:rFonts w:hint="cs"/>
          <w:rtl/>
        </w:rPr>
        <w:t>גם אם כתובים בספר אגדה זה דברים טובים (</w:t>
      </w:r>
      <w:proofErr w:type="spellStart"/>
      <w:r>
        <w:rPr>
          <w:rFonts w:hint="cs"/>
          <w:rtl/>
        </w:rPr>
        <w:t>טב</w:t>
      </w:r>
      <w:proofErr w:type="spellEnd"/>
      <w:r>
        <w:rPr>
          <w:rFonts w:hint="cs"/>
          <w:rtl/>
        </w:rPr>
        <w:t xml:space="preserve">-אות) </w:t>
      </w:r>
      <w:r>
        <w:rPr>
          <w:rtl/>
        </w:rPr>
        <w:t>–</w:t>
      </w:r>
      <w:r>
        <w:rPr>
          <w:rFonts w:hint="cs"/>
          <w:rtl/>
        </w:rPr>
        <w:t xml:space="preserve"> תיגדע היד שכתבה ספר זה. ויש שמפרשים בדיוק הפוך: "</w:t>
      </w:r>
      <w:r>
        <w:rPr>
          <w:rtl/>
        </w:rPr>
        <w:t xml:space="preserve">אם הכתוב בו טוב ואמת </w:t>
      </w:r>
      <w:r>
        <w:rPr>
          <w:rFonts w:hint="cs"/>
          <w:rtl/>
        </w:rPr>
        <w:t xml:space="preserve">- </w:t>
      </w:r>
      <w:proofErr w:type="spellStart"/>
      <w:r>
        <w:rPr>
          <w:rtl/>
        </w:rPr>
        <w:t>תכרת</w:t>
      </w:r>
      <w:proofErr w:type="spellEnd"/>
      <w:r>
        <w:rPr>
          <w:rtl/>
        </w:rPr>
        <w:t xml:space="preserve"> יד מי שֶׁכְּתָבָהּ</w:t>
      </w:r>
      <w:r>
        <w:rPr>
          <w:rFonts w:hint="cs"/>
          <w:rtl/>
        </w:rPr>
        <w:t>,</w:t>
      </w:r>
      <w:r>
        <w:rPr>
          <w:rtl/>
        </w:rPr>
        <w:t xml:space="preserve"> שכתב דברים שלא ניתנו </w:t>
      </w:r>
      <w:proofErr w:type="spellStart"/>
      <w:r>
        <w:rPr>
          <w:rtl/>
        </w:rPr>
        <w:t>ליכתב</w:t>
      </w:r>
      <w:proofErr w:type="spellEnd"/>
      <w:r>
        <w:rPr>
          <w:rFonts w:hint="cs"/>
          <w:rtl/>
        </w:rPr>
        <w:t>.</w:t>
      </w:r>
      <w:r>
        <w:rPr>
          <w:rtl/>
        </w:rPr>
        <w:t xml:space="preserve"> אבל אם אינו אמת אין </w:t>
      </w:r>
      <w:proofErr w:type="spellStart"/>
      <w:r>
        <w:rPr>
          <w:rtl/>
        </w:rPr>
        <w:t>עון</w:t>
      </w:r>
      <w:proofErr w:type="spellEnd"/>
      <w:r>
        <w:rPr>
          <w:rtl/>
        </w:rPr>
        <w:t xml:space="preserve"> זה חל עליו</w:t>
      </w:r>
      <w:r>
        <w:rPr>
          <w:rFonts w:hint="cs"/>
          <w:rtl/>
        </w:rPr>
        <w:t xml:space="preserve">" (קרבו העדה). ופשיטא שר' </w:t>
      </w:r>
      <w:proofErr w:type="spellStart"/>
      <w:r>
        <w:rPr>
          <w:rFonts w:hint="cs"/>
          <w:rtl/>
        </w:rPr>
        <w:t>חייא</w:t>
      </w:r>
      <w:proofErr w:type="spellEnd"/>
      <w:r>
        <w:rPr>
          <w:rFonts w:hint="cs"/>
          <w:rtl/>
        </w:rPr>
        <w:t xml:space="preserve"> כאן הוא ר' </w:t>
      </w:r>
      <w:proofErr w:type="spellStart"/>
      <w:r>
        <w:rPr>
          <w:rFonts w:hint="cs"/>
          <w:rtl/>
        </w:rPr>
        <w:t>חייא</w:t>
      </w:r>
      <w:proofErr w:type="spellEnd"/>
      <w:r>
        <w:rPr>
          <w:rFonts w:hint="cs"/>
          <w:rtl/>
        </w:rPr>
        <w:t xml:space="preserve"> האמורא (דור שלישי, בבל) ולא ר' </w:t>
      </w:r>
      <w:proofErr w:type="spellStart"/>
      <w:r>
        <w:rPr>
          <w:rFonts w:hint="cs"/>
          <w:rtl/>
        </w:rPr>
        <w:t>חייא</w:t>
      </w:r>
      <w:proofErr w:type="spellEnd"/>
      <w:r>
        <w:rPr>
          <w:rFonts w:hint="cs"/>
          <w:rtl/>
        </w:rPr>
        <w:t xml:space="preserve"> התנא לעיל מבית מדרשו של ר' יהודה הנשיא.</w:t>
      </w:r>
    </w:p>
  </w:footnote>
  <w:footnote w:id="6">
    <w:p w14:paraId="186E9013" w14:textId="77777777" w:rsidR="00445DFE" w:rsidRDefault="00445DFE" w:rsidP="00445DFE">
      <w:pPr>
        <w:pStyle w:val="a3"/>
        <w:rPr>
          <w:rFonts w:hint="cs"/>
          <w:rtl/>
        </w:rPr>
      </w:pPr>
      <w:r>
        <w:rPr>
          <w:rStyle w:val="a5"/>
        </w:rPr>
        <w:footnoteRef/>
      </w:r>
      <w:r>
        <w:rPr>
          <w:rtl/>
        </w:rPr>
        <w:t xml:space="preserve"> </w:t>
      </w:r>
      <w:r>
        <w:rPr>
          <w:rFonts w:hint="cs"/>
          <w:rtl/>
        </w:rPr>
        <w:t xml:space="preserve">אביו של "אדם אחד" כתב ספר אגדה זה. יש מפרשים שמי שאמר זאת התכוון לרמוז  </w:t>
      </w:r>
      <w:proofErr w:type="spellStart"/>
      <w:r>
        <w:rPr>
          <w:rFonts w:hint="cs"/>
          <w:rtl/>
        </w:rPr>
        <w:t>לר</w:t>
      </w:r>
      <w:proofErr w:type="spellEnd"/>
      <w:r>
        <w:rPr>
          <w:rFonts w:hint="cs"/>
          <w:rtl/>
        </w:rPr>
        <w:t xml:space="preserve">' </w:t>
      </w:r>
      <w:proofErr w:type="spellStart"/>
      <w:r>
        <w:rPr>
          <w:rFonts w:hint="cs"/>
          <w:rtl/>
        </w:rPr>
        <w:t>חייא</w:t>
      </w:r>
      <w:proofErr w:type="spellEnd"/>
      <w:r>
        <w:rPr>
          <w:rFonts w:hint="cs"/>
          <w:rtl/>
        </w:rPr>
        <w:t xml:space="preserve"> שאולי אבא שלו כתב את זה.</w:t>
      </w:r>
    </w:p>
  </w:footnote>
  <w:footnote w:id="7">
    <w:p w14:paraId="6499DBED" w14:textId="77777777" w:rsidR="00445DFE" w:rsidRDefault="00445DFE" w:rsidP="00445DFE">
      <w:pPr>
        <w:pStyle w:val="a3"/>
        <w:rPr>
          <w:rFonts w:hint="cs"/>
          <w:rtl/>
        </w:rPr>
      </w:pPr>
      <w:r>
        <w:rPr>
          <w:rStyle w:val="a5"/>
        </w:rPr>
        <w:footnoteRef/>
      </w:r>
      <w:r>
        <w:rPr>
          <w:rtl/>
        </w:rPr>
        <w:t xml:space="preserve"> </w:t>
      </w:r>
      <w:r>
        <w:rPr>
          <w:rFonts w:hint="cs"/>
          <w:rtl/>
        </w:rPr>
        <w:t xml:space="preserve">ור' </w:t>
      </w:r>
      <w:proofErr w:type="spellStart"/>
      <w:r>
        <w:rPr>
          <w:rFonts w:hint="cs"/>
          <w:rtl/>
        </w:rPr>
        <w:t>חייא</w:t>
      </w:r>
      <w:proofErr w:type="spellEnd"/>
      <w:r>
        <w:rPr>
          <w:rFonts w:hint="cs"/>
          <w:rtl/>
        </w:rPr>
        <w:t xml:space="preserve"> לא מתרגש מהאמירה הקודמת וממשיך בשלו: תיקטע אותה היד שכתבה את ספר האגדה הזה, וכך אכן אירע. "כשגגה שיוצא מלפני השליט" הוא פסוק שמשמש אסמכתא </w:t>
      </w:r>
      <w:proofErr w:type="spellStart"/>
      <w:r>
        <w:rPr>
          <w:rFonts w:hint="cs"/>
          <w:rtl/>
        </w:rPr>
        <w:t>לכח</w:t>
      </w:r>
      <w:proofErr w:type="spellEnd"/>
      <w:r>
        <w:rPr>
          <w:rFonts w:hint="cs"/>
          <w:rtl/>
        </w:rPr>
        <w:t xml:space="preserve"> ההרסני שיש לעתים לאמירה קשה של חכמים גם אם נאמרה בשוגג. ראו למשל את שאירע לבנותיו של שמואל האמורא (כתובות </w:t>
      </w:r>
      <w:proofErr w:type="spellStart"/>
      <w:r>
        <w:rPr>
          <w:rFonts w:hint="cs"/>
          <w:rtl/>
        </w:rPr>
        <w:t>כג</w:t>
      </w:r>
      <w:proofErr w:type="spellEnd"/>
      <w:r>
        <w:rPr>
          <w:rFonts w:hint="cs"/>
          <w:rtl/>
        </w:rPr>
        <w:t xml:space="preserve"> ע"א, ירושלמי כתובות ב ו), דברי יעקב ללבן "אם אשר תמצא את אלוהיך לא יחיה" שגרמו למותה של רחל (בראשית רבה עד), רבי שניבא שימות לפני </w:t>
      </w:r>
      <w:proofErr w:type="spellStart"/>
      <w:r>
        <w:rPr>
          <w:rFonts w:hint="cs"/>
          <w:rtl/>
        </w:rPr>
        <w:t>אנטונינוס</w:t>
      </w:r>
      <w:proofErr w:type="spellEnd"/>
      <w:r>
        <w:rPr>
          <w:rFonts w:hint="cs"/>
          <w:rtl/>
        </w:rPr>
        <w:t xml:space="preserve"> (קהלת רבה י ה) ועוד. </w:t>
      </w:r>
    </w:p>
  </w:footnote>
  <w:footnote w:id="8">
    <w:p w14:paraId="7D9707AF" w14:textId="77777777" w:rsidR="00445DFE" w:rsidRDefault="00445DFE" w:rsidP="00445DFE">
      <w:pPr>
        <w:pStyle w:val="a3"/>
        <w:rPr>
          <w:rFonts w:hint="cs"/>
          <w:rtl/>
        </w:rPr>
      </w:pPr>
      <w:r>
        <w:rPr>
          <w:rStyle w:val="a5"/>
        </w:rPr>
        <w:footnoteRef/>
      </w:r>
      <w:r>
        <w:rPr>
          <w:rtl/>
        </w:rPr>
        <w:t xml:space="preserve"> </w:t>
      </w:r>
      <w:r>
        <w:rPr>
          <w:rFonts w:hint="cs"/>
          <w:rtl/>
        </w:rPr>
        <w:t xml:space="preserve">בהמשך למדרש הקודם, דברי אגדה ומדרשים רבים נמסרו לנו בשמו של ר' יהושע בן לוי (ספרנו כשבעים רק במדרש בראשית רבה!) </w:t>
      </w:r>
      <w:r>
        <w:rPr>
          <w:rtl/>
        </w:rPr>
        <w:t>–</w:t>
      </w:r>
      <w:r>
        <w:rPr>
          <w:rFonts w:hint="cs"/>
          <w:rtl/>
        </w:rPr>
        <w:t xml:space="preserve"> ישירות בשמו הוא וגם ע"י אחרים בשמו. הוא עצמו הקפיד שלא להעלות דרשות אלה על הכתב וגם אותה דרשה נאה על שנותיו של אברהם שנהנה ממנה לרגע</w:t>
      </w:r>
      <w:r w:rsidR="00D30475">
        <w:rPr>
          <w:rFonts w:hint="cs"/>
          <w:rtl/>
        </w:rPr>
        <w:t xml:space="preserve"> (ומישהו אחר כתבה)</w:t>
      </w:r>
      <w:r>
        <w:rPr>
          <w:rFonts w:hint="cs"/>
          <w:rtl/>
        </w:rPr>
        <w:t xml:space="preserve">, גרמה לו ביעותי לילה. אחרים הם שהעלו את דרשותיו על הכתב, אולי אחרי פטירתו (ראו סיפור פטירתו בגמרא כתובות עז ע"ב). ומעניין לחשוב מה היה אומר </w:t>
      </w:r>
      <w:r w:rsidR="00D30475">
        <w:rPr>
          <w:rFonts w:hint="cs"/>
          <w:rtl/>
        </w:rPr>
        <w:t xml:space="preserve">ר' יהושע בן לוי </w:t>
      </w:r>
      <w:r>
        <w:rPr>
          <w:rFonts w:hint="cs"/>
          <w:rtl/>
        </w:rPr>
        <w:t>אילו נוכח בדורנו ורואה את כל דרשותיו בספרים מודפסים ובקבצי מחשב.</w:t>
      </w:r>
    </w:p>
  </w:footnote>
  <w:footnote w:id="9">
    <w:p w14:paraId="260EB6B1" w14:textId="77777777" w:rsidR="00445DFE" w:rsidRDefault="00445DFE" w:rsidP="00445DFE">
      <w:pPr>
        <w:pStyle w:val="a3"/>
        <w:rPr>
          <w:rFonts w:hint="cs"/>
        </w:rPr>
      </w:pPr>
      <w:r>
        <w:rPr>
          <w:rStyle w:val="a5"/>
        </w:rPr>
        <w:footnoteRef/>
      </w:r>
      <w:r>
        <w:rPr>
          <w:rtl/>
        </w:rPr>
        <w:t xml:space="preserve"> </w:t>
      </w:r>
      <w:r>
        <w:rPr>
          <w:rFonts w:hint="cs"/>
          <w:rtl/>
        </w:rPr>
        <w:t xml:space="preserve">אביו היה ר' יוסי בן </w:t>
      </w:r>
      <w:proofErr w:type="spellStart"/>
      <w:r>
        <w:rPr>
          <w:rFonts w:hint="cs"/>
          <w:rtl/>
        </w:rPr>
        <w:t>חלפתא</w:t>
      </w:r>
      <w:proofErr w:type="spellEnd"/>
      <w:r>
        <w:rPr>
          <w:rFonts w:hint="cs"/>
          <w:rtl/>
        </w:rPr>
        <w:t xml:space="preserve"> שרבי יהודה הנשיא מאד העריך וכיבד, וכך גם את ר' ישמעאל בנו. ראו הסיפור עליו בבית המדרש של רבי: "אני ר' ישמעאל באתי ללמוד תורה מרבי" ביבמות </w:t>
      </w:r>
      <w:proofErr w:type="spellStart"/>
      <w:r>
        <w:rPr>
          <w:rFonts w:hint="cs"/>
          <w:rtl/>
        </w:rPr>
        <w:t>קה</w:t>
      </w:r>
      <w:proofErr w:type="spellEnd"/>
      <w:r>
        <w:rPr>
          <w:rFonts w:hint="cs"/>
          <w:rtl/>
        </w:rPr>
        <w:t xml:space="preserve"> ע"ב, בדברינו </w:t>
      </w:r>
      <w:hyperlink r:id="rId2" w:anchor="gsc.tab=0" w:history="1">
        <w:r w:rsidRPr="00F94B72">
          <w:rPr>
            <w:rStyle w:val="Hyperlink"/>
            <w:rFonts w:hint="cs"/>
            <w:rtl/>
          </w:rPr>
          <w:t>שועל, עקרב, שרף וגחלי אש</w:t>
        </w:r>
      </w:hyperlink>
      <w:r>
        <w:rPr>
          <w:rFonts w:hint="cs"/>
          <w:rtl/>
        </w:rPr>
        <w:t xml:space="preserve"> בדפים המיוחדים.</w:t>
      </w:r>
    </w:p>
  </w:footnote>
  <w:footnote w:id="10">
    <w:p w14:paraId="1D83705B" w14:textId="77777777" w:rsidR="00445DFE" w:rsidRDefault="00445DFE" w:rsidP="00445DFE">
      <w:pPr>
        <w:pStyle w:val="a3"/>
        <w:rPr>
          <w:rFonts w:hint="cs"/>
          <w:rtl/>
        </w:rPr>
      </w:pPr>
      <w:r>
        <w:rPr>
          <w:rStyle w:val="a5"/>
        </w:rPr>
        <w:footnoteRef/>
      </w:r>
      <w:r>
        <w:rPr>
          <w:rtl/>
        </w:rPr>
        <w:t xml:space="preserve"> </w:t>
      </w:r>
      <w:r>
        <w:rPr>
          <w:rFonts w:hint="cs"/>
          <w:rtl/>
        </w:rPr>
        <w:t xml:space="preserve">רבי יהודה הנשיא משבח את ר' </w:t>
      </w:r>
      <w:proofErr w:type="spellStart"/>
      <w:r>
        <w:rPr>
          <w:rFonts w:hint="cs"/>
          <w:rtl/>
        </w:rPr>
        <w:t>חייא</w:t>
      </w:r>
      <w:proofErr w:type="spellEnd"/>
      <w:r>
        <w:rPr>
          <w:rFonts w:hint="cs"/>
          <w:rtl/>
        </w:rPr>
        <w:t xml:space="preserve"> באוזני ר' ישמעאל ברבי יוסי.</w:t>
      </w:r>
    </w:p>
  </w:footnote>
  <w:footnote w:id="11">
    <w:p w14:paraId="567A148B" w14:textId="77777777" w:rsidR="00445DFE" w:rsidRDefault="00445DFE" w:rsidP="00445DFE">
      <w:pPr>
        <w:pStyle w:val="a3"/>
        <w:rPr>
          <w:rFonts w:hint="cs"/>
          <w:rtl/>
        </w:rPr>
      </w:pPr>
      <w:r>
        <w:rPr>
          <w:rStyle w:val="a5"/>
        </w:rPr>
        <w:footnoteRef/>
      </w:r>
      <w:r>
        <w:rPr>
          <w:rtl/>
        </w:rPr>
        <w:t xml:space="preserve"> </w:t>
      </w:r>
      <w:r>
        <w:rPr>
          <w:rFonts w:hint="cs"/>
          <w:rtl/>
        </w:rPr>
        <w:t xml:space="preserve">ר' ישמעאל רואה את ר' </w:t>
      </w:r>
      <w:proofErr w:type="spellStart"/>
      <w:r>
        <w:rPr>
          <w:rFonts w:hint="cs"/>
          <w:rtl/>
        </w:rPr>
        <w:t>חייא</w:t>
      </w:r>
      <w:proofErr w:type="spellEnd"/>
      <w:r>
        <w:rPr>
          <w:rFonts w:hint="cs"/>
          <w:rtl/>
        </w:rPr>
        <w:t xml:space="preserve"> בבית המרחץ וזה האחרון לא 'נכנע' (חולק כבוד) לו.</w:t>
      </w:r>
    </w:p>
  </w:footnote>
  <w:footnote w:id="12">
    <w:p w14:paraId="24730F42" w14:textId="77777777" w:rsidR="00445DFE" w:rsidRDefault="00445DFE" w:rsidP="00445DFE">
      <w:pPr>
        <w:pStyle w:val="a3"/>
        <w:rPr>
          <w:rFonts w:hint="cs"/>
          <w:rtl/>
        </w:rPr>
      </w:pPr>
      <w:r>
        <w:rPr>
          <w:rStyle w:val="a5"/>
        </w:rPr>
        <w:footnoteRef/>
      </w:r>
      <w:r>
        <w:rPr>
          <w:rtl/>
        </w:rPr>
        <w:t xml:space="preserve"> </w:t>
      </w:r>
      <w:r>
        <w:rPr>
          <w:rFonts w:hint="cs"/>
          <w:rtl/>
        </w:rPr>
        <w:t>ר' ישמעאל לרבי יהודה הנשיא.</w:t>
      </w:r>
    </w:p>
  </w:footnote>
  <w:footnote w:id="13">
    <w:p w14:paraId="6D1D2CFE" w14:textId="77777777" w:rsidR="00445DFE" w:rsidRDefault="00445DFE" w:rsidP="00445DFE">
      <w:pPr>
        <w:pStyle w:val="a3"/>
        <w:rPr>
          <w:rFonts w:hint="cs"/>
          <w:rtl/>
        </w:rPr>
      </w:pPr>
      <w:r>
        <w:rPr>
          <w:rStyle w:val="a5"/>
        </w:rPr>
        <w:footnoteRef/>
      </w:r>
      <w:r>
        <w:rPr>
          <w:rtl/>
        </w:rPr>
        <w:t xml:space="preserve"> </w:t>
      </w:r>
      <w:r>
        <w:rPr>
          <w:rFonts w:hint="cs"/>
          <w:rtl/>
        </w:rPr>
        <w:t xml:space="preserve">ר' יהודה הנשיא </w:t>
      </w:r>
      <w:proofErr w:type="spellStart"/>
      <w:r>
        <w:rPr>
          <w:rFonts w:hint="cs"/>
          <w:rtl/>
        </w:rPr>
        <w:t>לר</w:t>
      </w:r>
      <w:proofErr w:type="spellEnd"/>
      <w:r>
        <w:rPr>
          <w:rFonts w:hint="cs"/>
          <w:rtl/>
        </w:rPr>
        <w:t xml:space="preserve">' </w:t>
      </w:r>
      <w:proofErr w:type="spellStart"/>
      <w:r>
        <w:rPr>
          <w:rFonts w:hint="cs"/>
          <w:rtl/>
        </w:rPr>
        <w:t>חייא</w:t>
      </w:r>
      <w:proofErr w:type="spellEnd"/>
      <w:r>
        <w:rPr>
          <w:rFonts w:hint="cs"/>
          <w:rtl/>
        </w:rPr>
        <w:t xml:space="preserve">. משמע שקיבל את תלונתו של ר' ישמעאל או שניסה </w:t>
      </w:r>
      <w:proofErr w:type="spellStart"/>
      <w:r>
        <w:rPr>
          <w:rFonts w:hint="cs"/>
          <w:rtl/>
        </w:rPr>
        <w:t>להפיס</w:t>
      </w:r>
      <w:proofErr w:type="spellEnd"/>
      <w:r>
        <w:rPr>
          <w:rFonts w:hint="cs"/>
          <w:rtl/>
        </w:rPr>
        <w:t xml:space="preserve"> את דעתו</w:t>
      </w:r>
      <w:r w:rsidR="00A45683">
        <w:rPr>
          <w:rFonts w:hint="cs"/>
          <w:rtl/>
        </w:rPr>
        <w:t>, לפשר ביניהם</w:t>
      </w:r>
      <w:r>
        <w:rPr>
          <w:rFonts w:hint="cs"/>
          <w:rtl/>
        </w:rPr>
        <w:t xml:space="preserve"> ולהשכין שלום.</w:t>
      </w:r>
    </w:p>
  </w:footnote>
  <w:footnote w:id="14">
    <w:p w14:paraId="1353FA32" w14:textId="77777777" w:rsidR="00445DFE" w:rsidRDefault="00445DFE" w:rsidP="00445DFE">
      <w:pPr>
        <w:pStyle w:val="a3"/>
        <w:rPr>
          <w:rFonts w:hint="cs"/>
        </w:rPr>
      </w:pPr>
      <w:r>
        <w:rPr>
          <w:rStyle w:val="a5"/>
        </w:rPr>
        <w:footnoteRef/>
      </w:r>
      <w:r>
        <w:rPr>
          <w:rtl/>
        </w:rPr>
        <w:t xml:space="preserve"> </w:t>
      </w:r>
      <w:r>
        <w:rPr>
          <w:rFonts w:hint="cs"/>
          <w:rtl/>
        </w:rPr>
        <w:t>לחדר ההזעה בבית המרחץ, שאין להשתהות שם יתר על הזמן.</w:t>
      </w:r>
    </w:p>
  </w:footnote>
  <w:footnote w:id="15">
    <w:p w14:paraId="17B215A0" w14:textId="77777777" w:rsidR="00445DFE" w:rsidRDefault="00445DFE" w:rsidP="00445DFE">
      <w:pPr>
        <w:pStyle w:val="a3"/>
        <w:rPr>
          <w:rFonts w:hint="cs"/>
        </w:rPr>
      </w:pPr>
      <w:r>
        <w:rPr>
          <w:rStyle w:val="a5"/>
        </w:rPr>
        <w:footnoteRef/>
      </w:r>
      <w:r>
        <w:rPr>
          <w:rtl/>
        </w:rPr>
        <w:t xml:space="preserve"> </w:t>
      </w:r>
      <w:r>
        <w:rPr>
          <w:rFonts w:hint="cs"/>
          <w:rtl/>
          <w:lang w:val="he-IL"/>
        </w:rPr>
        <w:t>נראה שמקור מדרש זה הוא ב</w:t>
      </w:r>
      <w:r w:rsidRPr="00A87308">
        <w:rPr>
          <w:rtl/>
          <w:lang w:val="he-IL"/>
        </w:rPr>
        <w:t>ירושלמי כלאים פרק ט הלכה ג</w:t>
      </w:r>
      <w:r>
        <w:rPr>
          <w:rFonts w:hint="cs"/>
          <w:rtl/>
          <w:lang w:val="he-IL"/>
        </w:rPr>
        <w:t>, ראו שם. 'אגדת תהלים' מה שאולי מוכר לנו היום בתור מדרש תהלים שוחר טוב, הוא מדרש שמצוטט בשם זה גם הרבה בפירושי רש"י. ראו פירושו בדברים לג ז פרשת וזאת הברכה על שבט שמעון שלא זכה לברכה ממשה: "</w:t>
      </w:r>
      <w:r w:rsidRPr="00D909C2">
        <w:rPr>
          <w:rtl/>
          <w:lang w:val="he-IL"/>
        </w:rPr>
        <w:t>ומפני מה לא ייחד לו ברכה בפני עצמו</w:t>
      </w:r>
      <w:r>
        <w:rPr>
          <w:rFonts w:hint="cs"/>
          <w:rtl/>
          <w:lang w:val="he-IL"/>
        </w:rPr>
        <w:t>?</w:t>
      </w:r>
      <w:r w:rsidRPr="00D909C2">
        <w:rPr>
          <w:rtl/>
          <w:lang w:val="he-IL"/>
        </w:rPr>
        <w:t xml:space="preserve"> שהיה </w:t>
      </w:r>
      <w:proofErr w:type="spellStart"/>
      <w:r w:rsidRPr="00D909C2">
        <w:rPr>
          <w:rtl/>
          <w:lang w:val="he-IL"/>
        </w:rPr>
        <w:t>בלבו</w:t>
      </w:r>
      <w:proofErr w:type="spellEnd"/>
      <w:r w:rsidRPr="00D909C2">
        <w:rPr>
          <w:rtl/>
          <w:lang w:val="he-IL"/>
        </w:rPr>
        <w:t xml:space="preserve"> עליו על מה שעשה בשטים, כן כתוב באגדת תהלים</w:t>
      </w:r>
      <w:r>
        <w:rPr>
          <w:rFonts w:hint="cs"/>
          <w:rtl/>
          <w:lang w:val="he-IL"/>
        </w:rPr>
        <w:t xml:space="preserve">". כך גם ברש"י שופטים ו א, ישעיהו </w:t>
      </w:r>
      <w:proofErr w:type="spellStart"/>
      <w:r>
        <w:rPr>
          <w:rFonts w:hint="cs"/>
          <w:rtl/>
          <w:lang w:val="he-IL"/>
        </w:rPr>
        <w:t>סו</w:t>
      </w:r>
      <w:proofErr w:type="spellEnd"/>
      <w:r>
        <w:rPr>
          <w:rFonts w:hint="cs"/>
          <w:rtl/>
          <w:lang w:val="he-IL"/>
        </w:rPr>
        <w:t xml:space="preserve"> </w:t>
      </w:r>
      <w:proofErr w:type="spellStart"/>
      <w:r>
        <w:rPr>
          <w:rFonts w:hint="cs"/>
          <w:rtl/>
          <w:lang w:val="he-IL"/>
        </w:rPr>
        <w:t>כא</w:t>
      </w:r>
      <w:proofErr w:type="spellEnd"/>
      <w:r>
        <w:rPr>
          <w:rFonts w:hint="cs"/>
          <w:rtl/>
          <w:lang w:val="he-IL"/>
        </w:rPr>
        <w:t xml:space="preserve">, תהלים </w:t>
      </w:r>
      <w:proofErr w:type="spellStart"/>
      <w:r>
        <w:rPr>
          <w:rFonts w:hint="cs"/>
          <w:rtl/>
          <w:lang w:val="he-IL"/>
        </w:rPr>
        <w:t>מא</w:t>
      </w:r>
      <w:proofErr w:type="spellEnd"/>
      <w:r>
        <w:rPr>
          <w:rFonts w:hint="cs"/>
          <w:rtl/>
          <w:lang w:val="he-IL"/>
        </w:rPr>
        <w:t xml:space="preserve"> ד ועוד. אין ספק שלפני רש"י עמד כבר מדרש שוחר טוב על ספר תהלים בנוסח זה או אחר, אבל סביר ששורשיו הוא ב'אגדת תהלים' הנזכרת כבר בחז"ל. ללמדך, שהיו גם חיבורי אגדה על הכתובים (ומן הסתם גם על ספרי הנביאים, מהם שלא הגיעו לידינו). אך שימו לב שכאן וודאי לא היה זה ספר כתוב, אלא עיון בע"פ, ו"מסתכל" הוא מהרהר או "</w:t>
      </w:r>
      <w:proofErr w:type="spellStart"/>
      <w:r>
        <w:rPr>
          <w:rFonts w:hint="cs"/>
          <w:rtl/>
          <w:lang w:val="he-IL"/>
        </w:rPr>
        <w:t>משתכל</w:t>
      </w:r>
      <w:proofErr w:type="spellEnd"/>
      <w:r>
        <w:rPr>
          <w:rFonts w:hint="cs"/>
          <w:rtl/>
          <w:lang w:val="he-IL"/>
        </w:rPr>
        <w:t xml:space="preserve">". ועדיין, האם נהג ר' </w:t>
      </w:r>
      <w:proofErr w:type="spellStart"/>
      <w:r>
        <w:rPr>
          <w:rFonts w:hint="cs"/>
          <w:rtl/>
          <w:lang w:val="he-IL"/>
        </w:rPr>
        <w:t>חייא</w:t>
      </w:r>
      <w:proofErr w:type="spellEnd"/>
      <w:r>
        <w:rPr>
          <w:rFonts w:hint="cs"/>
          <w:rtl/>
          <w:lang w:val="he-IL"/>
        </w:rPr>
        <w:t xml:space="preserve"> כהלכה?</w:t>
      </w:r>
    </w:p>
  </w:footnote>
  <w:footnote w:id="16">
    <w:p w14:paraId="25F45D37" w14:textId="77777777" w:rsidR="001E23FB" w:rsidRDefault="001E23FB" w:rsidP="001E23FB">
      <w:pPr>
        <w:pStyle w:val="a3"/>
        <w:rPr>
          <w:rFonts w:hint="cs"/>
          <w:rtl/>
        </w:rPr>
      </w:pPr>
      <w:r>
        <w:rPr>
          <w:rStyle w:val="a5"/>
        </w:rPr>
        <w:footnoteRef/>
      </w:r>
      <w:r>
        <w:rPr>
          <w:rtl/>
        </w:rPr>
        <w:t xml:space="preserve"> </w:t>
      </w:r>
      <w:r>
        <w:rPr>
          <w:rFonts w:hint="cs"/>
          <w:rtl/>
        </w:rPr>
        <w:t xml:space="preserve">לא ניתן לקרוא בתורה בציבור מתוך חומשים נפרדים ולא </w:t>
      </w:r>
      <w:r w:rsidR="00644651">
        <w:rPr>
          <w:rFonts w:hint="cs"/>
          <w:rtl/>
        </w:rPr>
        <w:t xml:space="preserve">את ההפטרה </w:t>
      </w:r>
      <w:r>
        <w:rPr>
          <w:rFonts w:hint="cs"/>
          <w:rtl/>
        </w:rPr>
        <w:t xml:space="preserve">מתוך ספר </w:t>
      </w:r>
      <w:proofErr w:type="spellStart"/>
      <w:r>
        <w:rPr>
          <w:rFonts w:hint="cs"/>
          <w:rtl/>
        </w:rPr>
        <w:t>הפטרות</w:t>
      </w:r>
      <w:proofErr w:type="spellEnd"/>
      <w:r>
        <w:rPr>
          <w:rFonts w:hint="cs"/>
          <w:rtl/>
        </w:rPr>
        <w:t xml:space="preserve">, היינו ספר שבו מרוכזות כל </w:t>
      </w:r>
      <w:proofErr w:type="spellStart"/>
      <w:r>
        <w:rPr>
          <w:rFonts w:hint="cs"/>
          <w:rtl/>
        </w:rPr>
        <w:t>הפטרות</w:t>
      </w:r>
      <w:proofErr w:type="spellEnd"/>
      <w:r>
        <w:rPr>
          <w:rFonts w:hint="cs"/>
          <w:rtl/>
        </w:rPr>
        <w:t xml:space="preserve"> השבתות והמועדים (מה שמוכיח על קדמותם)</w:t>
      </w:r>
      <w:r w:rsidR="00644651">
        <w:rPr>
          <w:rFonts w:hint="cs"/>
          <w:rtl/>
        </w:rPr>
        <w:t xml:space="preserve"> </w:t>
      </w:r>
      <w:r w:rsidR="00644651">
        <w:rPr>
          <w:rtl/>
        </w:rPr>
        <w:t>–</w:t>
      </w:r>
      <w:r w:rsidR="00644651">
        <w:rPr>
          <w:rFonts w:hint="cs"/>
          <w:rtl/>
        </w:rPr>
        <w:t xml:space="preserve"> ואי לכך גם אסור לטלטל ספרים אלה בשבת.</w:t>
      </w:r>
      <w:r w:rsidR="00A45683">
        <w:rPr>
          <w:rFonts w:hint="cs"/>
          <w:rtl/>
        </w:rPr>
        <w:t xml:space="preserve"> יש לקרוא </w:t>
      </w:r>
      <w:r w:rsidR="00A9507A">
        <w:rPr>
          <w:rFonts w:hint="cs"/>
          <w:rtl/>
        </w:rPr>
        <w:t>מתוך ספר תורה שלם ו</w:t>
      </w:r>
      <w:r w:rsidR="00A45683">
        <w:rPr>
          <w:rFonts w:hint="cs"/>
          <w:rtl/>
        </w:rPr>
        <w:t xml:space="preserve">את </w:t>
      </w:r>
      <w:proofErr w:type="spellStart"/>
      <w:r w:rsidR="00A45683">
        <w:rPr>
          <w:rFonts w:hint="cs"/>
          <w:rtl/>
        </w:rPr>
        <w:t>ההפטרות</w:t>
      </w:r>
      <w:proofErr w:type="spellEnd"/>
      <w:r w:rsidR="00A45683">
        <w:rPr>
          <w:rFonts w:hint="cs"/>
          <w:rtl/>
        </w:rPr>
        <w:t xml:space="preserve"> מ</w:t>
      </w:r>
      <w:r>
        <w:rPr>
          <w:rFonts w:hint="cs"/>
          <w:rtl/>
        </w:rPr>
        <w:t>תנ"ך שלם</w:t>
      </w:r>
      <w:r w:rsidR="00A45683">
        <w:rPr>
          <w:rFonts w:hint="cs"/>
          <w:rtl/>
        </w:rPr>
        <w:t xml:space="preserve"> כפי שאכן נוהגים רבים וטובים בימינו</w:t>
      </w:r>
      <w:r>
        <w:rPr>
          <w:rFonts w:hint="cs"/>
          <w:rtl/>
        </w:rPr>
        <w:t>.</w:t>
      </w:r>
    </w:p>
  </w:footnote>
  <w:footnote w:id="17">
    <w:p w14:paraId="2AA8C266" w14:textId="77777777" w:rsidR="001E23FB" w:rsidRDefault="001E23FB" w:rsidP="001E23FB">
      <w:pPr>
        <w:pStyle w:val="a3"/>
        <w:rPr>
          <w:rFonts w:hint="cs"/>
        </w:rPr>
      </w:pPr>
      <w:r>
        <w:rPr>
          <w:rStyle w:val="a5"/>
        </w:rPr>
        <w:footnoteRef/>
      </w:r>
      <w:r>
        <w:rPr>
          <w:rtl/>
        </w:rPr>
        <w:t xml:space="preserve"> </w:t>
      </w:r>
      <w:r>
        <w:rPr>
          <w:rFonts w:hint="cs"/>
          <w:rtl/>
        </w:rPr>
        <w:t>אין כך ההלכה, אומרת הגמרא בקטע זה: מותר לטלטל חומשים בשבת ולקרוא בהם בציבור.</w:t>
      </w:r>
    </w:p>
  </w:footnote>
  <w:footnote w:id="18">
    <w:p w14:paraId="27369E78" w14:textId="77777777" w:rsidR="001E23FB" w:rsidRDefault="001E23FB" w:rsidP="001E23FB">
      <w:pPr>
        <w:pStyle w:val="a3"/>
        <w:rPr>
          <w:rFonts w:hint="cs"/>
          <w:rtl/>
        </w:rPr>
      </w:pPr>
      <w:r>
        <w:rPr>
          <w:rStyle w:val="a5"/>
        </w:rPr>
        <w:footnoteRef/>
      </w:r>
      <w:r>
        <w:rPr>
          <w:rtl/>
        </w:rPr>
        <w:t xml:space="preserve"> </w:t>
      </w:r>
      <w:r>
        <w:rPr>
          <w:rFonts w:hint="cs"/>
          <w:rtl/>
          <w:lang w:val="he-IL"/>
        </w:rPr>
        <w:t xml:space="preserve">סוגיה זו בגמרא גיטין היא מקור מרכזי לאיסור כתיבת תורה שבע"פ, כפי שכבר הערנו במים הראשונים. בקטע הספציפי לעיל, מתמקד הדיון בקריאה בתורה בצבור, אם ניתן לקרוא מחומשים, היינו מספרי תורה שנכתבו כל חומש בנפרד: בראשית, שמות, ויקרא וכו' (שכנראה היו כתובים כך לצורך הלימוד לתינוקות ואולי גם לדיונים בבית המדרש, ראו </w:t>
      </w:r>
      <w:proofErr w:type="spellStart"/>
      <w:r>
        <w:rPr>
          <w:rFonts w:hint="cs"/>
          <w:rtl/>
          <w:lang w:val="he-IL"/>
        </w:rPr>
        <w:t>תוספתא</w:t>
      </w:r>
      <w:proofErr w:type="spellEnd"/>
      <w:r>
        <w:rPr>
          <w:rFonts w:hint="cs"/>
          <w:rtl/>
          <w:lang w:val="he-IL"/>
        </w:rPr>
        <w:t xml:space="preserve"> מגילה פרק ג, גמרא מגילה </w:t>
      </w:r>
      <w:proofErr w:type="spellStart"/>
      <w:r>
        <w:rPr>
          <w:rFonts w:hint="cs"/>
          <w:rtl/>
          <w:lang w:val="he-IL"/>
        </w:rPr>
        <w:t>כז</w:t>
      </w:r>
      <w:proofErr w:type="spellEnd"/>
      <w:r>
        <w:rPr>
          <w:rFonts w:hint="cs"/>
          <w:rtl/>
          <w:lang w:val="he-IL"/>
        </w:rPr>
        <w:t xml:space="preserve"> ע"א, רמב"ם הלכות ספר תורה פרק ז). בתחילה נמסר בשם רבה ורב יוסף (ראו דמות שניהם בדיון אם </w:t>
      </w:r>
      <w:hyperlink r:id="rId3" w:anchor="gsc.tab=0" w:history="1">
        <w:r w:rsidRPr="002E0E75">
          <w:rPr>
            <w:rStyle w:val="Hyperlink"/>
            <w:rFonts w:hint="cs"/>
            <w:rtl/>
            <w:lang w:val="he-IL"/>
          </w:rPr>
          <w:t>עדיף עוקר הרים או סיני</w:t>
        </w:r>
      </w:hyperlink>
      <w:r>
        <w:rPr>
          <w:rFonts w:hint="cs"/>
          <w:rtl/>
          <w:lang w:val="he-IL"/>
        </w:rPr>
        <w:t xml:space="preserve">, דברינו במיוחדים) שאין לקרוא בחומשים ובספרי הפטרה (ובמשתמע גם לא בספרי אגדה), אך בהמשך דוחה הגמרא דעה זו ומההיתר של ספרי אגדה משום "עת לעשות לה' הפרו תורתך" (משום "שנתמעט הלב והתורה משתכחת", רש"י שם), נראה שהותרו גם כתיבות אחרות. ראו פירושי רש"י </w:t>
      </w:r>
      <w:proofErr w:type="spellStart"/>
      <w:r>
        <w:rPr>
          <w:rFonts w:hint="cs"/>
          <w:rtl/>
          <w:lang w:val="he-IL"/>
        </w:rPr>
        <w:t>ושטיינזלץ</w:t>
      </w:r>
      <w:proofErr w:type="spellEnd"/>
      <w:r>
        <w:rPr>
          <w:rFonts w:hint="cs"/>
          <w:rtl/>
          <w:lang w:val="he-IL"/>
        </w:rPr>
        <w:t xml:space="preserve"> על אתר שמרחיבים גם להלכה ותורה שבע"פ. להלכה נפסק אמנם שאין לקרוא בחומשים (רמב"ם הלכות תפילה ונשיאת כפים </w:t>
      </w:r>
      <w:proofErr w:type="spellStart"/>
      <w:r>
        <w:rPr>
          <w:rFonts w:hint="cs"/>
          <w:rtl/>
          <w:lang w:val="he-IL"/>
        </w:rPr>
        <w:t>יב</w:t>
      </w:r>
      <w:proofErr w:type="spellEnd"/>
      <w:r>
        <w:rPr>
          <w:rFonts w:hint="cs"/>
          <w:rtl/>
          <w:lang w:val="he-IL"/>
        </w:rPr>
        <w:t xml:space="preserve"> </w:t>
      </w:r>
      <w:proofErr w:type="spellStart"/>
      <w:r>
        <w:rPr>
          <w:rFonts w:hint="cs"/>
          <w:rtl/>
          <w:lang w:val="he-IL"/>
        </w:rPr>
        <w:t>כג</w:t>
      </w:r>
      <w:proofErr w:type="spellEnd"/>
      <w:r>
        <w:rPr>
          <w:rFonts w:hint="cs"/>
          <w:rtl/>
          <w:lang w:val="he-IL"/>
        </w:rPr>
        <w:t>), אך סוף דבר שתורה שבע"פ אמנם נכתבה משום "עת לעשות לה' הפרו תורתך</w:t>
      </w:r>
      <w:r w:rsidR="00A9507A">
        <w:rPr>
          <w:rFonts w:hint="cs"/>
          <w:rtl/>
          <w:lang w:val="he-IL"/>
        </w:rPr>
        <w:t>"</w:t>
      </w:r>
      <w:r>
        <w:rPr>
          <w:rFonts w:hint="cs"/>
          <w:rtl/>
          <w:lang w:val="he-IL"/>
        </w:rPr>
        <w:t xml:space="preserve"> וספרי האגדה היו אולי החלוץ והתקדים. וזה המקום לציין שספרי אגדה כאן אינם '</w:t>
      </w:r>
      <w:proofErr w:type="spellStart"/>
      <w:r>
        <w:rPr>
          <w:rFonts w:hint="cs"/>
          <w:rtl/>
          <w:lang w:val="he-IL"/>
        </w:rPr>
        <w:t>אגדתא</w:t>
      </w:r>
      <w:proofErr w:type="spellEnd"/>
      <w:r>
        <w:rPr>
          <w:rFonts w:hint="cs"/>
          <w:rtl/>
          <w:lang w:val="he-IL"/>
        </w:rPr>
        <w:t>' כמקובל בלשוננו היום, היינו: דרשות, משלים ומעשי חכמים וכו'</w:t>
      </w:r>
      <w:r w:rsidR="00A9507A">
        <w:rPr>
          <w:rFonts w:hint="cs"/>
          <w:rtl/>
          <w:lang w:val="he-IL"/>
        </w:rPr>
        <w:t xml:space="preserve"> </w:t>
      </w:r>
      <w:r w:rsidR="00A9507A">
        <w:rPr>
          <w:rtl/>
          <w:lang w:val="he-IL"/>
        </w:rPr>
        <w:t>–</w:t>
      </w:r>
      <w:r w:rsidR="00A9507A">
        <w:rPr>
          <w:rFonts w:hint="cs"/>
          <w:rtl/>
          <w:lang w:val="he-IL"/>
        </w:rPr>
        <w:t xml:space="preserve"> כל מה שאיננו 'הלכה'</w:t>
      </w:r>
      <w:r>
        <w:rPr>
          <w:rFonts w:hint="cs"/>
          <w:rtl/>
          <w:lang w:val="he-IL"/>
        </w:rPr>
        <w:t>, אלא פירושים לתורה, כגון מדרשי רבה על התורה</w:t>
      </w:r>
      <w:r w:rsidR="00A9507A">
        <w:rPr>
          <w:rFonts w:hint="cs"/>
          <w:rtl/>
          <w:lang w:val="he-IL"/>
        </w:rPr>
        <w:t>.</w:t>
      </w:r>
      <w:r>
        <w:rPr>
          <w:rFonts w:hint="cs"/>
          <w:rtl/>
          <w:lang w:val="he-IL"/>
        </w:rPr>
        <w:t xml:space="preserve"> </w:t>
      </w:r>
      <w:r w:rsidR="00E904A6">
        <w:rPr>
          <w:rFonts w:hint="cs"/>
          <w:rtl/>
          <w:lang w:val="he-IL"/>
        </w:rPr>
        <w:t xml:space="preserve">אגדה מלשון הגדה היינו דרשות על פסוקים. </w:t>
      </w:r>
      <w:r>
        <w:rPr>
          <w:rFonts w:hint="cs"/>
          <w:rtl/>
          <w:lang w:val="he-IL"/>
        </w:rPr>
        <w:t>בפרט</w:t>
      </w:r>
      <w:r w:rsidR="00A9507A">
        <w:rPr>
          <w:rFonts w:hint="cs"/>
          <w:rtl/>
          <w:lang w:val="he-IL"/>
        </w:rPr>
        <w:t>,</w:t>
      </w:r>
      <w:r>
        <w:rPr>
          <w:rFonts w:hint="cs"/>
          <w:rtl/>
          <w:lang w:val="he-IL"/>
        </w:rPr>
        <w:t xml:space="preserve"> מדרשים פרשניים קדומים דוגמת בראשית רבה וויקרא רבה, שנהגו כנראה לקרוא בהם לאחר הקריאה בתורה או אפילו בשילוב עם הקריאה, דוגמת הקריאה בספרי התרגום. מטרת התרגום והאגדה הייתה להסביר לציבור הרחב את פסוקי המקרא ובשל כך יש להם קרבה מיוחדת לתורה שבכתב, היינו למקרא.</w:t>
      </w:r>
    </w:p>
  </w:footnote>
  <w:footnote w:id="19">
    <w:p w14:paraId="756A2C25" w14:textId="77777777" w:rsidR="00600A59" w:rsidRDefault="00600A59">
      <w:pPr>
        <w:pStyle w:val="a3"/>
        <w:rPr>
          <w:rFonts w:hint="cs"/>
          <w:rtl/>
        </w:rPr>
      </w:pPr>
      <w:r>
        <w:rPr>
          <w:rStyle w:val="a5"/>
        </w:rPr>
        <w:footnoteRef/>
      </w:r>
      <w:r>
        <w:rPr>
          <w:rtl/>
        </w:rPr>
        <w:t xml:space="preserve"> </w:t>
      </w:r>
      <w:r>
        <w:rPr>
          <w:rFonts w:hint="cs"/>
          <w:rtl/>
          <w:lang w:val="he-IL"/>
        </w:rPr>
        <w:t xml:space="preserve">ראו </w:t>
      </w:r>
      <w:r w:rsidR="00A9507A">
        <w:rPr>
          <w:rFonts w:hint="cs"/>
          <w:rtl/>
          <w:lang w:val="he-IL"/>
        </w:rPr>
        <w:t xml:space="preserve">מסכת </w:t>
      </w:r>
      <w:r>
        <w:rPr>
          <w:rFonts w:hint="cs"/>
          <w:rtl/>
          <w:lang w:val="he-IL"/>
        </w:rPr>
        <w:t xml:space="preserve">שבת ראש פרק </w:t>
      </w:r>
      <w:proofErr w:type="spellStart"/>
      <w:r>
        <w:rPr>
          <w:rFonts w:hint="cs"/>
          <w:rtl/>
          <w:lang w:val="he-IL"/>
        </w:rPr>
        <w:t>טז</w:t>
      </w:r>
      <w:proofErr w:type="spellEnd"/>
      <w:r>
        <w:rPr>
          <w:rFonts w:hint="cs"/>
          <w:rtl/>
          <w:lang w:val="he-IL"/>
        </w:rPr>
        <w:t>: "</w:t>
      </w:r>
      <w:r w:rsidRPr="003925EB">
        <w:rPr>
          <w:rtl/>
          <w:lang w:val="he-IL"/>
        </w:rPr>
        <w:t xml:space="preserve">כל כתבי הקדש </w:t>
      </w:r>
      <w:proofErr w:type="spellStart"/>
      <w:r w:rsidRPr="003925EB">
        <w:rPr>
          <w:rtl/>
          <w:lang w:val="he-IL"/>
        </w:rPr>
        <w:t>מצילין</w:t>
      </w:r>
      <w:proofErr w:type="spellEnd"/>
      <w:r w:rsidRPr="003925EB">
        <w:rPr>
          <w:rtl/>
          <w:lang w:val="he-IL"/>
        </w:rPr>
        <w:t xml:space="preserve"> אותן מפני הדליקה, בין שקורין בהן ובין שאין קורין בהן</w:t>
      </w:r>
      <w:r>
        <w:rPr>
          <w:rFonts w:hint="cs"/>
          <w:rtl/>
          <w:lang w:val="he-IL"/>
        </w:rPr>
        <w:t xml:space="preserve"> וכו' ". ובתלמודים </w:t>
      </w:r>
      <w:r w:rsidR="002B6BE5">
        <w:rPr>
          <w:rFonts w:hint="cs"/>
          <w:rtl/>
          <w:lang w:val="he-IL"/>
        </w:rPr>
        <w:t>(</w:t>
      </w:r>
      <w:r>
        <w:rPr>
          <w:rFonts w:hint="cs"/>
          <w:rtl/>
          <w:lang w:val="he-IL"/>
        </w:rPr>
        <w:t xml:space="preserve">בבלי שבת </w:t>
      </w:r>
      <w:proofErr w:type="spellStart"/>
      <w:r>
        <w:rPr>
          <w:rFonts w:hint="cs"/>
          <w:rtl/>
          <w:lang w:val="he-IL"/>
        </w:rPr>
        <w:t>קטו</w:t>
      </w:r>
      <w:proofErr w:type="spellEnd"/>
      <w:r>
        <w:rPr>
          <w:rFonts w:hint="cs"/>
          <w:rtl/>
          <w:lang w:val="he-IL"/>
        </w:rPr>
        <w:t xml:space="preserve"> ע"א</w:t>
      </w:r>
      <w:r w:rsidR="002B6BE5">
        <w:rPr>
          <w:rFonts w:hint="cs"/>
          <w:rtl/>
          <w:lang w:val="he-IL"/>
        </w:rPr>
        <w:t xml:space="preserve">, </w:t>
      </w:r>
      <w:r>
        <w:rPr>
          <w:rFonts w:hint="cs"/>
          <w:rtl/>
          <w:lang w:val="he-IL"/>
        </w:rPr>
        <w:t xml:space="preserve">ירושלמי </w:t>
      </w:r>
      <w:r w:rsidR="002B6BE5">
        <w:rPr>
          <w:rFonts w:hint="cs"/>
          <w:rtl/>
          <w:lang w:val="he-IL"/>
        </w:rPr>
        <w:t xml:space="preserve">שבת </w:t>
      </w:r>
      <w:proofErr w:type="spellStart"/>
      <w:r>
        <w:rPr>
          <w:rFonts w:hint="cs"/>
          <w:rtl/>
          <w:lang w:val="he-IL"/>
        </w:rPr>
        <w:t>טז</w:t>
      </w:r>
      <w:proofErr w:type="spellEnd"/>
      <w:r>
        <w:rPr>
          <w:rFonts w:hint="cs"/>
          <w:rtl/>
          <w:lang w:val="he-IL"/>
        </w:rPr>
        <w:t xml:space="preserve"> א) מתפתח דיון אילו ספרים מצילים בפני הדליקה בשבת ואילו לא (בשל החשש לחילול שבת ואיסור שבות דרבנן): ספרי תורה שכתובים בלשונות זרים, ספרי תורה שיש בהם טעויות, ספרי תרגום, ספרי הכתובים, ספרי ברכות </w:t>
      </w:r>
      <w:proofErr w:type="spellStart"/>
      <w:r>
        <w:rPr>
          <w:rFonts w:hint="cs"/>
          <w:rtl/>
          <w:lang w:val="he-IL"/>
        </w:rPr>
        <w:t>וכו</w:t>
      </w:r>
      <w:proofErr w:type="spellEnd"/>
      <w:r>
        <w:rPr>
          <w:rFonts w:hint="cs"/>
          <w:rtl/>
          <w:lang w:val="he-IL"/>
        </w:rPr>
        <w:t>'. בא מקור זה מתקו</w:t>
      </w:r>
      <w:r w:rsidR="00445DFE">
        <w:rPr>
          <w:rFonts w:hint="cs"/>
          <w:rtl/>
          <w:lang w:val="he-IL"/>
        </w:rPr>
        <w:t>פת</w:t>
      </w:r>
      <w:r>
        <w:rPr>
          <w:rFonts w:hint="cs"/>
          <w:rtl/>
          <w:lang w:val="he-IL"/>
        </w:rPr>
        <w:t xml:space="preserve"> הגאונים וקובע: "כולם, מצילים אותם מפני הדליקה" ובהם גם ספרי אגדה</w:t>
      </w:r>
      <w:r w:rsidR="00445DFE">
        <w:rPr>
          <w:rFonts w:hint="cs"/>
          <w:rtl/>
          <w:lang w:val="he-IL"/>
        </w:rPr>
        <w:t>, למרות</w:t>
      </w:r>
      <w:r w:rsidR="00A9507A">
        <w:rPr>
          <w:rFonts w:hint="cs"/>
          <w:rtl/>
          <w:lang w:val="he-IL"/>
        </w:rPr>
        <w:t xml:space="preserve"> שהמסורת</w:t>
      </w:r>
      <w:r w:rsidR="00445DFE">
        <w:rPr>
          <w:rFonts w:hint="cs"/>
          <w:rtl/>
          <w:lang w:val="he-IL"/>
        </w:rPr>
        <w:t xml:space="preserve"> "שלא ניתנו </w:t>
      </w:r>
      <w:proofErr w:type="spellStart"/>
      <w:r w:rsidR="00445DFE">
        <w:rPr>
          <w:rFonts w:hint="cs"/>
          <w:rtl/>
          <w:lang w:val="he-IL"/>
        </w:rPr>
        <w:t>ליכתב</w:t>
      </w:r>
      <w:proofErr w:type="spellEnd"/>
      <w:r w:rsidR="00445DFE">
        <w:rPr>
          <w:rFonts w:hint="cs"/>
          <w:rtl/>
          <w:lang w:val="he-IL"/>
        </w:rPr>
        <w:t xml:space="preserve">" עדיין </w:t>
      </w:r>
      <w:r w:rsidR="00A9507A">
        <w:rPr>
          <w:rFonts w:hint="cs"/>
          <w:rtl/>
          <w:lang w:val="he-IL"/>
        </w:rPr>
        <w:t xml:space="preserve">הייתה ידועה ומקובלת </w:t>
      </w:r>
      <w:r w:rsidR="00445DFE">
        <w:rPr>
          <w:rFonts w:hint="cs"/>
          <w:rtl/>
          <w:lang w:val="he-IL"/>
        </w:rPr>
        <w:t>בתקופת הגאונים</w:t>
      </w:r>
      <w:r>
        <w:rPr>
          <w:rFonts w:hint="cs"/>
          <w:rtl/>
          <w:lang w:val="he-IL"/>
        </w:rPr>
        <w:t xml:space="preserve">. וכך מובא להלכה בראשונים על הדף במסכת שבת: </w:t>
      </w:r>
      <w:proofErr w:type="spellStart"/>
      <w:r>
        <w:rPr>
          <w:rFonts w:hint="cs"/>
          <w:rtl/>
          <w:lang w:val="he-IL"/>
        </w:rPr>
        <w:t>רי"ף</w:t>
      </w:r>
      <w:proofErr w:type="spellEnd"/>
      <w:r>
        <w:rPr>
          <w:rFonts w:hint="cs"/>
          <w:rtl/>
          <w:lang w:val="he-IL"/>
        </w:rPr>
        <w:t xml:space="preserve"> </w:t>
      </w:r>
      <w:proofErr w:type="spellStart"/>
      <w:r>
        <w:rPr>
          <w:rFonts w:hint="cs"/>
          <w:rtl/>
          <w:lang w:val="he-IL"/>
        </w:rPr>
        <w:t>ור"ן</w:t>
      </w:r>
      <w:proofErr w:type="spellEnd"/>
      <w:r>
        <w:rPr>
          <w:rFonts w:hint="cs"/>
          <w:rtl/>
          <w:lang w:val="he-IL"/>
        </w:rPr>
        <w:t xml:space="preserve">, רמב"ן, </w:t>
      </w:r>
      <w:proofErr w:type="spellStart"/>
      <w:r>
        <w:rPr>
          <w:rFonts w:hint="cs"/>
          <w:rtl/>
          <w:lang w:val="he-IL"/>
        </w:rPr>
        <w:t>רשב"א</w:t>
      </w:r>
      <w:proofErr w:type="spellEnd"/>
      <w:r>
        <w:rPr>
          <w:rFonts w:hint="cs"/>
          <w:rtl/>
          <w:lang w:val="he-IL"/>
        </w:rPr>
        <w:t xml:space="preserve"> ועוד</w:t>
      </w:r>
      <w:r w:rsidR="00952A83">
        <w:rPr>
          <w:rFonts w:hint="cs"/>
          <w:rtl/>
          <w:lang w:val="he-IL"/>
        </w:rPr>
        <w:t xml:space="preserve"> על בסיס הקביעה של מסכת סופרים: "וכולם, מצילים אותם מפני הדליקה"</w:t>
      </w:r>
      <w:r>
        <w:rPr>
          <w:rFonts w:hint="cs"/>
          <w:rtl/>
          <w:lang w:val="he-IL"/>
        </w:rPr>
        <w:t xml:space="preserve">. </w:t>
      </w:r>
      <w:r w:rsidR="00952A83">
        <w:rPr>
          <w:rFonts w:hint="cs"/>
          <w:rtl/>
          <w:lang w:val="he-IL"/>
        </w:rPr>
        <w:t>ו</w:t>
      </w:r>
      <w:r>
        <w:rPr>
          <w:rFonts w:hint="cs"/>
          <w:rtl/>
          <w:lang w:val="he-IL"/>
        </w:rPr>
        <w:t>כל זה</w:t>
      </w:r>
      <w:r w:rsidR="00952A83">
        <w:rPr>
          <w:rFonts w:hint="cs"/>
          <w:rtl/>
          <w:lang w:val="he-IL"/>
        </w:rPr>
        <w:t xml:space="preserve">, </w:t>
      </w:r>
      <w:r>
        <w:rPr>
          <w:rFonts w:hint="cs"/>
          <w:rtl/>
          <w:lang w:val="he-IL"/>
        </w:rPr>
        <w:t>בשל הדין המיוחד: "</w:t>
      </w:r>
      <w:hyperlink r:id="rId4" w:history="1">
        <w:r w:rsidRPr="00237EC4">
          <w:rPr>
            <w:rStyle w:val="Hyperlink"/>
            <w:rFonts w:hint="cs"/>
            <w:rtl/>
            <w:lang w:val="he-IL"/>
          </w:rPr>
          <w:t>עת לעשות לה' הפרו תורתך</w:t>
        </w:r>
      </w:hyperlink>
      <w:r>
        <w:rPr>
          <w:rFonts w:hint="cs"/>
          <w:rtl/>
          <w:lang w:val="he-IL"/>
        </w:rPr>
        <w:t xml:space="preserve">" (ראו </w:t>
      </w:r>
      <w:r w:rsidR="00952A83">
        <w:rPr>
          <w:rFonts w:hint="cs"/>
          <w:rtl/>
          <w:lang w:val="he-IL"/>
        </w:rPr>
        <w:t xml:space="preserve">דברינו </w:t>
      </w:r>
      <w:r>
        <w:rPr>
          <w:rFonts w:hint="cs"/>
          <w:rtl/>
          <w:lang w:val="he-IL"/>
        </w:rPr>
        <w:t>בנושא זה במגילת רות). האם בהיתר המיוחד של "עת לעשות לה' " הכוונה רק להצלתם של ספרים אלה מפני הדליקה בשבת יחד עם ספרים רבים אחרים, או שמא גם הסכמה שלמרות האיסור לכתחילה לכתוב ספרי אגדה, בדיעבד, אם כבר נכתבו, יש לנהוג בהם קדושה ומותר לעיין בהם ואף לדרוש מהם.</w:t>
      </w:r>
    </w:p>
  </w:footnote>
  <w:footnote w:id="20">
    <w:p w14:paraId="052C7D62" w14:textId="77777777" w:rsidR="00237EC4" w:rsidRDefault="00237EC4">
      <w:pPr>
        <w:pStyle w:val="a3"/>
        <w:rPr>
          <w:rFonts w:hint="cs"/>
          <w:rtl/>
        </w:rPr>
      </w:pPr>
      <w:r>
        <w:rPr>
          <w:rStyle w:val="a5"/>
        </w:rPr>
        <w:footnoteRef/>
      </w:r>
      <w:r>
        <w:rPr>
          <w:rtl/>
        </w:rPr>
        <w:t xml:space="preserve"> </w:t>
      </w:r>
      <w:r>
        <w:rPr>
          <w:rFonts w:hint="cs"/>
          <w:rtl/>
        </w:rPr>
        <w:t xml:space="preserve">תרגום הגמרא להלן לעברית נעשה בעזרת פירוש </w:t>
      </w:r>
      <w:proofErr w:type="spellStart"/>
      <w:r>
        <w:rPr>
          <w:rFonts w:hint="cs"/>
          <w:rtl/>
        </w:rPr>
        <w:t>שטיינזלץ</w:t>
      </w:r>
      <w:proofErr w:type="spellEnd"/>
      <w:r>
        <w:rPr>
          <w:rFonts w:hint="cs"/>
          <w:rtl/>
        </w:rPr>
        <w:t>, אבל שגיאות מי יבין (אם ישנן) הן כולם באחריותנו.</w:t>
      </w:r>
    </w:p>
  </w:footnote>
  <w:footnote w:id="21">
    <w:p w14:paraId="16D2C87C" w14:textId="77777777" w:rsidR="00DB68A2" w:rsidRDefault="00DB68A2" w:rsidP="00A62FF7">
      <w:pPr>
        <w:pStyle w:val="a3"/>
        <w:rPr>
          <w:rFonts w:hint="cs"/>
        </w:rPr>
      </w:pPr>
      <w:r>
        <w:rPr>
          <w:rStyle w:val="a5"/>
        </w:rPr>
        <w:footnoteRef/>
      </w:r>
      <w:r>
        <w:rPr>
          <w:rtl/>
        </w:rPr>
        <w:t xml:space="preserve"> </w:t>
      </w:r>
      <w:r>
        <w:rPr>
          <w:rFonts w:hint="cs"/>
          <w:rtl/>
          <w:lang w:val="he-IL"/>
        </w:rPr>
        <w:t xml:space="preserve">וכך מסופר שם </w:t>
      </w:r>
      <w:r w:rsidR="002B6BE5">
        <w:rPr>
          <w:rFonts w:hint="cs"/>
          <w:rtl/>
          <w:lang w:val="he-IL"/>
        </w:rPr>
        <w:t xml:space="preserve">גם </w:t>
      </w:r>
      <w:r>
        <w:rPr>
          <w:rFonts w:hint="cs"/>
          <w:rtl/>
          <w:lang w:val="he-IL"/>
        </w:rPr>
        <w:t>על רבא ו</w:t>
      </w:r>
      <w:r w:rsidRPr="0023254A">
        <w:rPr>
          <w:rtl/>
          <w:lang w:val="he-IL"/>
        </w:rPr>
        <w:t>רב נחמן</w:t>
      </w:r>
      <w:r w:rsidR="002B6BE5">
        <w:rPr>
          <w:rFonts w:hint="cs"/>
          <w:rtl/>
          <w:lang w:val="he-IL"/>
        </w:rPr>
        <w:t>: "</w:t>
      </w:r>
      <w:r w:rsidR="002B6BE5" w:rsidRPr="002B6BE5">
        <w:rPr>
          <w:rtl/>
          <w:lang w:val="he-IL"/>
        </w:rPr>
        <w:t xml:space="preserve">אמר רבא: כי </w:t>
      </w:r>
      <w:proofErr w:type="spellStart"/>
      <w:r w:rsidR="002B6BE5" w:rsidRPr="002B6BE5">
        <w:rPr>
          <w:rtl/>
          <w:lang w:val="he-IL"/>
        </w:rPr>
        <w:t>הוה</w:t>
      </w:r>
      <w:proofErr w:type="spellEnd"/>
      <w:r w:rsidR="002B6BE5" w:rsidRPr="002B6BE5">
        <w:rPr>
          <w:rtl/>
          <w:lang w:val="he-IL"/>
        </w:rPr>
        <w:t xml:space="preserve"> </w:t>
      </w:r>
      <w:proofErr w:type="spellStart"/>
      <w:r w:rsidR="002B6BE5" w:rsidRPr="002B6BE5">
        <w:rPr>
          <w:rtl/>
          <w:lang w:val="he-IL"/>
        </w:rPr>
        <w:t>אזלינן</w:t>
      </w:r>
      <w:proofErr w:type="spellEnd"/>
      <w:r w:rsidR="002B6BE5" w:rsidRPr="002B6BE5">
        <w:rPr>
          <w:rtl/>
          <w:lang w:val="he-IL"/>
        </w:rPr>
        <w:t xml:space="preserve"> בתריה </w:t>
      </w:r>
      <w:proofErr w:type="spellStart"/>
      <w:r w:rsidR="002B6BE5" w:rsidRPr="002B6BE5">
        <w:rPr>
          <w:rtl/>
          <w:lang w:val="he-IL"/>
        </w:rPr>
        <w:t>דרב</w:t>
      </w:r>
      <w:proofErr w:type="spellEnd"/>
      <w:r w:rsidR="002B6BE5" w:rsidRPr="002B6BE5">
        <w:rPr>
          <w:rtl/>
          <w:lang w:val="he-IL"/>
        </w:rPr>
        <w:t xml:space="preserve"> נחמן כי </w:t>
      </w:r>
      <w:proofErr w:type="spellStart"/>
      <w:r w:rsidR="002B6BE5" w:rsidRPr="002B6BE5">
        <w:rPr>
          <w:rtl/>
          <w:lang w:val="he-IL"/>
        </w:rPr>
        <w:t>הוה</w:t>
      </w:r>
      <w:proofErr w:type="spellEnd"/>
      <w:r w:rsidR="002B6BE5" w:rsidRPr="002B6BE5">
        <w:rPr>
          <w:rtl/>
          <w:lang w:val="he-IL"/>
        </w:rPr>
        <w:t xml:space="preserve"> </w:t>
      </w:r>
      <w:proofErr w:type="spellStart"/>
      <w:r w:rsidR="002B6BE5" w:rsidRPr="002B6BE5">
        <w:rPr>
          <w:rtl/>
          <w:lang w:val="he-IL"/>
        </w:rPr>
        <w:t>נקיט</w:t>
      </w:r>
      <w:proofErr w:type="spellEnd"/>
      <w:r w:rsidR="002B6BE5" w:rsidRPr="002B6BE5">
        <w:rPr>
          <w:rtl/>
          <w:lang w:val="he-IL"/>
        </w:rPr>
        <w:t xml:space="preserve"> ספרא </w:t>
      </w:r>
      <w:proofErr w:type="spellStart"/>
      <w:r w:rsidR="002B6BE5" w:rsidRPr="002B6BE5">
        <w:rPr>
          <w:rtl/>
          <w:lang w:val="he-IL"/>
        </w:rPr>
        <w:t>דאגדתא</w:t>
      </w:r>
      <w:proofErr w:type="spellEnd"/>
      <w:r w:rsidR="002B6BE5" w:rsidRPr="002B6BE5">
        <w:rPr>
          <w:rtl/>
          <w:lang w:val="he-IL"/>
        </w:rPr>
        <w:t xml:space="preserve"> - </w:t>
      </w:r>
      <w:proofErr w:type="spellStart"/>
      <w:r w:rsidR="002B6BE5" w:rsidRPr="002B6BE5">
        <w:rPr>
          <w:rtl/>
          <w:lang w:val="he-IL"/>
        </w:rPr>
        <w:t>יהיב</w:t>
      </w:r>
      <w:proofErr w:type="spellEnd"/>
      <w:r w:rsidR="002B6BE5" w:rsidRPr="002B6BE5">
        <w:rPr>
          <w:rtl/>
          <w:lang w:val="he-IL"/>
        </w:rPr>
        <w:t xml:space="preserve"> לן, כי </w:t>
      </w:r>
      <w:proofErr w:type="spellStart"/>
      <w:r w:rsidR="002B6BE5" w:rsidRPr="002B6BE5">
        <w:rPr>
          <w:rtl/>
          <w:lang w:val="he-IL"/>
        </w:rPr>
        <w:t>הוה</w:t>
      </w:r>
      <w:proofErr w:type="spellEnd"/>
      <w:r w:rsidR="002B6BE5" w:rsidRPr="002B6BE5">
        <w:rPr>
          <w:rtl/>
          <w:lang w:val="he-IL"/>
        </w:rPr>
        <w:t xml:space="preserve"> </w:t>
      </w:r>
      <w:proofErr w:type="spellStart"/>
      <w:r w:rsidR="002B6BE5" w:rsidRPr="002B6BE5">
        <w:rPr>
          <w:rtl/>
          <w:lang w:val="he-IL"/>
        </w:rPr>
        <w:t>נקיט</w:t>
      </w:r>
      <w:proofErr w:type="spellEnd"/>
      <w:r w:rsidR="002B6BE5" w:rsidRPr="002B6BE5">
        <w:rPr>
          <w:rtl/>
          <w:lang w:val="he-IL"/>
        </w:rPr>
        <w:t xml:space="preserve"> תפילין - לא </w:t>
      </w:r>
      <w:proofErr w:type="spellStart"/>
      <w:r w:rsidR="002B6BE5" w:rsidRPr="002B6BE5">
        <w:rPr>
          <w:rtl/>
          <w:lang w:val="he-IL"/>
        </w:rPr>
        <w:t>יהיב</w:t>
      </w:r>
      <w:proofErr w:type="spellEnd"/>
      <w:r w:rsidR="002B6BE5" w:rsidRPr="002B6BE5">
        <w:rPr>
          <w:rtl/>
          <w:lang w:val="he-IL"/>
        </w:rPr>
        <w:t xml:space="preserve"> לן, אמר: הואיל </w:t>
      </w:r>
      <w:proofErr w:type="spellStart"/>
      <w:r w:rsidR="002B6BE5" w:rsidRPr="002B6BE5">
        <w:rPr>
          <w:rtl/>
          <w:lang w:val="he-IL"/>
        </w:rPr>
        <w:t>ושרונהו</w:t>
      </w:r>
      <w:proofErr w:type="spellEnd"/>
      <w:r w:rsidR="002B6BE5" w:rsidRPr="002B6BE5">
        <w:rPr>
          <w:rtl/>
          <w:lang w:val="he-IL"/>
        </w:rPr>
        <w:t xml:space="preserve"> רבנן </w:t>
      </w:r>
      <w:r w:rsidR="002B6BE5">
        <w:rPr>
          <w:rtl/>
          <w:lang w:val="he-IL"/>
        </w:rPr>
        <w:t>–</w:t>
      </w:r>
      <w:r w:rsidR="002B6BE5" w:rsidRPr="002B6BE5">
        <w:rPr>
          <w:rtl/>
          <w:lang w:val="he-IL"/>
        </w:rPr>
        <w:t xml:space="preserve"> ננטרן</w:t>
      </w:r>
      <w:r w:rsidR="002B6BE5">
        <w:rPr>
          <w:rFonts w:hint="cs"/>
          <w:rtl/>
          <w:lang w:val="he-IL"/>
        </w:rPr>
        <w:t>"</w:t>
      </w:r>
      <w:r>
        <w:rPr>
          <w:rFonts w:hint="cs"/>
          <w:rtl/>
          <w:lang w:val="he-IL"/>
        </w:rPr>
        <w:t xml:space="preserve">. בסוגיה שם דנים חכמים על בסיס </w:t>
      </w:r>
      <w:proofErr w:type="spellStart"/>
      <w:r>
        <w:rPr>
          <w:rFonts w:hint="cs"/>
          <w:rtl/>
          <w:lang w:val="he-IL"/>
        </w:rPr>
        <w:t>הברייתא</w:t>
      </w:r>
      <w:proofErr w:type="spellEnd"/>
      <w:r>
        <w:rPr>
          <w:rFonts w:hint="cs"/>
          <w:rtl/>
          <w:lang w:val="he-IL"/>
        </w:rPr>
        <w:t xml:space="preserve">: "תנו רבנן: הנכנס לבית </w:t>
      </w:r>
      <w:proofErr w:type="spellStart"/>
      <w:r>
        <w:rPr>
          <w:rFonts w:hint="cs"/>
          <w:rtl/>
          <w:lang w:val="he-IL"/>
        </w:rPr>
        <w:t>הכסא</w:t>
      </w:r>
      <w:proofErr w:type="spellEnd"/>
      <w:r>
        <w:rPr>
          <w:rFonts w:hint="cs"/>
          <w:rtl/>
          <w:lang w:val="he-IL"/>
        </w:rPr>
        <w:t xml:space="preserve"> חולץ </w:t>
      </w:r>
      <w:proofErr w:type="spellStart"/>
      <w:r>
        <w:rPr>
          <w:rFonts w:hint="cs"/>
          <w:rtl/>
          <w:lang w:val="he-IL"/>
        </w:rPr>
        <w:t>תפיליו</w:t>
      </w:r>
      <w:proofErr w:type="spellEnd"/>
      <w:r>
        <w:rPr>
          <w:rFonts w:hint="cs"/>
          <w:rtl/>
          <w:lang w:val="he-IL"/>
        </w:rPr>
        <w:t xml:space="preserve"> ברחוק ארבע אמות ונכנס": מתי ובאילו תנאים חולצים ומתי לא, והיכן יש להניח את התפילין בזמן השהות בבית </w:t>
      </w:r>
      <w:proofErr w:type="spellStart"/>
      <w:r>
        <w:rPr>
          <w:rFonts w:hint="cs"/>
          <w:rtl/>
          <w:lang w:val="he-IL"/>
        </w:rPr>
        <w:t>הכסא</w:t>
      </w:r>
      <w:proofErr w:type="spellEnd"/>
      <w:r>
        <w:rPr>
          <w:rFonts w:hint="cs"/>
          <w:rtl/>
          <w:lang w:val="he-IL"/>
        </w:rPr>
        <w:t xml:space="preserve">. סוף דבר, בשל חששות שונים (ראו שם בגמרא) וע"ס ברייתא אחרת, נפסק שיכול (ואפילו אולי רצוי בימיהם) להיכנס לבית </w:t>
      </w:r>
      <w:proofErr w:type="spellStart"/>
      <w:r>
        <w:rPr>
          <w:rFonts w:hint="cs"/>
          <w:rtl/>
          <w:lang w:val="he-IL"/>
        </w:rPr>
        <w:t>הכסא</w:t>
      </w:r>
      <w:proofErr w:type="spellEnd"/>
      <w:r>
        <w:rPr>
          <w:rFonts w:hint="cs"/>
          <w:rtl/>
          <w:lang w:val="he-IL"/>
        </w:rPr>
        <w:t xml:space="preserve"> עם התפילין כשהם אחוזים בידו או בגדו". כאן בא רבה בר </w:t>
      </w:r>
      <w:proofErr w:type="spellStart"/>
      <w:r>
        <w:rPr>
          <w:rFonts w:hint="cs"/>
          <w:rtl/>
          <w:lang w:val="he-IL"/>
        </w:rPr>
        <w:t>בר</w:t>
      </w:r>
      <w:proofErr w:type="spellEnd"/>
      <w:r>
        <w:rPr>
          <w:rFonts w:hint="cs"/>
          <w:rtl/>
          <w:lang w:val="he-IL"/>
        </w:rPr>
        <w:t xml:space="preserve"> חנה ומעיד על הנהגתו של ר' יוחנן שהיה נכנס עם </w:t>
      </w:r>
      <w:proofErr w:type="spellStart"/>
      <w:r>
        <w:rPr>
          <w:rFonts w:hint="cs"/>
          <w:rtl/>
          <w:lang w:val="he-IL"/>
        </w:rPr>
        <w:t>תפיליו</w:t>
      </w:r>
      <w:proofErr w:type="spellEnd"/>
      <w:r>
        <w:rPr>
          <w:rFonts w:hint="cs"/>
          <w:rtl/>
          <w:lang w:val="he-IL"/>
        </w:rPr>
        <w:t xml:space="preserve"> לבית </w:t>
      </w:r>
      <w:proofErr w:type="spellStart"/>
      <w:r>
        <w:rPr>
          <w:rFonts w:hint="cs"/>
          <w:rtl/>
          <w:lang w:val="he-IL"/>
        </w:rPr>
        <w:t>הכסא</w:t>
      </w:r>
      <w:proofErr w:type="spellEnd"/>
      <w:r>
        <w:rPr>
          <w:rFonts w:hint="cs"/>
          <w:rtl/>
          <w:lang w:val="he-IL"/>
        </w:rPr>
        <w:t xml:space="preserve"> </w:t>
      </w:r>
      <w:r>
        <w:rPr>
          <w:rtl/>
          <w:lang w:val="he-IL"/>
        </w:rPr>
        <w:t>–</w:t>
      </w:r>
      <w:r>
        <w:rPr>
          <w:rFonts w:hint="cs"/>
          <w:rtl/>
          <w:lang w:val="he-IL"/>
        </w:rPr>
        <w:t xml:space="preserve"> לא רק משום שחכמים התירו זאת, אלא גם מטעם חדש/נוסף שהם מגינים עליו מפני המזיקים שם</w:t>
      </w:r>
      <w:r w:rsidR="00644651">
        <w:rPr>
          <w:rFonts w:hint="cs"/>
          <w:rtl/>
          <w:lang w:val="he-IL"/>
        </w:rPr>
        <w:t>.</w:t>
      </w:r>
      <w:r>
        <w:rPr>
          <w:rFonts w:hint="cs"/>
          <w:rtl/>
          <w:lang w:val="he-IL"/>
        </w:rPr>
        <w:t xml:space="preserve"> אבל עם ספרי אגדה (ומן הסתם גם לא עם ספקי המקרא). ומכאן, שהיו ספרי אגדה כתובים.</w:t>
      </w:r>
      <w:r w:rsidR="002B6BE5">
        <w:rPr>
          <w:rFonts w:hint="cs"/>
          <w:rtl/>
        </w:rPr>
        <w:t xml:space="preserve"> ואפרופו רבא שהזכרנו כאן, ראו </w:t>
      </w:r>
      <w:r w:rsidR="002B6BE5">
        <w:rPr>
          <w:rFonts w:hint="cs"/>
          <w:rtl/>
          <w:lang w:val="he-IL"/>
        </w:rPr>
        <w:t>בגמרא</w:t>
      </w:r>
      <w:r w:rsidR="002B6BE5" w:rsidRPr="00A87308">
        <w:rPr>
          <w:rtl/>
          <w:lang w:val="he-IL"/>
        </w:rPr>
        <w:t xml:space="preserve"> בבא מציעא </w:t>
      </w:r>
      <w:proofErr w:type="spellStart"/>
      <w:r w:rsidR="002B6BE5" w:rsidRPr="00A87308">
        <w:rPr>
          <w:rtl/>
          <w:lang w:val="he-IL"/>
        </w:rPr>
        <w:t>קטז</w:t>
      </w:r>
      <w:proofErr w:type="spellEnd"/>
      <w:r w:rsidR="002B6BE5" w:rsidRPr="00A87308">
        <w:rPr>
          <w:rtl/>
          <w:lang w:val="he-IL"/>
        </w:rPr>
        <w:t xml:space="preserve"> ע</w:t>
      </w:r>
      <w:r w:rsidR="002B6BE5">
        <w:rPr>
          <w:rFonts w:hint="cs"/>
          <w:rtl/>
          <w:lang w:val="he-IL"/>
        </w:rPr>
        <w:t>"א שרבא הוציא מיתומים (בגין חוב) גם ספרי אגדה משום שהם "</w:t>
      </w:r>
      <w:r w:rsidR="002B6BE5" w:rsidRPr="00A87308">
        <w:rPr>
          <w:rtl/>
          <w:lang w:val="he-IL"/>
        </w:rPr>
        <w:t xml:space="preserve">דברים </w:t>
      </w:r>
      <w:proofErr w:type="spellStart"/>
      <w:r w:rsidR="002B6BE5" w:rsidRPr="00A87308">
        <w:rPr>
          <w:rtl/>
          <w:lang w:val="he-IL"/>
        </w:rPr>
        <w:t>העשויין</w:t>
      </w:r>
      <w:proofErr w:type="spellEnd"/>
      <w:r w:rsidR="002B6BE5" w:rsidRPr="00A87308">
        <w:rPr>
          <w:rtl/>
          <w:lang w:val="he-IL"/>
        </w:rPr>
        <w:t xml:space="preserve"> להשאיל ולהשכיר</w:t>
      </w:r>
      <w:r w:rsidR="002B6BE5">
        <w:rPr>
          <w:rFonts w:hint="cs"/>
          <w:rtl/>
          <w:lang w:val="he-IL"/>
        </w:rPr>
        <w:t>"</w:t>
      </w:r>
      <w:r w:rsidR="002B6BE5" w:rsidRPr="00A87308">
        <w:rPr>
          <w:rtl/>
          <w:lang w:val="he-IL"/>
        </w:rPr>
        <w:t xml:space="preserve">, </w:t>
      </w:r>
      <w:r w:rsidR="002B6BE5">
        <w:rPr>
          <w:rFonts w:hint="cs"/>
          <w:rtl/>
          <w:lang w:val="he-IL"/>
        </w:rPr>
        <w:t>היינו שנהגו להשאיל ולהשכיר ספרי אגדה!</w:t>
      </w:r>
    </w:p>
  </w:footnote>
  <w:footnote w:id="22">
    <w:p w14:paraId="2F61F325" w14:textId="77777777" w:rsidR="00A62FF7" w:rsidRDefault="00A62FF7">
      <w:pPr>
        <w:pStyle w:val="a3"/>
        <w:rPr>
          <w:rFonts w:hint="cs"/>
          <w:rtl/>
        </w:rPr>
      </w:pPr>
      <w:r>
        <w:rPr>
          <w:rStyle w:val="a5"/>
        </w:rPr>
        <w:footnoteRef/>
      </w:r>
      <w:r>
        <w:rPr>
          <w:rtl/>
        </w:rPr>
        <w:t xml:space="preserve"> </w:t>
      </w:r>
      <w:r>
        <w:rPr>
          <w:rFonts w:hint="cs"/>
          <w:rtl/>
          <w:lang w:val="he-IL"/>
        </w:rPr>
        <w:t xml:space="preserve">לא רק שיש כאן ספר אגדה כתוב, אלא שגם לומדים ממנו להלכה! </w:t>
      </w:r>
      <w:r w:rsidR="00421431">
        <w:rPr>
          <w:rFonts w:hint="cs"/>
          <w:rtl/>
          <w:lang w:val="he-IL"/>
        </w:rPr>
        <w:t xml:space="preserve">ועוד מספר בראשית! </w:t>
      </w:r>
      <w:r>
        <w:rPr>
          <w:rFonts w:hint="cs"/>
          <w:rtl/>
          <w:lang w:val="he-IL"/>
        </w:rPr>
        <w:t xml:space="preserve">נראה שגם כאן יש הוכחה טובה שספרי אגדה בהם מדובר הם הדרשות הצמודות למקרא ומפרשות את פסוקי המקרא. ראו דרשה זו בבראשית רבה לד </w:t>
      </w:r>
      <w:proofErr w:type="spellStart"/>
      <w:r>
        <w:rPr>
          <w:rFonts w:hint="cs"/>
          <w:rtl/>
          <w:lang w:val="he-IL"/>
        </w:rPr>
        <w:t>יג</w:t>
      </w:r>
      <w:proofErr w:type="spellEnd"/>
      <w:r>
        <w:rPr>
          <w:rFonts w:hint="cs"/>
          <w:rtl/>
          <w:lang w:val="he-IL"/>
        </w:rPr>
        <w:t xml:space="preserve"> בשם רבי </w:t>
      </w:r>
      <w:proofErr w:type="spellStart"/>
      <w:r>
        <w:rPr>
          <w:rFonts w:hint="cs"/>
          <w:rtl/>
          <w:lang w:val="he-IL"/>
        </w:rPr>
        <w:t>חנינא</w:t>
      </w:r>
      <w:proofErr w:type="spellEnd"/>
      <w:r>
        <w:rPr>
          <w:rFonts w:hint="cs"/>
          <w:rtl/>
          <w:lang w:val="he-IL"/>
        </w:rPr>
        <w:t xml:space="preserve"> (מתלמידי ר' יהודה הנשיא): "</w:t>
      </w:r>
      <w:proofErr w:type="spellStart"/>
      <w:r>
        <w:rPr>
          <w:rFonts w:hint="cs"/>
          <w:rtl/>
          <w:lang w:val="he-IL"/>
        </w:rPr>
        <w:t>כולהם</w:t>
      </w:r>
      <w:proofErr w:type="spellEnd"/>
      <w:r>
        <w:rPr>
          <w:rFonts w:hint="cs"/>
          <w:rtl/>
          <w:lang w:val="he-IL"/>
        </w:rPr>
        <w:t xml:space="preserve"> בהלכות בני נח: </w:t>
      </w:r>
      <w:r w:rsidRPr="00B62923">
        <w:rPr>
          <w:rtl/>
          <w:lang w:val="he-IL"/>
        </w:rPr>
        <w:t xml:space="preserve">בעד אחד בדיין אחד בלא </w:t>
      </w:r>
      <w:proofErr w:type="spellStart"/>
      <w:r w:rsidRPr="00B62923">
        <w:rPr>
          <w:rtl/>
          <w:lang w:val="he-IL"/>
        </w:rPr>
        <w:t>התרייה</w:t>
      </w:r>
      <w:proofErr w:type="spellEnd"/>
      <w:r w:rsidRPr="00B62923">
        <w:rPr>
          <w:rtl/>
          <w:lang w:val="he-IL"/>
        </w:rPr>
        <w:t xml:space="preserve"> על ידי שליח </w:t>
      </w:r>
      <w:r>
        <w:rPr>
          <w:rFonts w:hint="cs"/>
          <w:rtl/>
          <w:lang w:val="he-IL"/>
        </w:rPr>
        <w:t>וכו' ". ואולי לא רק מדרשי אמוראים כבראשית רבה וויקרא רבה, אלא גם מדרשי התנאים, כספרא - תורת כהנים, מכילתא וספרי. (והדרשה בבראשית רבה אולי מוכיחה שהיו גם מדרשי תנאים על ספר בראשית, דרשות בשם תנאים בוודאי שנזכרות שם לא מעט). וכאמור לעיל, לדרשות אלה שנהגו כנראה לקרוא בהם לאחר הקריאה בתורה או אפילו בשילוב עם הקריאה, דוגמת הקריאה בספרי התרגום, יש קרבה מיוחדת לתורה שבכתב, היינו למקרא, ולפיכך הקלו בכתיבתם. והם היו החלוץ והתקדים להעלאה על הכתב בהמשך הדורות של כל התורה שבע"פ.</w:t>
      </w:r>
      <w:r w:rsidR="008F2667">
        <w:rPr>
          <w:rFonts w:hint="cs"/>
          <w:rtl/>
        </w:rPr>
        <w:t xml:space="preserve"> ואם כן כך, הרי לנו את עולם המדרש כמגשר בין המקרא למשנה-תלמוד ולהלכה.</w:t>
      </w:r>
      <w:r w:rsidR="00E904A6" w:rsidRPr="00E904A6">
        <w:rPr>
          <w:rFonts w:hint="cs"/>
          <w:rtl/>
          <w:lang w:val="he-IL"/>
        </w:rPr>
        <w:t xml:space="preserve"> </w:t>
      </w:r>
      <w:r w:rsidR="00E904A6">
        <w:rPr>
          <w:rFonts w:hint="cs"/>
          <w:rtl/>
          <w:lang w:val="he-IL"/>
        </w:rPr>
        <w:t>אגדה כאן היא מלשון הגדה היינו דרשות על פסוקים.</w:t>
      </w:r>
    </w:p>
  </w:footnote>
  <w:footnote w:id="23">
    <w:p w14:paraId="5BB9B1D3" w14:textId="77777777" w:rsidR="00421431" w:rsidRDefault="00421431" w:rsidP="006B29B1">
      <w:pPr>
        <w:pStyle w:val="a3"/>
        <w:rPr>
          <w:rFonts w:hint="cs"/>
        </w:rPr>
      </w:pPr>
      <w:r>
        <w:rPr>
          <w:rStyle w:val="a5"/>
        </w:rPr>
        <w:footnoteRef/>
      </w:r>
      <w:r>
        <w:rPr>
          <w:rtl/>
        </w:rPr>
        <w:t xml:space="preserve"> </w:t>
      </w:r>
      <w:r w:rsidR="006B29B1">
        <w:rPr>
          <w:rFonts w:hint="cs"/>
          <w:rtl/>
        </w:rPr>
        <w:t xml:space="preserve">שוכח. </w:t>
      </w:r>
      <w:r>
        <w:rPr>
          <w:rFonts w:hint="cs"/>
          <w:rtl/>
        </w:rPr>
        <w:t xml:space="preserve">ראו בגמרא ברכות </w:t>
      </w:r>
      <w:r w:rsidR="006B29B1">
        <w:rPr>
          <w:rFonts w:hint="cs"/>
          <w:rtl/>
        </w:rPr>
        <w:t>ח ע"א (</w:t>
      </w:r>
      <w:proofErr w:type="spellStart"/>
      <w:r w:rsidR="006B29B1">
        <w:rPr>
          <w:rFonts w:hint="cs"/>
          <w:rtl/>
        </w:rPr>
        <w:t>וברי"ף</w:t>
      </w:r>
      <w:proofErr w:type="spellEnd"/>
      <w:r w:rsidR="006B29B1">
        <w:rPr>
          <w:rFonts w:hint="cs"/>
          <w:rtl/>
        </w:rPr>
        <w:t xml:space="preserve"> ברכות ד ע"א) שרב אמי ורב אסי היו מתפללים בבית המדרש דווקא, למרות שעמדו לרשותם שלושה עשר בתי כנסת בטבריה, משום מאמרו של ר' </w:t>
      </w:r>
      <w:proofErr w:type="spellStart"/>
      <w:r w:rsidR="006B29B1">
        <w:rPr>
          <w:rFonts w:hint="cs"/>
          <w:rtl/>
        </w:rPr>
        <w:t>חייא</w:t>
      </w:r>
      <w:proofErr w:type="spellEnd"/>
      <w:r w:rsidR="006B29B1">
        <w:rPr>
          <w:rFonts w:hint="cs"/>
          <w:rtl/>
        </w:rPr>
        <w:t>: "</w:t>
      </w:r>
      <w:r w:rsidR="006B29B1">
        <w:rPr>
          <w:rtl/>
        </w:rPr>
        <w:t>מיום שחרב בית המקדש אין לו להק</w:t>
      </w:r>
      <w:r w:rsidR="006B29B1">
        <w:rPr>
          <w:rFonts w:hint="cs"/>
          <w:rtl/>
        </w:rPr>
        <w:t>ב"ה</w:t>
      </w:r>
      <w:r w:rsidR="006B29B1">
        <w:rPr>
          <w:rtl/>
        </w:rPr>
        <w:t xml:space="preserve"> בעולמו אלא ארבע אמות של הלכה בלבד</w:t>
      </w:r>
      <w:r w:rsidR="006B29B1">
        <w:rPr>
          <w:rFonts w:hint="cs"/>
          <w:rtl/>
        </w:rPr>
        <w:t xml:space="preserve">". ואילו כאן, </w:t>
      </w:r>
      <w:r w:rsidR="00A74F28">
        <w:rPr>
          <w:rFonts w:hint="cs"/>
          <w:rtl/>
        </w:rPr>
        <w:t xml:space="preserve">היגיעה </w:t>
      </w:r>
      <w:r w:rsidR="006B29B1">
        <w:rPr>
          <w:rFonts w:hint="cs"/>
          <w:rtl/>
        </w:rPr>
        <w:t xml:space="preserve">בתלמוד </w:t>
      </w:r>
      <w:r w:rsidR="00A74F28">
        <w:rPr>
          <w:rFonts w:hint="cs"/>
          <w:rtl/>
        </w:rPr>
        <w:t xml:space="preserve">היא </w:t>
      </w:r>
      <w:r w:rsidR="006B29B1">
        <w:rPr>
          <w:rFonts w:hint="cs"/>
          <w:rtl/>
        </w:rPr>
        <w:t>בבית הכנסת. נראה שכבר מזמן קדום היו בתי מדרש ובתי כנסת משמשים הן לתפילה והן ללימוד תורה</w:t>
      </w:r>
      <w:r w:rsidR="00A74F28">
        <w:rPr>
          <w:rFonts w:hint="cs"/>
          <w:rtl/>
        </w:rPr>
        <w:t xml:space="preserve"> והדגש בדרשה הוא שאדם ילמד במקום בו יש עוד למדנים ולא לבד בביתו</w:t>
      </w:r>
      <w:r w:rsidR="006B29B1">
        <w:rPr>
          <w:rFonts w:hint="cs"/>
          <w:rtl/>
        </w:rPr>
        <w:t>.</w:t>
      </w:r>
    </w:p>
  </w:footnote>
  <w:footnote w:id="24">
    <w:p w14:paraId="7DE7CE41" w14:textId="77777777" w:rsidR="00FF55E1" w:rsidRDefault="00FF55E1">
      <w:pPr>
        <w:pStyle w:val="a3"/>
        <w:rPr>
          <w:rFonts w:hint="cs"/>
        </w:rPr>
      </w:pPr>
      <w:r>
        <w:rPr>
          <w:rStyle w:val="a5"/>
        </w:rPr>
        <w:footnoteRef/>
      </w:r>
      <w:r>
        <w:rPr>
          <w:rtl/>
        </w:rPr>
        <w:t xml:space="preserve"> </w:t>
      </w:r>
      <w:r>
        <w:rPr>
          <w:rFonts w:hint="cs"/>
          <w:rtl/>
        </w:rPr>
        <w:t>ר' יוחנן מהיישוב עין תאנה שבגליל (</w:t>
      </w:r>
      <w:proofErr w:type="spellStart"/>
      <w:r>
        <w:rPr>
          <w:rFonts w:hint="cs"/>
          <w:rtl/>
        </w:rPr>
        <w:t>ענתנייה</w:t>
      </w:r>
      <w:proofErr w:type="spellEnd"/>
      <w:r>
        <w:rPr>
          <w:rFonts w:hint="cs"/>
          <w:rtl/>
        </w:rPr>
        <w:t>) שהוא אמורא ארץ ישראלי מהדור הרביעי ולא כר' יוחנן במאמר הקודם שהוא בפשטות ר' יוחנן מטבריה, אמורא דור ראשון-שני.</w:t>
      </w:r>
    </w:p>
  </w:footnote>
  <w:footnote w:id="25">
    <w:p w14:paraId="40E09550" w14:textId="77777777" w:rsidR="005B75EC" w:rsidRDefault="005B75EC">
      <w:pPr>
        <w:pStyle w:val="a3"/>
        <w:rPr>
          <w:rFonts w:hint="cs"/>
        </w:rPr>
      </w:pPr>
      <w:r>
        <w:rPr>
          <w:rStyle w:val="a5"/>
        </w:rPr>
        <w:footnoteRef/>
      </w:r>
      <w:r>
        <w:rPr>
          <w:rtl/>
        </w:rPr>
        <w:t xml:space="preserve"> </w:t>
      </w:r>
      <w:r>
        <w:rPr>
          <w:rFonts w:hint="cs"/>
          <w:rtl/>
        </w:rPr>
        <w:t>מר' יוחנן שהיה מעיין בספרי אגדה בשבת</w:t>
      </w:r>
      <w:r w:rsidRPr="005B75EC">
        <w:rPr>
          <w:rFonts w:hint="cs"/>
          <w:rtl/>
          <w:lang w:val="he-IL"/>
        </w:rPr>
        <w:t xml:space="preserve"> </w:t>
      </w:r>
      <w:r>
        <w:rPr>
          <w:rFonts w:hint="cs"/>
          <w:rtl/>
          <w:lang w:val="he-IL"/>
        </w:rPr>
        <w:t xml:space="preserve">בהיתר מיוחד: "כיון דלא אפשר - עת לעשות לה' הפרו תורתך", דרך ר' יוחנן שהיה מקפיד לא להיכנס לבית הכיסא עם ספר אגדה (משמע שהיה תדיר בחיקו), הגענו אל השבח הגדול שמי שלומד אגדה מתוך הספר </w:t>
      </w:r>
      <w:r>
        <w:rPr>
          <w:rtl/>
          <w:lang w:val="he-IL"/>
        </w:rPr>
        <w:t>–</w:t>
      </w:r>
      <w:r>
        <w:rPr>
          <w:rFonts w:hint="cs"/>
          <w:rtl/>
          <w:lang w:val="he-IL"/>
        </w:rPr>
        <w:t xml:space="preserve"> לא במהרה הוא שוכח</w:t>
      </w:r>
      <w:r w:rsidR="005377F3">
        <w:rPr>
          <w:rFonts w:hint="cs"/>
          <w:rtl/>
          <w:lang w:val="he-IL"/>
        </w:rPr>
        <w:t xml:space="preserve"> (בהנחה שכולם </w:t>
      </w:r>
      <w:r w:rsidR="00A74F28">
        <w:rPr>
          <w:rFonts w:hint="cs"/>
          <w:rtl/>
          <w:lang w:val="he-IL"/>
        </w:rPr>
        <w:t xml:space="preserve">הם </w:t>
      </w:r>
      <w:r w:rsidR="005377F3">
        <w:rPr>
          <w:rFonts w:hint="cs"/>
          <w:rtl/>
          <w:lang w:val="he-IL"/>
        </w:rPr>
        <w:t>אותו ר' יוחנן)</w:t>
      </w:r>
      <w:r>
        <w:rPr>
          <w:rFonts w:hint="cs"/>
          <w:rtl/>
          <w:lang w:val="he-IL"/>
        </w:rPr>
        <w:t>.</w:t>
      </w:r>
      <w:r w:rsidR="00A74F28">
        <w:rPr>
          <w:rFonts w:hint="cs"/>
          <w:rtl/>
        </w:rPr>
        <w:t xml:space="preserve"> ועדיין ניתן לומר שכל זה מדובר על לימוד ושינון, אבל דרשה לפני הציבור היא תמיד בע"פ ולשם כך יש להכין כראוי </w:t>
      </w:r>
      <w:r w:rsidR="00A74F28">
        <w:rPr>
          <w:rtl/>
        </w:rPr>
        <w:t>–</w:t>
      </w:r>
      <w:r w:rsidR="00A74F28">
        <w:rPr>
          <w:rFonts w:hint="cs"/>
          <w:rtl/>
        </w:rPr>
        <w:t xml:space="preserve"> גם מתוך הכתב אם צריך.</w:t>
      </w:r>
    </w:p>
  </w:footnote>
  <w:footnote w:id="26">
    <w:p w14:paraId="02CD0817" w14:textId="77777777" w:rsidR="005B75EC" w:rsidRDefault="005B75EC">
      <w:pPr>
        <w:pStyle w:val="a3"/>
        <w:rPr>
          <w:rFonts w:hint="cs"/>
          <w:rtl/>
        </w:rPr>
      </w:pPr>
      <w:r>
        <w:rPr>
          <w:rStyle w:val="a5"/>
        </w:rPr>
        <w:footnoteRef/>
      </w:r>
      <w:r>
        <w:rPr>
          <w:rtl/>
        </w:rPr>
        <w:t xml:space="preserve"> </w:t>
      </w:r>
      <w:r>
        <w:rPr>
          <w:rFonts w:hint="cs"/>
          <w:rtl/>
        </w:rPr>
        <w:t>"לסבור" היינו להתבונן ולהבין את הסברה וממילא לזכור ולשלב בלימוד</w:t>
      </w:r>
      <w:r w:rsidR="005377F3">
        <w:rPr>
          <w:rFonts w:hint="cs"/>
          <w:rtl/>
        </w:rPr>
        <w:t xml:space="preserve"> בזמן ובמקום הנכונים</w:t>
      </w:r>
      <w:r>
        <w:rPr>
          <w:rFonts w:hint="cs"/>
          <w:rtl/>
        </w:rPr>
        <w:t>. ומשתמע שהכוונה דווקא לסבירה בע"פ, כפי שמסביר שלמה נאה בהרחבה במאמר</w:t>
      </w:r>
      <w:r w:rsidR="00A74F28">
        <w:rPr>
          <w:rFonts w:hint="cs"/>
          <w:rtl/>
        </w:rPr>
        <w:t>:</w:t>
      </w:r>
      <w:r>
        <w:rPr>
          <w:rFonts w:hint="cs"/>
          <w:rtl/>
        </w:rPr>
        <w:t xml:space="preserve"> </w:t>
      </w:r>
      <w:r w:rsidR="00B265C8">
        <w:rPr>
          <w:rFonts w:hint="cs"/>
          <w:rtl/>
        </w:rPr>
        <w:t>א</w:t>
      </w:r>
      <w:r>
        <w:rPr>
          <w:rFonts w:hint="cs"/>
          <w:rtl/>
        </w:rPr>
        <w:t xml:space="preserve">מנות </w:t>
      </w:r>
      <w:proofErr w:type="spellStart"/>
      <w:r>
        <w:rPr>
          <w:rFonts w:hint="cs"/>
          <w:rtl/>
        </w:rPr>
        <w:t>הזכרון</w:t>
      </w:r>
      <w:proofErr w:type="spellEnd"/>
      <w:r w:rsidR="00B265C8">
        <w:rPr>
          <w:rFonts w:hint="cs"/>
          <w:rtl/>
        </w:rPr>
        <w:t xml:space="preserve"> </w:t>
      </w:r>
      <w:r w:rsidR="00B265C8">
        <w:rPr>
          <w:rtl/>
        </w:rPr>
        <w:t>–</w:t>
      </w:r>
      <w:r w:rsidR="00B265C8">
        <w:rPr>
          <w:rFonts w:hint="cs"/>
          <w:rtl/>
        </w:rPr>
        <w:t xml:space="preserve"> מבנים של זיכרון ותבניות של טקסט בספרות חז"ל. ונראה שאפשר להבין את המאמר של ר' תנחום שבא בצמוד למאמר של ר' יוחנן בשני אופנים (לפחות). האחד, </w:t>
      </w:r>
      <w:r w:rsidR="005377F3">
        <w:rPr>
          <w:rFonts w:hint="cs"/>
          <w:rtl/>
        </w:rPr>
        <w:t>כ</w:t>
      </w:r>
      <w:r w:rsidR="00AC7715">
        <w:rPr>
          <w:rFonts w:hint="cs"/>
          <w:rtl/>
        </w:rPr>
        <w:t xml:space="preserve">משלים את דברי ר' יוחנן. ר' יוחנן מדבר על לימוד האגדה, שראינו לעיל כיצד היא מחוברת אל המקרא, בעוד שר' תנחום מדבר על התלמוד ועולם ההלכה שהיה ונשאר (אז) כולו בע"פ. </w:t>
      </w:r>
      <w:r w:rsidR="005377F3">
        <w:rPr>
          <w:rFonts w:hint="cs"/>
          <w:rtl/>
        </w:rPr>
        <w:t>השלמה על דרך ההנגדה והאפיון של האגדה אל מול ההלכה. אך אפשר שר' תנחום גם 'עוקץ' את ר' יוחנן</w:t>
      </w:r>
      <w:r>
        <w:rPr>
          <w:rFonts w:hint="cs"/>
          <w:rtl/>
        </w:rPr>
        <w:t xml:space="preserve"> </w:t>
      </w:r>
      <w:r w:rsidR="005377F3">
        <w:rPr>
          <w:rFonts w:hint="cs"/>
          <w:rtl/>
        </w:rPr>
        <w:t>ואומר שאם אפשר וצריך לסבור את עולם התלמוד וההלכה הענק, אפשר גם "לסבור" את עולם האגדה.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1582" w14:textId="77777777" w:rsidR="00D05C13" w:rsidRDefault="0023254A" w:rsidP="00A9269C">
    <w:pPr>
      <w:pStyle w:val="1"/>
      <w:tabs>
        <w:tab w:val="clear" w:pos="9469"/>
        <w:tab w:val="right" w:pos="9299"/>
      </w:tabs>
      <w:rPr>
        <w:lang w:eastAsia="en-US"/>
      </w:rPr>
    </w:pPr>
    <w:r>
      <w:rPr>
        <w:rFonts w:hint="cs"/>
        <w:rtl/>
        <w:lang w:eastAsia="en-US"/>
      </w:rPr>
      <w:t>כתיבת ספרי אגדה</w:t>
    </w:r>
    <w:r w:rsidR="00D05C13">
      <w:rPr>
        <w:rtl/>
        <w:lang w:eastAsia="en-US"/>
      </w:rPr>
      <w:tab/>
    </w:r>
    <w:r w:rsidR="00A9269C">
      <w:rPr>
        <w:rFonts w:hint="cs"/>
        <w:rtl/>
        <w:lang w:eastAsia="en-US"/>
      </w:rPr>
      <w:t>דפים מיוחדים</w:t>
    </w:r>
  </w:p>
  <w:p w14:paraId="3C19DEC3" w14:textId="77777777" w:rsidR="00040602" w:rsidRPr="00D05C13" w:rsidRDefault="00040602" w:rsidP="00D05C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F6D7" w14:textId="6936D599" w:rsidR="00360A49" w:rsidRDefault="00040602">
    <w:pPr>
      <w:pStyle w:val="1"/>
      <w:tabs>
        <w:tab w:val="right" w:pos="9922"/>
      </w:tabs>
      <w:ind w:right="426"/>
      <w:rPr>
        <w:rtl/>
      </w:rPr>
    </w:pPr>
    <w:r>
      <w:rPr>
        <w:rFonts w:hint="cs"/>
        <w:rtl/>
      </w:rPr>
      <w:t>מחלקי המים</w:t>
    </w:r>
    <w:r>
      <w:rPr>
        <w:rFonts w:hint="cs"/>
        <w:rtl/>
      </w:rPr>
      <w:tab/>
      <w:t>ירושלים</w:t>
    </w:r>
    <w:r w:rsidR="00360A49">
      <w:rPr>
        <w:rFonts w:hint="cs"/>
        <w:rtl/>
      </w:rPr>
      <w:tab/>
    </w:r>
    <w:fldSimple w:instr=" SUBJECT  \* MERGEFORMAT ">
      <w:r w:rsidR="00B612B7">
        <w:rPr>
          <w:rtl/>
        </w:rPr>
        <w:t>דפים מיוחדים</w:t>
      </w:r>
    </w:fldSimple>
    <w:r w:rsidR="00360A49">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380932936">
    <w:abstractNumId w:val="8"/>
  </w:num>
  <w:num w:numId="2" w16cid:durableId="1574701078">
    <w:abstractNumId w:val="3"/>
  </w:num>
  <w:num w:numId="3" w16cid:durableId="1944652934">
    <w:abstractNumId w:val="2"/>
  </w:num>
  <w:num w:numId="4" w16cid:durableId="388187770">
    <w:abstractNumId w:val="1"/>
  </w:num>
  <w:num w:numId="5" w16cid:durableId="1950576627">
    <w:abstractNumId w:val="0"/>
  </w:num>
  <w:num w:numId="6" w16cid:durableId="2325547">
    <w:abstractNumId w:val="9"/>
  </w:num>
  <w:num w:numId="7" w16cid:durableId="1666860265">
    <w:abstractNumId w:val="7"/>
  </w:num>
  <w:num w:numId="8" w16cid:durableId="1790781811">
    <w:abstractNumId w:val="6"/>
  </w:num>
  <w:num w:numId="9" w16cid:durableId="1337656603">
    <w:abstractNumId w:val="5"/>
  </w:num>
  <w:num w:numId="10" w16cid:durableId="2377878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wMjC3MDM3NTA1MDNR0lEKTi0uzszPAykwNq4FAO4xEbMtAAAA"/>
  </w:docVars>
  <w:rsids>
    <w:rsidRoot w:val="005E40E4"/>
    <w:rsid w:val="00000046"/>
    <w:rsid w:val="00001134"/>
    <w:rsid w:val="000034B8"/>
    <w:rsid w:val="00003513"/>
    <w:rsid w:val="000075F0"/>
    <w:rsid w:val="000113B6"/>
    <w:rsid w:val="00015409"/>
    <w:rsid w:val="00032D04"/>
    <w:rsid w:val="00040602"/>
    <w:rsid w:val="0004386F"/>
    <w:rsid w:val="00051595"/>
    <w:rsid w:val="000570D2"/>
    <w:rsid w:val="00060167"/>
    <w:rsid w:val="00086225"/>
    <w:rsid w:val="00093975"/>
    <w:rsid w:val="000A49D4"/>
    <w:rsid w:val="000D3289"/>
    <w:rsid w:val="000D41BC"/>
    <w:rsid w:val="000D6799"/>
    <w:rsid w:val="000E4F0D"/>
    <w:rsid w:val="000F241F"/>
    <w:rsid w:val="000F34AE"/>
    <w:rsid w:val="000F3F03"/>
    <w:rsid w:val="000F4485"/>
    <w:rsid w:val="00110403"/>
    <w:rsid w:val="0012165E"/>
    <w:rsid w:val="00126A64"/>
    <w:rsid w:val="0013082D"/>
    <w:rsid w:val="00136F2B"/>
    <w:rsid w:val="001371F9"/>
    <w:rsid w:val="001405B6"/>
    <w:rsid w:val="00156A7C"/>
    <w:rsid w:val="00164FDC"/>
    <w:rsid w:val="00165104"/>
    <w:rsid w:val="0016543D"/>
    <w:rsid w:val="00171C0C"/>
    <w:rsid w:val="00176038"/>
    <w:rsid w:val="00182BCD"/>
    <w:rsid w:val="00186D69"/>
    <w:rsid w:val="00187554"/>
    <w:rsid w:val="00187A3C"/>
    <w:rsid w:val="0019158E"/>
    <w:rsid w:val="00192586"/>
    <w:rsid w:val="001A1ADC"/>
    <w:rsid w:val="001B288A"/>
    <w:rsid w:val="001B51F1"/>
    <w:rsid w:val="001B5897"/>
    <w:rsid w:val="001C6E28"/>
    <w:rsid w:val="001C7236"/>
    <w:rsid w:val="001D112A"/>
    <w:rsid w:val="001E23FB"/>
    <w:rsid w:val="001E3EEF"/>
    <w:rsid w:val="001F0DC5"/>
    <w:rsid w:val="00200946"/>
    <w:rsid w:val="0020116B"/>
    <w:rsid w:val="002023DA"/>
    <w:rsid w:val="002030D0"/>
    <w:rsid w:val="00215BA4"/>
    <w:rsid w:val="00220A51"/>
    <w:rsid w:val="00222602"/>
    <w:rsid w:val="00231FD9"/>
    <w:rsid w:val="0023254A"/>
    <w:rsid w:val="00233FEA"/>
    <w:rsid w:val="00237EC4"/>
    <w:rsid w:val="0024239B"/>
    <w:rsid w:val="00243841"/>
    <w:rsid w:val="002510ED"/>
    <w:rsid w:val="00254014"/>
    <w:rsid w:val="00254922"/>
    <w:rsid w:val="00255DAD"/>
    <w:rsid w:val="00255F26"/>
    <w:rsid w:val="0027670F"/>
    <w:rsid w:val="00277741"/>
    <w:rsid w:val="002805F4"/>
    <w:rsid w:val="0028297D"/>
    <w:rsid w:val="00290A35"/>
    <w:rsid w:val="00294B3C"/>
    <w:rsid w:val="00296289"/>
    <w:rsid w:val="002A4727"/>
    <w:rsid w:val="002B42F8"/>
    <w:rsid w:val="002B6BE5"/>
    <w:rsid w:val="002C76CE"/>
    <w:rsid w:val="002E0E75"/>
    <w:rsid w:val="002E5C20"/>
    <w:rsid w:val="002E6479"/>
    <w:rsid w:val="00301FA0"/>
    <w:rsid w:val="00314D9C"/>
    <w:rsid w:val="0032646D"/>
    <w:rsid w:val="00353DDF"/>
    <w:rsid w:val="00357566"/>
    <w:rsid w:val="00360A49"/>
    <w:rsid w:val="003611BE"/>
    <w:rsid w:val="003638AF"/>
    <w:rsid w:val="0037546B"/>
    <w:rsid w:val="003800B7"/>
    <w:rsid w:val="00390ED5"/>
    <w:rsid w:val="003925EB"/>
    <w:rsid w:val="0039495A"/>
    <w:rsid w:val="00397050"/>
    <w:rsid w:val="003A763B"/>
    <w:rsid w:val="003B123C"/>
    <w:rsid w:val="003B7529"/>
    <w:rsid w:val="003B79E4"/>
    <w:rsid w:val="003C289C"/>
    <w:rsid w:val="003C4ED1"/>
    <w:rsid w:val="003C5B13"/>
    <w:rsid w:val="003C79C4"/>
    <w:rsid w:val="003D70BF"/>
    <w:rsid w:val="003E08E2"/>
    <w:rsid w:val="003E0D79"/>
    <w:rsid w:val="003E47F6"/>
    <w:rsid w:val="00403AEC"/>
    <w:rsid w:val="00406EB5"/>
    <w:rsid w:val="00411527"/>
    <w:rsid w:val="00421431"/>
    <w:rsid w:val="004319B1"/>
    <w:rsid w:val="00435637"/>
    <w:rsid w:val="00436295"/>
    <w:rsid w:val="00437D5A"/>
    <w:rsid w:val="004432F1"/>
    <w:rsid w:val="00445B2A"/>
    <w:rsid w:val="00445DFE"/>
    <w:rsid w:val="004461AA"/>
    <w:rsid w:val="004468D6"/>
    <w:rsid w:val="00455039"/>
    <w:rsid w:val="004631C8"/>
    <w:rsid w:val="00471A04"/>
    <w:rsid w:val="004721C6"/>
    <w:rsid w:val="00473BBF"/>
    <w:rsid w:val="00474C66"/>
    <w:rsid w:val="004771C6"/>
    <w:rsid w:val="00482747"/>
    <w:rsid w:val="004828B7"/>
    <w:rsid w:val="0049598E"/>
    <w:rsid w:val="004A1E38"/>
    <w:rsid w:val="004A2FC7"/>
    <w:rsid w:val="004A4F42"/>
    <w:rsid w:val="004A643D"/>
    <w:rsid w:val="004B647E"/>
    <w:rsid w:val="004C174E"/>
    <w:rsid w:val="004C1D0E"/>
    <w:rsid w:val="004C1D61"/>
    <w:rsid w:val="004D7065"/>
    <w:rsid w:val="004E40BB"/>
    <w:rsid w:val="004E58F9"/>
    <w:rsid w:val="004E7DDB"/>
    <w:rsid w:val="004E7E85"/>
    <w:rsid w:val="004F17AB"/>
    <w:rsid w:val="00500504"/>
    <w:rsid w:val="0050400D"/>
    <w:rsid w:val="00513B13"/>
    <w:rsid w:val="00517E38"/>
    <w:rsid w:val="00524704"/>
    <w:rsid w:val="0052553C"/>
    <w:rsid w:val="0053632F"/>
    <w:rsid w:val="005377F3"/>
    <w:rsid w:val="0054272F"/>
    <w:rsid w:val="00550D5E"/>
    <w:rsid w:val="00566F95"/>
    <w:rsid w:val="005807F5"/>
    <w:rsid w:val="00592C51"/>
    <w:rsid w:val="005943A9"/>
    <w:rsid w:val="00597191"/>
    <w:rsid w:val="005A23AC"/>
    <w:rsid w:val="005B4815"/>
    <w:rsid w:val="005B75EC"/>
    <w:rsid w:val="005B7721"/>
    <w:rsid w:val="005C064F"/>
    <w:rsid w:val="005C0A6A"/>
    <w:rsid w:val="005C5945"/>
    <w:rsid w:val="005D1586"/>
    <w:rsid w:val="005E15FB"/>
    <w:rsid w:val="005E25B3"/>
    <w:rsid w:val="005E40E4"/>
    <w:rsid w:val="005E44B6"/>
    <w:rsid w:val="005F4B79"/>
    <w:rsid w:val="00600A59"/>
    <w:rsid w:val="00600F35"/>
    <w:rsid w:val="00601338"/>
    <w:rsid w:val="00602300"/>
    <w:rsid w:val="006058F4"/>
    <w:rsid w:val="00605E83"/>
    <w:rsid w:val="00607950"/>
    <w:rsid w:val="006101F8"/>
    <w:rsid w:val="0062458B"/>
    <w:rsid w:val="006269B9"/>
    <w:rsid w:val="00626B31"/>
    <w:rsid w:val="00627BA4"/>
    <w:rsid w:val="0063229E"/>
    <w:rsid w:val="006334E4"/>
    <w:rsid w:val="006354A0"/>
    <w:rsid w:val="006363ED"/>
    <w:rsid w:val="0064020C"/>
    <w:rsid w:val="00644651"/>
    <w:rsid w:val="006465F4"/>
    <w:rsid w:val="00654B9A"/>
    <w:rsid w:val="00662D9C"/>
    <w:rsid w:val="0066696C"/>
    <w:rsid w:val="00667F71"/>
    <w:rsid w:val="00671A1B"/>
    <w:rsid w:val="0067532A"/>
    <w:rsid w:val="0068696C"/>
    <w:rsid w:val="006901FB"/>
    <w:rsid w:val="006A51F6"/>
    <w:rsid w:val="006B29B1"/>
    <w:rsid w:val="006C053E"/>
    <w:rsid w:val="006C0C92"/>
    <w:rsid w:val="006D4E85"/>
    <w:rsid w:val="006D4F8C"/>
    <w:rsid w:val="006D5178"/>
    <w:rsid w:val="006D7FAE"/>
    <w:rsid w:val="006E3C72"/>
    <w:rsid w:val="006E4DDB"/>
    <w:rsid w:val="006F2C1C"/>
    <w:rsid w:val="00703B95"/>
    <w:rsid w:val="0070414F"/>
    <w:rsid w:val="00711987"/>
    <w:rsid w:val="007211BE"/>
    <w:rsid w:val="00721760"/>
    <w:rsid w:val="00724422"/>
    <w:rsid w:val="00725036"/>
    <w:rsid w:val="00726016"/>
    <w:rsid w:val="0072744B"/>
    <w:rsid w:val="00727EEB"/>
    <w:rsid w:val="00736064"/>
    <w:rsid w:val="00745F14"/>
    <w:rsid w:val="00746A50"/>
    <w:rsid w:val="007479A6"/>
    <w:rsid w:val="00750F9E"/>
    <w:rsid w:val="00761D10"/>
    <w:rsid w:val="00761EE4"/>
    <w:rsid w:val="00764763"/>
    <w:rsid w:val="00764A67"/>
    <w:rsid w:val="00767613"/>
    <w:rsid w:val="00773E69"/>
    <w:rsid w:val="00777E67"/>
    <w:rsid w:val="00780C95"/>
    <w:rsid w:val="0078467F"/>
    <w:rsid w:val="007915CC"/>
    <w:rsid w:val="007A217C"/>
    <w:rsid w:val="007A26E7"/>
    <w:rsid w:val="007B56C6"/>
    <w:rsid w:val="007B5E13"/>
    <w:rsid w:val="007D3621"/>
    <w:rsid w:val="007E59A4"/>
    <w:rsid w:val="0080132B"/>
    <w:rsid w:val="008020EF"/>
    <w:rsid w:val="00817416"/>
    <w:rsid w:val="00820505"/>
    <w:rsid w:val="00820C25"/>
    <w:rsid w:val="00825474"/>
    <w:rsid w:val="00827C6A"/>
    <w:rsid w:val="008323A7"/>
    <w:rsid w:val="0083337D"/>
    <w:rsid w:val="008348C8"/>
    <w:rsid w:val="00842223"/>
    <w:rsid w:val="008609DA"/>
    <w:rsid w:val="00864766"/>
    <w:rsid w:val="00864DCF"/>
    <w:rsid w:val="008674D1"/>
    <w:rsid w:val="00873186"/>
    <w:rsid w:val="008A43F3"/>
    <w:rsid w:val="008B2770"/>
    <w:rsid w:val="008B68E1"/>
    <w:rsid w:val="008C0DBD"/>
    <w:rsid w:val="008D0B47"/>
    <w:rsid w:val="008F1F43"/>
    <w:rsid w:val="008F2667"/>
    <w:rsid w:val="008F7816"/>
    <w:rsid w:val="008F7FCF"/>
    <w:rsid w:val="00915EFF"/>
    <w:rsid w:val="00916FD2"/>
    <w:rsid w:val="00921C6B"/>
    <w:rsid w:val="00930A2E"/>
    <w:rsid w:val="00931A4C"/>
    <w:rsid w:val="00934939"/>
    <w:rsid w:val="00940192"/>
    <w:rsid w:val="009405A9"/>
    <w:rsid w:val="00944609"/>
    <w:rsid w:val="00952A83"/>
    <w:rsid w:val="00952B99"/>
    <w:rsid w:val="00954F31"/>
    <w:rsid w:val="00960627"/>
    <w:rsid w:val="00970E22"/>
    <w:rsid w:val="00973907"/>
    <w:rsid w:val="009824B7"/>
    <w:rsid w:val="00982F36"/>
    <w:rsid w:val="009834D5"/>
    <w:rsid w:val="00986247"/>
    <w:rsid w:val="009879F1"/>
    <w:rsid w:val="00990FE0"/>
    <w:rsid w:val="00994AC1"/>
    <w:rsid w:val="0099710C"/>
    <w:rsid w:val="009A1573"/>
    <w:rsid w:val="009A1C44"/>
    <w:rsid w:val="009B6A6B"/>
    <w:rsid w:val="009D1167"/>
    <w:rsid w:val="009D1DFB"/>
    <w:rsid w:val="009D232D"/>
    <w:rsid w:val="009D350D"/>
    <w:rsid w:val="009D7A1D"/>
    <w:rsid w:val="009E239C"/>
    <w:rsid w:val="009F1FC5"/>
    <w:rsid w:val="009F32E2"/>
    <w:rsid w:val="009F375D"/>
    <w:rsid w:val="009F4493"/>
    <w:rsid w:val="00A077C1"/>
    <w:rsid w:val="00A14961"/>
    <w:rsid w:val="00A15173"/>
    <w:rsid w:val="00A26332"/>
    <w:rsid w:val="00A30E34"/>
    <w:rsid w:val="00A30EE8"/>
    <w:rsid w:val="00A319FE"/>
    <w:rsid w:val="00A367BC"/>
    <w:rsid w:val="00A3701F"/>
    <w:rsid w:val="00A45683"/>
    <w:rsid w:val="00A54022"/>
    <w:rsid w:val="00A54049"/>
    <w:rsid w:val="00A54DBC"/>
    <w:rsid w:val="00A5512C"/>
    <w:rsid w:val="00A60003"/>
    <w:rsid w:val="00A6193C"/>
    <w:rsid w:val="00A62FF7"/>
    <w:rsid w:val="00A669BD"/>
    <w:rsid w:val="00A727D3"/>
    <w:rsid w:val="00A74F28"/>
    <w:rsid w:val="00A762B7"/>
    <w:rsid w:val="00A83FFE"/>
    <w:rsid w:val="00A84DEF"/>
    <w:rsid w:val="00A87308"/>
    <w:rsid w:val="00A87F9F"/>
    <w:rsid w:val="00A9269C"/>
    <w:rsid w:val="00A9507A"/>
    <w:rsid w:val="00A97045"/>
    <w:rsid w:val="00AA6EEF"/>
    <w:rsid w:val="00AC00F6"/>
    <w:rsid w:val="00AC4276"/>
    <w:rsid w:val="00AC48A4"/>
    <w:rsid w:val="00AC7715"/>
    <w:rsid w:val="00AE0D95"/>
    <w:rsid w:val="00AE2222"/>
    <w:rsid w:val="00AF1786"/>
    <w:rsid w:val="00AF1A36"/>
    <w:rsid w:val="00AF3B30"/>
    <w:rsid w:val="00AF6E23"/>
    <w:rsid w:val="00B075CE"/>
    <w:rsid w:val="00B2091A"/>
    <w:rsid w:val="00B2242E"/>
    <w:rsid w:val="00B24A00"/>
    <w:rsid w:val="00B265C8"/>
    <w:rsid w:val="00B26C98"/>
    <w:rsid w:val="00B377B6"/>
    <w:rsid w:val="00B504FD"/>
    <w:rsid w:val="00B52732"/>
    <w:rsid w:val="00B60087"/>
    <w:rsid w:val="00B612B7"/>
    <w:rsid w:val="00B62923"/>
    <w:rsid w:val="00B85537"/>
    <w:rsid w:val="00B95631"/>
    <w:rsid w:val="00B95830"/>
    <w:rsid w:val="00BA3080"/>
    <w:rsid w:val="00BA6774"/>
    <w:rsid w:val="00BB07E5"/>
    <w:rsid w:val="00BB232D"/>
    <w:rsid w:val="00BB2ABA"/>
    <w:rsid w:val="00BB7EBB"/>
    <w:rsid w:val="00BC4393"/>
    <w:rsid w:val="00BC457A"/>
    <w:rsid w:val="00C00DF2"/>
    <w:rsid w:val="00C11B60"/>
    <w:rsid w:val="00C130AE"/>
    <w:rsid w:val="00C15455"/>
    <w:rsid w:val="00C162FC"/>
    <w:rsid w:val="00C17200"/>
    <w:rsid w:val="00C20BCE"/>
    <w:rsid w:val="00C211D6"/>
    <w:rsid w:val="00C25CFC"/>
    <w:rsid w:val="00C26ABA"/>
    <w:rsid w:val="00C35516"/>
    <w:rsid w:val="00C4026F"/>
    <w:rsid w:val="00C4090E"/>
    <w:rsid w:val="00C72607"/>
    <w:rsid w:val="00C72AC4"/>
    <w:rsid w:val="00C81793"/>
    <w:rsid w:val="00C83BC7"/>
    <w:rsid w:val="00C924FD"/>
    <w:rsid w:val="00C936C3"/>
    <w:rsid w:val="00CA1409"/>
    <w:rsid w:val="00CA63D6"/>
    <w:rsid w:val="00CA6C43"/>
    <w:rsid w:val="00CA71BA"/>
    <w:rsid w:val="00CB3632"/>
    <w:rsid w:val="00CB4568"/>
    <w:rsid w:val="00CC2989"/>
    <w:rsid w:val="00CC7C35"/>
    <w:rsid w:val="00CD1C71"/>
    <w:rsid w:val="00CD30B0"/>
    <w:rsid w:val="00CD5109"/>
    <w:rsid w:val="00CD7229"/>
    <w:rsid w:val="00CE3A8C"/>
    <w:rsid w:val="00CF37B0"/>
    <w:rsid w:val="00CF778F"/>
    <w:rsid w:val="00CF7E85"/>
    <w:rsid w:val="00D02424"/>
    <w:rsid w:val="00D0333D"/>
    <w:rsid w:val="00D05C13"/>
    <w:rsid w:val="00D13540"/>
    <w:rsid w:val="00D15991"/>
    <w:rsid w:val="00D201A1"/>
    <w:rsid w:val="00D30475"/>
    <w:rsid w:val="00D47958"/>
    <w:rsid w:val="00D50900"/>
    <w:rsid w:val="00D616B8"/>
    <w:rsid w:val="00D62450"/>
    <w:rsid w:val="00D65323"/>
    <w:rsid w:val="00D909C2"/>
    <w:rsid w:val="00D90AAC"/>
    <w:rsid w:val="00D94153"/>
    <w:rsid w:val="00D95181"/>
    <w:rsid w:val="00D961F5"/>
    <w:rsid w:val="00D978BD"/>
    <w:rsid w:val="00DB0ACD"/>
    <w:rsid w:val="00DB1C02"/>
    <w:rsid w:val="00DB1F37"/>
    <w:rsid w:val="00DB5B6D"/>
    <w:rsid w:val="00DB68A2"/>
    <w:rsid w:val="00DC68FF"/>
    <w:rsid w:val="00DC6996"/>
    <w:rsid w:val="00DD3570"/>
    <w:rsid w:val="00DD7090"/>
    <w:rsid w:val="00DE1102"/>
    <w:rsid w:val="00DE1AC7"/>
    <w:rsid w:val="00DF0E56"/>
    <w:rsid w:val="00DF22F3"/>
    <w:rsid w:val="00DF4869"/>
    <w:rsid w:val="00E067B3"/>
    <w:rsid w:val="00E130F0"/>
    <w:rsid w:val="00E14146"/>
    <w:rsid w:val="00E21041"/>
    <w:rsid w:val="00E21E17"/>
    <w:rsid w:val="00E2651D"/>
    <w:rsid w:val="00E43815"/>
    <w:rsid w:val="00E46E37"/>
    <w:rsid w:val="00E525B5"/>
    <w:rsid w:val="00E617C0"/>
    <w:rsid w:val="00E75F0A"/>
    <w:rsid w:val="00E82CB1"/>
    <w:rsid w:val="00E904A6"/>
    <w:rsid w:val="00E90AA3"/>
    <w:rsid w:val="00E95F35"/>
    <w:rsid w:val="00EB2583"/>
    <w:rsid w:val="00EB2E38"/>
    <w:rsid w:val="00EB3952"/>
    <w:rsid w:val="00EC52B9"/>
    <w:rsid w:val="00ED29DD"/>
    <w:rsid w:val="00EE1FA0"/>
    <w:rsid w:val="00EE6D7E"/>
    <w:rsid w:val="00F1021B"/>
    <w:rsid w:val="00F10ED9"/>
    <w:rsid w:val="00F11146"/>
    <w:rsid w:val="00F17F81"/>
    <w:rsid w:val="00F23687"/>
    <w:rsid w:val="00F357FE"/>
    <w:rsid w:val="00F43596"/>
    <w:rsid w:val="00F46DE1"/>
    <w:rsid w:val="00F60C55"/>
    <w:rsid w:val="00F659F3"/>
    <w:rsid w:val="00F709FD"/>
    <w:rsid w:val="00F737A2"/>
    <w:rsid w:val="00F8570B"/>
    <w:rsid w:val="00F85E40"/>
    <w:rsid w:val="00F906F0"/>
    <w:rsid w:val="00F94B72"/>
    <w:rsid w:val="00F967E5"/>
    <w:rsid w:val="00FB0B90"/>
    <w:rsid w:val="00FB21E5"/>
    <w:rsid w:val="00FB7EA8"/>
    <w:rsid w:val="00FC147A"/>
    <w:rsid w:val="00FD0B47"/>
    <w:rsid w:val="00FE55A3"/>
    <w:rsid w:val="00FF20E9"/>
    <w:rsid w:val="00FF3F9D"/>
    <w:rsid w:val="00FF45B2"/>
    <w:rsid w:val="00FF55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5A34DE9"/>
  <w15:chartTrackingRefBased/>
  <w15:docId w15:val="{50D00966-9414-44E2-84F2-2CBC2BA4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7DDB"/>
    <w:pPr>
      <w:bidi/>
    </w:pPr>
    <w:rPr>
      <w:rFonts w:cs="Narkisim"/>
      <w:sz w:val="22"/>
      <w:szCs w:val="22"/>
      <w:lang w:eastAsia="he-IL"/>
    </w:rPr>
  </w:style>
  <w:style w:type="paragraph" w:styleId="1">
    <w:name w:val="heading 1"/>
    <w:basedOn w:val="a"/>
    <w:next w:val="a"/>
    <w:link w:val="10"/>
    <w:qFormat/>
    <w:rsid w:val="004E7DDB"/>
    <w:pPr>
      <w:keepNext/>
      <w:tabs>
        <w:tab w:val="right" w:pos="9469"/>
      </w:tabs>
      <w:jc w:val="both"/>
      <w:outlineLvl w:val="0"/>
    </w:pPr>
    <w:rPr>
      <w:rFonts w:cs="David"/>
      <w:b/>
      <w:bCs/>
      <w:szCs w:val="28"/>
    </w:rPr>
  </w:style>
  <w:style w:type="character" w:default="1" w:styleId="a0">
    <w:name w:val="Default Paragraph Font"/>
    <w:uiPriority w:val="1"/>
    <w:semiHidden/>
    <w:unhideWhenUsed/>
    <w:rsid w:val="004E7DD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E7DDB"/>
  </w:style>
  <w:style w:type="paragraph" w:styleId="a3">
    <w:name w:val="footnote text"/>
    <w:basedOn w:val="a"/>
    <w:link w:val="a4"/>
    <w:rsid w:val="004E7DDB"/>
    <w:pPr>
      <w:ind w:left="170" w:hanging="170"/>
      <w:jc w:val="both"/>
    </w:pPr>
    <w:rPr>
      <w:sz w:val="20"/>
      <w:szCs w:val="20"/>
    </w:rPr>
  </w:style>
  <w:style w:type="character" w:styleId="a5">
    <w:name w:val="footnote reference"/>
    <w:semiHidden/>
    <w:rsid w:val="004E7DDB"/>
    <w:rPr>
      <w:vertAlign w:val="superscript"/>
    </w:rPr>
  </w:style>
  <w:style w:type="paragraph" w:styleId="a6">
    <w:name w:val="header"/>
    <w:basedOn w:val="a"/>
    <w:link w:val="a7"/>
    <w:rsid w:val="004E7DDB"/>
    <w:pPr>
      <w:tabs>
        <w:tab w:val="center" w:pos="4153"/>
        <w:tab w:val="right" w:pos="8306"/>
      </w:tabs>
    </w:pPr>
  </w:style>
  <w:style w:type="paragraph" w:styleId="a8">
    <w:name w:val="footer"/>
    <w:basedOn w:val="a"/>
    <w:link w:val="a9"/>
    <w:rsid w:val="004E7DDB"/>
    <w:pPr>
      <w:tabs>
        <w:tab w:val="center" w:pos="4153"/>
        <w:tab w:val="right" w:pos="8306"/>
      </w:tabs>
    </w:pPr>
  </w:style>
  <w:style w:type="paragraph" w:customStyle="1" w:styleId="aa">
    <w:name w:val="כותרת"/>
    <w:basedOn w:val="a"/>
    <w:rsid w:val="004E7DDB"/>
    <w:pPr>
      <w:spacing w:before="240" w:line="320" w:lineRule="atLeast"/>
      <w:jc w:val="center"/>
    </w:pPr>
    <w:rPr>
      <w:rFonts w:cs="David"/>
      <w:b/>
      <w:bCs/>
      <w:spacing w:val="20"/>
      <w:szCs w:val="32"/>
    </w:rPr>
  </w:style>
  <w:style w:type="paragraph" w:customStyle="1" w:styleId="ab">
    <w:name w:val="כותרת קטע"/>
    <w:basedOn w:val="a"/>
    <w:rsid w:val="004E7DDB"/>
    <w:pPr>
      <w:spacing w:before="240" w:line="300" w:lineRule="atLeast"/>
    </w:pPr>
    <w:rPr>
      <w:rFonts w:cs="Arial"/>
      <w:b/>
      <w:bCs/>
      <w:szCs w:val="24"/>
    </w:rPr>
  </w:style>
  <w:style w:type="paragraph" w:customStyle="1" w:styleId="ac">
    <w:name w:val="מקור"/>
    <w:basedOn w:val="a"/>
    <w:rsid w:val="004E7DDB"/>
    <w:pPr>
      <w:spacing w:line="320" w:lineRule="atLeast"/>
      <w:jc w:val="both"/>
    </w:pPr>
    <w:rPr>
      <w:rFonts w:cs="David"/>
      <w:szCs w:val="24"/>
    </w:rPr>
  </w:style>
  <w:style w:type="paragraph" w:customStyle="1" w:styleId="ad">
    <w:name w:val="מחלקי המים"/>
    <w:basedOn w:val="a"/>
    <w:rsid w:val="004E7DDB"/>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4E7DDB"/>
    <w:rPr>
      <w:rFonts w:cs="Narkisim"/>
      <w:lang w:eastAsia="he-IL"/>
    </w:rPr>
  </w:style>
  <w:style w:type="character" w:customStyle="1" w:styleId="10">
    <w:name w:val="כותרת 1 תו"/>
    <w:link w:val="1"/>
    <w:rsid w:val="004E7DDB"/>
    <w:rPr>
      <w:rFonts w:cs="David"/>
      <w:b/>
      <w:bCs/>
      <w:sz w:val="22"/>
      <w:szCs w:val="28"/>
      <w:lang w:eastAsia="he-IL"/>
    </w:rPr>
  </w:style>
  <w:style w:type="character" w:customStyle="1" w:styleId="a7">
    <w:name w:val="כותרת עליונה תו"/>
    <w:link w:val="a6"/>
    <w:rsid w:val="004E7DDB"/>
    <w:rPr>
      <w:rFonts w:cs="Narkisim"/>
      <w:sz w:val="22"/>
      <w:szCs w:val="22"/>
      <w:lang w:eastAsia="he-IL"/>
    </w:rPr>
  </w:style>
  <w:style w:type="character" w:customStyle="1" w:styleId="a9">
    <w:name w:val="כותרת תחתונה תו"/>
    <w:link w:val="a8"/>
    <w:rsid w:val="004E7DDB"/>
    <w:rPr>
      <w:rFonts w:cs="Narkisim"/>
      <w:sz w:val="22"/>
      <w:szCs w:val="22"/>
      <w:lang w:eastAsia="he-IL"/>
    </w:rPr>
  </w:style>
  <w:style w:type="character" w:styleId="Hyperlink">
    <w:name w:val="Hyperlink"/>
    <w:rsid w:val="004E7DDB"/>
    <w:rPr>
      <w:color w:val="0000FF"/>
      <w:u w:val="single"/>
    </w:rPr>
  </w:style>
  <w:style w:type="character" w:styleId="af">
    <w:name w:val="page number"/>
    <w:rsid w:val="00AE2222"/>
  </w:style>
  <w:style w:type="paragraph" w:styleId="af0">
    <w:name w:val="Balloon Text"/>
    <w:basedOn w:val="a"/>
    <w:link w:val="af1"/>
    <w:uiPriority w:val="99"/>
    <w:unhideWhenUsed/>
    <w:rsid w:val="004E7DDB"/>
    <w:rPr>
      <w:rFonts w:ascii="Tahoma" w:hAnsi="Tahoma" w:cs="Tahoma"/>
      <w:sz w:val="16"/>
      <w:szCs w:val="16"/>
    </w:rPr>
  </w:style>
  <w:style w:type="character" w:customStyle="1" w:styleId="af1">
    <w:name w:val="טקסט בלונים תו"/>
    <w:link w:val="af0"/>
    <w:uiPriority w:val="99"/>
    <w:rsid w:val="004E7DDB"/>
    <w:rPr>
      <w:rFonts w:ascii="Tahoma" w:hAnsi="Tahoma" w:cs="Tahoma"/>
      <w:sz w:val="16"/>
      <w:szCs w:val="16"/>
      <w:lang w:eastAsia="he-IL"/>
    </w:rPr>
  </w:style>
  <w:style w:type="character" w:styleId="FollowedHyperlink">
    <w:name w:val="FollowedHyperlink"/>
    <w:rsid w:val="00820505"/>
    <w:rPr>
      <w:color w:val="800080"/>
      <w:u w:val="single"/>
    </w:rPr>
  </w:style>
  <w:style w:type="paragraph" w:customStyle="1" w:styleId="af2">
    <w:name w:val="פסוק"/>
    <w:basedOn w:val="ac"/>
    <w:qFormat/>
    <w:rsid w:val="004E7DDB"/>
    <w:pPr>
      <w:spacing w:before="120"/>
    </w:pPr>
    <w:rPr>
      <w:b/>
      <w:bCs/>
    </w:rPr>
  </w:style>
  <w:style w:type="character" w:styleId="af3">
    <w:name w:val="Unresolved Mention"/>
    <w:uiPriority w:val="99"/>
    <w:semiHidden/>
    <w:unhideWhenUsed/>
    <w:rsid w:val="00BB2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3299">
      <w:bodyDiv w:val="1"/>
      <w:marLeft w:val="0"/>
      <w:marRight w:val="0"/>
      <w:marTop w:val="0"/>
      <w:marBottom w:val="0"/>
      <w:divBdr>
        <w:top w:val="none" w:sz="0" w:space="0" w:color="auto"/>
        <w:left w:val="none" w:sz="0" w:space="0" w:color="auto"/>
        <w:bottom w:val="none" w:sz="0" w:space="0" w:color="auto"/>
        <w:right w:val="none" w:sz="0" w:space="0" w:color="auto"/>
      </w:divBdr>
    </w:div>
    <w:div w:id="284821843">
      <w:bodyDiv w:val="1"/>
      <w:marLeft w:val="0"/>
      <w:marRight w:val="0"/>
      <w:marTop w:val="0"/>
      <w:marBottom w:val="0"/>
      <w:divBdr>
        <w:top w:val="none" w:sz="0" w:space="0" w:color="auto"/>
        <w:left w:val="none" w:sz="0" w:space="0" w:color="auto"/>
        <w:bottom w:val="none" w:sz="0" w:space="0" w:color="auto"/>
        <w:right w:val="none" w:sz="0" w:space="0" w:color="auto"/>
      </w:divBdr>
    </w:div>
    <w:div w:id="328408040">
      <w:bodyDiv w:val="1"/>
      <w:marLeft w:val="0"/>
      <w:marRight w:val="0"/>
      <w:marTop w:val="0"/>
      <w:marBottom w:val="0"/>
      <w:divBdr>
        <w:top w:val="none" w:sz="0" w:space="0" w:color="auto"/>
        <w:left w:val="none" w:sz="0" w:space="0" w:color="auto"/>
        <w:bottom w:val="none" w:sz="0" w:space="0" w:color="auto"/>
        <w:right w:val="none" w:sz="0" w:space="0" w:color="auto"/>
      </w:divBdr>
    </w:div>
    <w:div w:id="1165169063">
      <w:bodyDiv w:val="1"/>
      <w:marLeft w:val="0"/>
      <w:marRight w:val="0"/>
      <w:marTop w:val="0"/>
      <w:marBottom w:val="0"/>
      <w:divBdr>
        <w:top w:val="none" w:sz="0" w:space="0" w:color="auto"/>
        <w:left w:val="none" w:sz="0" w:space="0" w:color="auto"/>
        <w:bottom w:val="none" w:sz="0" w:space="0" w:color="auto"/>
        <w:right w:val="none" w:sz="0" w:space="0" w:color="auto"/>
      </w:divBdr>
    </w:div>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726180789">
      <w:bodyDiv w:val="1"/>
      <w:marLeft w:val="0"/>
      <w:marRight w:val="0"/>
      <w:marTop w:val="0"/>
      <w:marBottom w:val="0"/>
      <w:divBdr>
        <w:top w:val="none" w:sz="0" w:space="0" w:color="auto"/>
        <w:left w:val="none" w:sz="0" w:space="0" w:color="auto"/>
        <w:bottom w:val="none" w:sz="0" w:space="0" w:color="auto"/>
        <w:right w:val="none" w:sz="0" w:space="0" w:color="auto"/>
      </w:divBdr>
    </w:div>
    <w:div w:id="1941252948">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gnespress.co.il/book/'%D7%AA%D7%95%D7%A8%D7%94_%D7%A9%D7%91%D7%A2%D7%9C_%D7%A4%D7%94'_%D7%A4%D7%A9%D7%95%D7%98%D7%94_%D7%9B%D7%9E%D7%A9%D7%9E%D7%A2%D7%94-419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meyuhadim=%D7%A1%D7%99%D7%A0%D7%99-%D7%90%D7%95-%D7%A2%D7%95%D7%A7%D7%A8-%D7%94%D7%A8%D7%99%D7%9D-%D7%A1%D7%95%D7%93%D7%A8%D7%9F-%D7%90%D7%95-%D7%A4%D7%99%D7%9C%D7%A4%D7%9C%D7%9F" TargetMode="External"/><Relationship Id="rId2" Type="http://schemas.openxmlformats.org/officeDocument/2006/relationships/hyperlink" Target="https://www.mayim.org.il/?meyuhadim=%D7%A9%D7%95%D7%A2%D7%9C-%D7%A2%D7%A7%D7%A8%D7%91-%D7%A9%D7%A8%D7%A3-%D7%95%D7%92%D7%97%D7%9C%D7%99-%D7%90%D7%A9" TargetMode="External"/><Relationship Id="rId1" Type="http://schemas.openxmlformats.org/officeDocument/2006/relationships/hyperlink" Target="https://www.mayim.org.il/?parasha=%D7%9B%D7%AA%D7%95%D7%91-%D7%9C%D7%9A-%D7%90%D7%AA-%D7%94%D7%93%D7%91%D7%A8%D7%99%D7%9D-%D7%94%D7%90%D7%9C%D7%941" TargetMode="External"/><Relationship Id="rId4" Type="http://schemas.openxmlformats.org/officeDocument/2006/relationships/hyperlink" Target="https://www.mayim.org.il/?holiday=%D7%A2%D7%AA-%D7%9C%D7%A2%D7%A9%D7%95%D7%AA-%D7%9C%D7%94-%D7%94%D7%A4%D7%A8%D7%95-%D7%AA%D7%95%D7%A8%D7%AA%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5674-5C59-4A60-86C8-929C1E83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807</Words>
  <Characters>3632</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4431</CharactersWithSpaces>
  <SharedDoc>false</SharedDoc>
  <HLinks>
    <vt:vector size="30" baseType="variant">
      <vt:variant>
        <vt:i4>1245207</vt:i4>
      </vt:variant>
      <vt:variant>
        <vt:i4>0</vt:i4>
      </vt:variant>
      <vt:variant>
        <vt:i4>0</vt:i4>
      </vt:variant>
      <vt:variant>
        <vt:i4>5</vt:i4>
      </vt:variant>
      <vt:variant>
        <vt:lpwstr>https://www.magnespress.co.il/book/'%D7%AA%D7%95%D7%A8%D7%94_%D7%A9%D7%91%D7%A2%D7%9C_%D7%A4%D7%94'_%D7%A4%D7%A9%D7%95%D7%98%D7%94_%D7%9B%D7%9E%D7%A9%D7%9E%D7%A2%D7%94-4193</vt:lpwstr>
      </vt:variant>
      <vt:variant>
        <vt:lpwstr/>
      </vt:variant>
      <vt:variant>
        <vt:i4>6357101</vt:i4>
      </vt:variant>
      <vt:variant>
        <vt:i4>9</vt:i4>
      </vt:variant>
      <vt:variant>
        <vt:i4>0</vt:i4>
      </vt:variant>
      <vt:variant>
        <vt:i4>5</vt:i4>
      </vt:variant>
      <vt:variant>
        <vt:lpwstr>https://www.mayim.org.il/?holiday=%D7%A2%D7%AA-%D7%9C%D7%A2%D7%A9%D7%95%D7%AA-%D7%9C%D7%94-%D7%94%D7%A4%D7%A8%D7%95-%D7%AA%D7%95%D7%A8%D7%AA%D7%9A</vt:lpwstr>
      </vt:variant>
      <vt:variant>
        <vt:lpwstr/>
      </vt:variant>
      <vt:variant>
        <vt:i4>5111839</vt:i4>
      </vt:variant>
      <vt:variant>
        <vt:i4>6</vt:i4>
      </vt:variant>
      <vt:variant>
        <vt:i4>0</vt:i4>
      </vt:variant>
      <vt:variant>
        <vt:i4>5</vt:i4>
      </vt:variant>
      <vt:variant>
        <vt:lpwstr>https://www.mayim.org.il/?meyuhadim=%D7%A1%D7%99%D7%A0%D7%99-%D7%90%D7%95-%D7%A2%D7%95%D7%A7%D7%A8-%D7%94%D7%A8%D7%99%D7%9D-%D7%A1%D7%95%D7%93%D7%A8%D7%9F-%D7%90%D7%95-%D7%A4%D7%99%D7%9C%D7%A4%D7%9C%D7%9F</vt:lpwstr>
      </vt:variant>
      <vt:variant>
        <vt:lpwstr>gsc.tab=0</vt:lpwstr>
      </vt:variant>
      <vt:variant>
        <vt:i4>1114140</vt:i4>
      </vt:variant>
      <vt:variant>
        <vt:i4>3</vt:i4>
      </vt:variant>
      <vt:variant>
        <vt:i4>0</vt:i4>
      </vt:variant>
      <vt:variant>
        <vt:i4>5</vt:i4>
      </vt:variant>
      <vt:variant>
        <vt:lpwstr>https://www.mayim.org.il/?meyuhadim=%D7%A9%D7%95%D7%A2%D7%9C-%D7%A2%D7%A7%D7%A8%D7%91-%D7%A9%D7%A8%D7%A3-%D7%95%D7%92%D7%97%D7%9C%D7%99-%D7%90%D7%A9</vt:lpwstr>
      </vt:variant>
      <vt:variant>
        <vt:lpwstr>gsc.tab=0</vt:lpwstr>
      </vt:variant>
      <vt:variant>
        <vt:i4>6815780</vt:i4>
      </vt:variant>
      <vt:variant>
        <vt:i4>0</vt:i4>
      </vt:variant>
      <vt:variant>
        <vt:i4>0</vt:i4>
      </vt:variant>
      <vt:variant>
        <vt:i4>5</vt:i4>
      </vt:variant>
      <vt:variant>
        <vt:lpwstr>https://www.mayim.org.il/?parasha=%D7%9B%D7%AA%D7%95%D7%91-%D7%9C%D7%9A-%D7%90%D7%AA-%D7%94%D7%93%D7%91%D7%A8%D7%99%D7%9D-%D7%94%D7%90%D7%9C%D7%941</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כתיבת ספרי אגדה</dc:title>
  <dc:subject>דפים מיוחדים</dc:subject>
  <dc:creator>Asher Yuval</dc:creator>
  <cp:keywords/>
  <cp:lastModifiedBy>Shimon Afek</cp:lastModifiedBy>
  <cp:revision>3</cp:revision>
  <cp:lastPrinted>2022-11-20T08:33:00Z</cp:lastPrinted>
  <dcterms:created xsi:type="dcterms:W3CDTF">2022-11-20T08:33:00Z</dcterms:created>
  <dcterms:modified xsi:type="dcterms:W3CDTF">2022-11-20T08:33:00Z</dcterms:modified>
</cp:coreProperties>
</file>