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1F32" w14:textId="77777777" w:rsidR="00880CC0" w:rsidRDefault="00880CC0">
      <w:pPr>
        <w:pStyle w:val="aa"/>
        <w:spacing w:before="120" w:after="120"/>
        <w:rPr>
          <w:rFonts w:hint="cs"/>
          <w:rtl/>
        </w:rPr>
      </w:pPr>
      <w:fldSimple w:instr=" TITLE  \* MERGEFORMAT ">
        <w:r>
          <w:rPr>
            <w:rtl/>
          </w:rPr>
          <w:t>אדם ובהמה תושיע ה'</w:t>
        </w:r>
      </w:fldSimple>
    </w:p>
    <w:p w14:paraId="69528439" w14:textId="77777777" w:rsidR="00880CC0" w:rsidRDefault="00880CC0">
      <w:pPr>
        <w:pStyle w:val="ab"/>
        <w:pBdr>
          <w:top w:val="triple" w:sz="4" w:space="1" w:color="auto" w:shadow="1"/>
          <w:left w:val="triple" w:sz="4" w:space="4" w:color="auto" w:shadow="1"/>
          <w:bottom w:val="triple" w:sz="4" w:space="1" w:color="auto" w:shadow="1"/>
          <w:right w:val="triple" w:sz="4" w:space="4" w:color="auto" w:shadow="1"/>
        </w:pBdr>
        <w:shd w:val="clear" w:color="auto" w:fill="FFFFCC"/>
        <w:spacing w:before="0"/>
        <w:rPr>
          <w:rtl/>
        </w:rPr>
      </w:pPr>
      <w:r>
        <w:rPr>
          <w:rFonts w:hint="cs"/>
          <w:rtl/>
        </w:rPr>
        <w:t>ב</w:t>
      </w:r>
      <w:r>
        <w:rPr>
          <w:rtl/>
        </w:rPr>
        <w:t xml:space="preserve">ראשית רבה לג א </w:t>
      </w:r>
    </w:p>
    <w:p w14:paraId="1DA76E5A"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"ויזכור </w:t>
      </w:r>
      <w:r w:rsidR="002B4756">
        <w:rPr>
          <w:rtl/>
        </w:rPr>
        <w:t>אל</w:t>
      </w:r>
      <w:r>
        <w:rPr>
          <w:rtl/>
        </w:rPr>
        <w:t>הים את נח ואת כל החיה ו</w:t>
      </w:r>
      <w:r>
        <w:rPr>
          <w:rFonts w:hint="cs"/>
          <w:rtl/>
        </w:rPr>
        <w:t>את כל הבהמה אשר אתו בתיבה</w:t>
      </w:r>
      <w:r>
        <w:rPr>
          <w:rtl/>
        </w:rPr>
        <w:t>"</w:t>
      </w:r>
      <w:r>
        <w:rPr>
          <w:rFonts w:hint="cs"/>
          <w:rtl/>
        </w:rPr>
        <w:t xml:space="preserve"> (בראשית ח א)</w:t>
      </w:r>
      <w:r>
        <w:rPr>
          <w:rtl/>
        </w:rPr>
        <w:t xml:space="preserve">. </w:t>
      </w:r>
    </w:p>
    <w:p w14:paraId="3B413EE6"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כתוב: "צדקתך כהררי </w:t>
      </w:r>
      <w:r w:rsidR="002B4756">
        <w:rPr>
          <w:rtl/>
        </w:rPr>
        <w:t>אל</w:t>
      </w:r>
      <w:r>
        <w:rPr>
          <w:rtl/>
        </w:rPr>
        <w:t xml:space="preserve"> משפטיך תהום רבה אדם ובהמה תושיע ה'</w:t>
      </w:r>
      <w:r>
        <w:rPr>
          <w:rFonts w:hint="cs"/>
          <w:rtl/>
        </w:rPr>
        <w:t xml:space="preserve"> </w:t>
      </w:r>
      <w:r>
        <w:rPr>
          <w:rtl/>
        </w:rPr>
        <w:t>"</w:t>
      </w:r>
      <w:r>
        <w:rPr>
          <w:rFonts w:hint="cs"/>
          <w:rtl/>
        </w:rPr>
        <w:t xml:space="preserve"> (תהלים לו ז).</w:t>
      </w:r>
    </w:p>
    <w:p w14:paraId="5116CCFA"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אלכסנדרוס מקד</w:t>
      </w:r>
      <w:r>
        <w:rPr>
          <w:rFonts w:hint="cs"/>
          <w:rtl/>
        </w:rPr>
        <w:t>ו</w:t>
      </w:r>
      <w:r>
        <w:rPr>
          <w:rtl/>
        </w:rPr>
        <w:t xml:space="preserve">ן הלך אצל מלך קציא לאחורי הרי חשך ושלח לו. </w:t>
      </w:r>
    </w:p>
    <w:p w14:paraId="72C28156"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יצא לו (מלך קציא) טעון לחם של זהב בתוך קערה של זהב. </w:t>
      </w:r>
    </w:p>
    <w:p w14:paraId="2AE8BD60"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אמר לו (אלכסנדר למלך קציא): לממונך אני צריך? </w:t>
      </w:r>
    </w:p>
    <w:p w14:paraId="3DB5CC8A"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אמר לו</w:t>
      </w:r>
      <w:r>
        <w:rPr>
          <w:rFonts w:hint="cs"/>
          <w:rtl/>
        </w:rPr>
        <w:t xml:space="preserve"> </w:t>
      </w:r>
      <w:r>
        <w:rPr>
          <w:rtl/>
        </w:rPr>
        <w:t>(מלך קציא</w:t>
      </w:r>
      <w:r>
        <w:rPr>
          <w:rFonts w:hint="cs"/>
          <w:rtl/>
        </w:rPr>
        <w:t xml:space="preserve"> לאלכסנדר</w:t>
      </w:r>
      <w:r>
        <w:rPr>
          <w:rtl/>
        </w:rPr>
        <w:t xml:space="preserve">): ולא היה לך מה לאכול בארצך שבאת לכאן? </w:t>
      </w:r>
    </w:p>
    <w:p w14:paraId="02749A9C"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א</w:t>
      </w:r>
      <w:r>
        <w:rPr>
          <w:rFonts w:hint="cs"/>
          <w:rtl/>
        </w:rPr>
        <w:t>מר לו</w:t>
      </w:r>
      <w:r>
        <w:rPr>
          <w:rtl/>
        </w:rPr>
        <w:t xml:space="preserve">: לא באתי [לשם ממון], אלא רוצה אני לדעת איך אתם דנים. </w:t>
      </w:r>
    </w:p>
    <w:p w14:paraId="4E5C094B"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יום אחד ישב אצלו</w:t>
      </w:r>
      <w:r>
        <w:rPr>
          <w:rFonts w:hint="cs"/>
          <w:rtl/>
        </w:rPr>
        <w:t>.</w:t>
      </w:r>
      <w:r>
        <w:rPr>
          <w:rtl/>
        </w:rPr>
        <w:t xml:space="preserve"> בא אדם אחד וקבל על חברו. אמר: אדם זה מכר לי חורבה אחת ומצאתי בתוכה מטמון. זה שקנה אמר: חורבה קניתי, ממון לא קניתי. וזה שמכר אמר: חורבה וכל מה שבתוכה מכרתי. אמר </w:t>
      </w:r>
      <w:r>
        <w:rPr>
          <w:rFonts w:hint="cs"/>
          <w:rtl/>
        </w:rPr>
        <w:t xml:space="preserve">(מלך קציא) </w:t>
      </w:r>
      <w:r>
        <w:rPr>
          <w:rtl/>
        </w:rPr>
        <w:t xml:space="preserve">לאחד מהם: יש לך בן זכר? אמר לו: הן. ואמר לאחר: יש לך בת נקבה? אמר לו הן. אמר להם: לכו והשיאו זו לזה ויהא הממון לשניהם. </w:t>
      </w:r>
    </w:p>
    <w:p w14:paraId="3BDD6C0C"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ראהו (מלך קציא לאלכסנדר מוקדון) יושב תמה. אמר לו: מה? לא דנתי יפה? </w:t>
      </w:r>
    </w:p>
    <w:p w14:paraId="3886E51F"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אמר לו: הן. </w:t>
      </w:r>
    </w:p>
    <w:p w14:paraId="2A10AB28"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אמר לו: אילו היה אצלכם, איך הייתם דנים? </w:t>
      </w:r>
    </w:p>
    <w:p w14:paraId="5C82EFA7"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א</w:t>
      </w:r>
      <w:r>
        <w:rPr>
          <w:rFonts w:hint="cs"/>
          <w:rtl/>
        </w:rPr>
        <w:t>מר לו</w:t>
      </w:r>
      <w:r>
        <w:rPr>
          <w:rtl/>
        </w:rPr>
        <w:t>: הורגים זה וזה והמלכות נוטלת ממון שניהם.</w:t>
      </w:r>
      <w:r>
        <w:rPr>
          <w:rStyle w:val="a5"/>
          <w:rtl/>
        </w:rPr>
        <w:footnoteReference w:id="1"/>
      </w:r>
      <w:r>
        <w:rPr>
          <w:rtl/>
        </w:rPr>
        <w:t xml:space="preserve"> </w:t>
      </w:r>
    </w:p>
    <w:p w14:paraId="2630B682"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אמר לו: מטר יורד אצלכם? </w:t>
      </w:r>
    </w:p>
    <w:p w14:paraId="35D64EBA"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אמר לו: הן. </w:t>
      </w:r>
    </w:p>
    <w:p w14:paraId="79970391" w14:textId="77777777" w:rsidR="00880CC0" w:rsidRDefault="00880CC0" w:rsidP="00567D48">
      <w:pPr>
        <w:pStyle w:val="ac"/>
        <w:numPr>
          <w:ilvl w:val="0"/>
          <w:numId w:val="1"/>
        </w:numPr>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ind w:right="0"/>
        <w:rPr>
          <w:rFonts w:hint="cs"/>
          <w:rtl/>
        </w:rPr>
      </w:pPr>
      <w:r>
        <w:rPr>
          <w:rtl/>
        </w:rPr>
        <w:t xml:space="preserve">שמש זורחת אצלכם? </w:t>
      </w:r>
    </w:p>
    <w:p w14:paraId="3170D540"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Pr>
      </w:pPr>
      <w:r>
        <w:rPr>
          <w:rtl/>
        </w:rPr>
        <w:t xml:space="preserve">א"ל: הן. </w:t>
      </w:r>
    </w:p>
    <w:p w14:paraId="50B1D097"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א"ל: יש אצלכם בהמה דקה? </w:t>
      </w:r>
    </w:p>
    <w:p w14:paraId="509C109D"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line="300" w:lineRule="atLeast"/>
        <w:rPr>
          <w:rFonts w:hint="cs"/>
          <w:rtl/>
        </w:rPr>
      </w:pPr>
      <w:r>
        <w:rPr>
          <w:rtl/>
        </w:rPr>
        <w:t xml:space="preserve">א"ל: הן. </w:t>
      </w:r>
    </w:p>
    <w:p w14:paraId="0E36361F" w14:textId="77777777" w:rsidR="00880CC0" w:rsidRDefault="00880CC0" w:rsidP="00567D48">
      <w:pPr>
        <w:pStyle w:val="ac"/>
        <w:pBdr>
          <w:top w:val="triple" w:sz="4" w:space="1" w:color="auto" w:shadow="1"/>
          <w:left w:val="triple" w:sz="4" w:space="4" w:color="auto" w:shadow="1"/>
          <w:bottom w:val="triple" w:sz="4" w:space="1" w:color="auto" w:shadow="1"/>
          <w:right w:val="triple" w:sz="4" w:space="4" w:color="auto" w:shadow="1"/>
        </w:pBdr>
        <w:shd w:val="clear" w:color="auto" w:fill="FFFFCC"/>
        <w:spacing w:after="120" w:line="300" w:lineRule="atLeast"/>
        <w:rPr>
          <w:rFonts w:hint="cs"/>
          <w:rtl/>
        </w:rPr>
      </w:pPr>
      <w:r>
        <w:rPr>
          <w:rtl/>
        </w:rPr>
        <w:t>א"ל: תפח רוחו של אותו האיש! לא בזכותכם יורד המטר ולא בזכותכם זורחת השמש עליכם, אלא בזכות הבהמה, שכתוב: "אדם ובהמה תושיע ה'</w:t>
      </w:r>
      <w:r>
        <w:rPr>
          <w:rFonts w:hint="cs"/>
          <w:rtl/>
        </w:rPr>
        <w:t xml:space="preserve"> </w:t>
      </w:r>
      <w:r>
        <w:rPr>
          <w:rtl/>
        </w:rPr>
        <w:t>" - אדם בזכות בהמה תושיע ה'.</w:t>
      </w:r>
      <w:r>
        <w:rPr>
          <w:rStyle w:val="a5"/>
          <w:rtl/>
        </w:rPr>
        <w:footnoteReference w:id="2"/>
      </w:r>
    </w:p>
    <w:p w14:paraId="50C709FE" w14:textId="77777777" w:rsidR="00880CC0" w:rsidRDefault="00880CC0" w:rsidP="00547D3C">
      <w:pPr>
        <w:pStyle w:val="ad"/>
        <w:spacing w:before="120"/>
        <w:outlineLvl w:val="0"/>
        <w:rPr>
          <w:rFonts w:hint="cs"/>
          <w:rtl/>
        </w:rPr>
      </w:pPr>
      <w:r>
        <w:rPr>
          <w:rFonts w:hint="cs"/>
          <w:b w:val="0"/>
          <w:bCs w:val="0"/>
          <w:rtl/>
        </w:rPr>
        <w:t>השאלה המתבקשת היא מה הקשר של מדרש זה לפרשת נח? האם המדרש מרמז שאפילו נח לא ניצל בזכות עצמו, אלא (גם) בזכות "החיה והבהמה אשר אתו בתיבה"? האם הוא מציע לנו לחשוב על עולם עם ב</w:t>
      </w:r>
      <w:smartTag w:uri="urn:schemas-microsoft-com:office:smarttags" w:element="PersonName">
        <w:smartTagPr>
          <w:attr w:name="ProductID" w:val="עלי חיים"/>
        </w:smartTagPr>
        <w:r>
          <w:rPr>
            <w:rFonts w:hint="cs"/>
            <w:b w:val="0"/>
            <w:bCs w:val="0"/>
            <w:rtl/>
          </w:rPr>
          <w:t>עלי חיים</w:t>
        </w:r>
      </w:smartTag>
      <w:r>
        <w:rPr>
          <w:rFonts w:hint="cs"/>
          <w:b w:val="0"/>
          <w:bCs w:val="0"/>
          <w:rtl/>
        </w:rPr>
        <w:t xml:space="preserve"> בלבד, ללא אדם? </w:t>
      </w:r>
      <w:r w:rsidR="00567D48">
        <w:rPr>
          <w:rFonts w:hint="cs"/>
          <w:b w:val="0"/>
          <w:bCs w:val="0"/>
          <w:rtl/>
        </w:rPr>
        <w:t xml:space="preserve">האם הוא מנסה לענות, גם אם בעקיפין על שאלת הגמרא במסכת סנהדרין: </w:t>
      </w:r>
      <w:hyperlink r:id="rId7" w:history="1">
        <w:r w:rsidR="00567D48" w:rsidRPr="00420296">
          <w:rPr>
            <w:rStyle w:val="Hyperlink"/>
            <w:b w:val="0"/>
            <w:bCs w:val="0"/>
            <w:rtl/>
          </w:rPr>
          <w:t>אם אדם חטא בהמה מה חט</w:t>
        </w:r>
        <w:r w:rsidR="00547D3C">
          <w:rPr>
            <w:rStyle w:val="Hyperlink"/>
            <w:rFonts w:hint="cs"/>
            <w:b w:val="0"/>
            <w:bCs w:val="0"/>
            <w:rtl/>
          </w:rPr>
          <w:t>אה</w:t>
        </w:r>
      </w:hyperlink>
      <w:r w:rsidR="00567D48" w:rsidRPr="00567D48">
        <w:rPr>
          <w:b w:val="0"/>
          <w:bCs w:val="0"/>
          <w:rtl/>
        </w:rPr>
        <w:t xml:space="preserve">? </w:t>
      </w:r>
      <w:r w:rsidR="00C75DF2">
        <w:rPr>
          <w:rFonts w:hint="cs"/>
          <w:b w:val="0"/>
          <w:bCs w:val="0"/>
          <w:rtl/>
        </w:rPr>
        <w:t xml:space="preserve">אולי </w:t>
      </w:r>
      <w:r w:rsidR="00567D48" w:rsidRPr="00567D48">
        <w:rPr>
          <w:rFonts w:hint="cs"/>
          <w:b w:val="0"/>
          <w:bCs w:val="0"/>
          <w:rtl/>
        </w:rPr>
        <w:t xml:space="preserve">אין </w:t>
      </w:r>
      <w:r w:rsidR="00C75DF2">
        <w:rPr>
          <w:rFonts w:hint="cs"/>
          <w:b w:val="0"/>
          <w:bCs w:val="0"/>
          <w:rtl/>
        </w:rPr>
        <w:t xml:space="preserve">בכלל </w:t>
      </w:r>
      <w:r w:rsidR="00567D48" w:rsidRPr="00567D48">
        <w:rPr>
          <w:rFonts w:hint="cs"/>
          <w:b w:val="0"/>
          <w:bCs w:val="0"/>
          <w:rtl/>
        </w:rPr>
        <w:t>כוונת סיפ</w:t>
      </w:r>
      <w:r w:rsidR="00567D48">
        <w:rPr>
          <w:rFonts w:hint="cs"/>
          <w:rtl/>
        </w:rPr>
        <w:t xml:space="preserve">ור </w:t>
      </w:r>
      <w:r w:rsidR="00567D48" w:rsidRPr="00567D48">
        <w:rPr>
          <w:rFonts w:hint="cs"/>
          <w:b w:val="0"/>
          <w:bCs w:val="0"/>
          <w:rtl/>
        </w:rPr>
        <w:t>זה</w:t>
      </w:r>
      <w:r w:rsidR="00567D48">
        <w:rPr>
          <w:rFonts w:hint="cs"/>
          <w:rtl/>
        </w:rPr>
        <w:t xml:space="preserve"> </w:t>
      </w:r>
      <w:r>
        <w:rPr>
          <w:rFonts w:hint="cs"/>
          <w:b w:val="0"/>
          <w:bCs w:val="0"/>
          <w:rtl/>
        </w:rPr>
        <w:t>לפרש את פרשת המבול</w:t>
      </w:r>
      <w:r w:rsidR="00567D48">
        <w:rPr>
          <w:rFonts w:hint="cs"/>
          <w:b w:val="0"/>
          <w:bCs w:val="0"/>
          <w:rtl/>
        </w:rPr>
        <w:t xml:space="preserve"> עצמו,</w:t>
      </w:r>
      <w:r>
        <w:rPr>
          <w:rFonts w:hint="cs"/>
          <w:b w:val="0"/>
          <w:bCs w:val="0"/>
          <w:rtl/>
        </w:rPr>
        <w:t xml:space="preserve"> כמו להצביע על רשעותה של ממלכת יוון שהייתה אף גרועה מדור המבול? או שפשוט לפנינו דרשה אסוציאטיבית בה הדרשן חורז ומדלג מעניין לעניין? ראה </w:t>
      </w:r>
      <w:smartTag w:uri="urn:schemas-microsoft-com:office:smarttags" w:element="PersonName">
        <w:smartTagPr>
          <w:attr w:name="ProductID" w:val="יונה פרנקל"/>
        </w:smartTagPr>
        <w:r>
          <w:rPr>
            <w:rFonts w:hint="cs"/>
            <w:b w:val="0"/>
            <w:bCs w:val="0"/>
            <w:rtl/>
          </w:rPr>
          <w:t>יונה פרנקל</w:t>
        </w:r>
      </w:smartTag>
      <w:r>
        <w:rPr>
          <w:rFonts w:hint="cs"/>
          <w:b w:val="0"/>
          <w:bCs w:val="0"/>
          <w:rtl/>
        </w:rPr>
        <w:t xml:space="preserve">: עיונים בעולמו הרוחני של סיפור האגדה, ספרית הקיבוץ המאוחד 1992, שמנתח סיפור זה ומצביע על כך שהאנטיתזה ליוון הרשעה היא לא עם ישראל אלא גוי הגון. מלכות מסתורית ש"מעבר להרי החושך", </w:t>
      </w:r>
      <w:r w:rsidR="00567D48">
        <w:rPr>
          <w:rFonts w:hint="cs"/>
          <w:b w:val="0"/>
          <w:bCs w:val="0"/>
          <w:rtl/>
        </w:rPr>
        <w:t xml:space="preserve">"אשר אין לה כל יחס לעם ישראל", </w:t>
      </w:r>
      <w:r>
        <w:rPr>
          <w:rFonts w:hint="cs"/>
          <w:b w:val="0"/>
          <w:bCs w:val="0"/>
          <w:rtl/>
        </w:rPr>
        <w:t>אך בכ</w:t>
      </w:r>
      <w:r w:rsidR="00547D3C">
        <w:rPr>
          <w:rFonts w:hint="cs"/>
          <w:b w:val="0"/>
          <w:bCs w:val="0"/>
          <w:rtl/>
        </w:rPr>
        <w:t xml:space="preserve">ל זאת </w:t>
      </w:r>
      <w:r w:rsidR="00895178">
        <w:rPr>
          <w:rFonts w:hint="cs"/>
          <w:b w:val="0"/>
          <w:bCs w:val="0"/>
          <w:rtl/>
        </w:rPr>
        <w:t xml:space="preserve">מלכות אשר </w:t>
      </w:r>
      <w:r>
        <w:rPr>
          <w:rFonts w:hint="cs"/>
          <w:b w:val="0"/>
          <w:bCs w:val="0"/>
          <w:rtl/>
        </w:rPr>
        <w:t>מציג</w:t>
      </w:r>
      <w:r w:rsidR="00547D3C">
        <w:rPr>
          <w:rFonts w:hint="cs"/>
          <w:b w:val="0"/>
          <w:bCs w:val="0"/>
          <w:rtl/>
        </w:rPr>
        <w:t>ה</w:t>
      </w:r>
      <w:r>
        <w:rPr>
          <w:rFonts w:hint="cs"/>
          <w:b w:val="0"/>
          <w:bCs w:val="0"/>
          <w:rtl/>
        </w:rPr>
        <w:t xml:space="preserve"> </w:t>
      </w:r>
      <w:r>
        <w:rPr>
          <w:rFonts w:hint="cs"/>
          <w:b w:val="0"/>
          <w:bCs w:val="0"/>
          <w:rtl/>
        </w:rPr>
        <w:lastRenderedPageBreak/>
        <w:t>אפשרות של מוסר ודין בגויים (כפי שמצו</w:t>
      </w:r>
      <w:r w:rsidR="00895178">
        <w:rPr>
          <w:rFonts w:hint="cs"/>
          <w:b w:val="0"/>
          <w:bCs w:val="0"/>
          <w:rtl/>
        </w:rPr>
        <w:t>ו</w:t>
      </w:r>
      <w:r>
        <w:rPr>
          <w:rFonts w:hint="cs"/>
          <w:b w:val="0"/>
          <w:bCs w:val="0"/>
          <w:rtl/>
        </w:rPr>
        <w:t xml:space="preserve">ים בני נח). </w:t>
      </w:r>
      <w:r w:rsidR="00567D48">
        <w:rPr>
          <w:rFonts w:hint="cs"/>
          <w:b w:val="0"/>
          <w:bCs w:val="0"/>
          <w:rtl/>
        </w:rPr>
        <w:t xml:space="preserve">"הגוי האידיאלי של מלכות קצייא", מסיים פרנקל, "לא קיבל את התורה ואינו יודע את מצותיה, אך הוא יודע שיש אל בשמים המזכה את בני המלכויות בחיים, אם הם רודפי צדק ושלום". </w:t>
      </w:r>
      <w:r>
        <w:rPr>
          <w:rFonts w:hint="cs"/>
          <w:b w:val="0"/>
          <w:bCs w:val="0"/>
          <w:rtl/>
        </w:rPr>
        <w:t xml:space="preserve">אולי </w:t>
      </w:r>
      <w:r w:rsidR="00567D48">
        <w:rPr>
          <w:rFonts w:hint="cs"/>
          <w:b w:val="0"/>
          <w:bCs w:val="0"/>
          <w:rtl/>
        </w:rPr>
        <w:t>גם את זה באות פרשות בראשית ונח ללמדנו</w:t>
      </w:r>
      <w:r w:rsidR="00547D3C">
        <w:rPr>
          <w:rFonts w:hint="cs"/>
          <w:b w:val="0"/>
          <w:bCs w:val="0"/>
          <w:rtl/>
        </w:rPr>
        <w:t xml:space="preserve"> (לפני שנתמקד מפרשת לך לך ואילך בקורות עם ישראל).</w:t>
      </w:r>
      <w:r w:rsidR="00547D3C">
        <w:rPr>
          <w:rStyle w:val="a5"/>
          <w:b w:val="0"/>
          <w:bCs w:val="0"/>
          <w:rtl/>
        </w:rPr>
        <w:footnoteReference w:id="3"/>
      </w:r>
      <w:r>
        <w:rPr>
          <w:rFonts w:hint="cs"/>
          <w:b w:val="0"/>
          <w:bCs w:val="0"/>
          <w:rtl/>
        </w:rPr>
        <w:t xml:space="preserve"> </w:t>
      </w:r>
    </w:p>
    <w:p w14:paraId="7ED74117" w14:textId="77777777" w:rsidR="002B4756" w:rsidRDefault="002B4756" w:rsidP="002B4756">
      <w:pPr>
        <w:pStyle w:val="ad"/>
        <w:spacing w:before="240"/>
        <w:outlineLvl w:val="0"/>
        <w:rPr>
          <w:rFonts w:hint="cs"/>
          <w:rtl/>
        </w:rPr>
      </w:pPr>
      <w:r>
        <w:rPr>
          <w:rtl/>
        </w:rPr>
        <w:t xml:space="preserve">שבת שלום </w:t>
      </w:r>
    </w:p>
    <w:p w14:paraId="22E91E2C" w14:textId="77777777" w:rsidR="002B4756" w:rsidRDefault="002B4756" w:rsidP="002B4756">
      <w:pPr>
        <w:pStyle w:val="ad"/>
        <w:outlineLvl w:val="0"/>
        <w:rPr>
          <w:rFonts w:hint="cs"/>
          <w:rtl/>
        </w:rPr>
      </w:pPr>
      <w:r>
        <w:rPr>
          <w:rtl/>
        </w:rPr>
        <w:t xml:space="preserve">מחלקי המים </w:t>
      </w:r>
    </w:p>
    <w:p w14:paraId="6437398D" w14:textId="77777777" w:rsidR="00420296" w:rsidRPr="00420296" w:rsidRDefault="00420296" w:rsidP="00E44CF4">
      <w:pPr>
        <w:pStyle w:val="ad"/>
        <w:spacing w:before="120"/>
        <w:outlineLvl w:val="0"/>
        <w:rPr>
          <w:b w:val="0"/>
          <w:bCs w:val="0"/>
          <w:szCs w:val="22"/>
          <w:rtl/>
        </w:rPr>
      </w:pPr>
      <w:r w:rsidRPr="00420296">
        <w:rPr>
          <w:rFonts w:hint="cs"/>
          <w:szCs w:val="22"/>
          <w:rtl/>
        </w:rPr>
        <w:t xml:space="preserve">מים אחרונים: </w:t>
      </w:r>
      <w:r>
        <w:rPr>
          <w:rFonts w:hint="cs"/>
          <w:b w:val="0"/>
          <w:bCs w:val="0"/>
          <w:szCs w:val="22"/>
          <w:rtl/>
        </w:rPr>
        <w:t>ראה ג</w:t>
      </w:r>
      <w:r w:rsidRPr="00420296">
        <w:rPr>
          <w:rFonts w:hint="cs"/>
          <w:b w:val="0"/>
          <w:bCs w:val="0"/>
          <w:szCs w:val="22"/>
          <w:rtl/>
        </w:rPr>
        <w:t>מרא מסכת תמיד</w:t>
      </w:r>
      <w:r>
        <w:rPr>
          <w:rFonts w:hint="cs"/>
          <w:b w:val="0"/>
          <w:bCs w:val="0"/>
          <w:szCs w:val="22"/>
          <w:rtl/>
        </w:rPr>
        <w:t xml:space="preserve"> דף לב על מפגשי אלכסנדר מוקדון וזקני הנגב: "</w:t>
      </w:r>
      <w:r w:rsidRPr="00420296">
        <w:rPr>
          <w:b w:val="0"/>
          <w:bCs w:val="0"/>
          <w:szCs w:val="22"/>
          <w:rtl/>
        </w:rPr>
        <w:t>עשרה דברים שאל אלכסנדרוס מוקדון - את זקני הנגב</w:t>
      </w:r>
      <w:r w:rsidR="00E44CF4">
        <w:rPr>
          <w:rFonts w:hint="cs"/>
          <w:b w:val="0"/>
          <w:bCs w:val="0"/>
          <w:szCs w:val="22"/>
          <w:rtl/>
        </w:rPr>
        <w:t xml:space="preserve"> וכו' "</w:t>
      </w:r>
      <w:r>
        <w:rPr>
          <w:rFonts w:hint="cs"/>
          <w:b w:val="0"/>
          <w:bCs w:val="0"/>
          <w:szCs w:val="22"/>
          <w:rtl/>
        </w:rPr>
        <w:t xml:space="preserve"> (דף לא ע"ב שם). </w:t>
      </w:r>
      <w:r w:rsidR="00E9414F">
        <w:rPr>
          <w:rFonts w:hint="cs"/>
          <w:b w:val="0"/>
          <w:bCs w:val="0"/>
          <w:szCs w:val="22"/>
          <w:rtl/>
        </w:rPr>
        <w:t>ושם הסיפור על מסעו של אלכסנדר מוקדון למדינת אפריקי שקידמוהו בלחם של זהב</w:t>
      </w:r>
      <w:r w:rsidR="00E44CF4">
        <w:rPr>
          <w:rFonts w:hint="cs"/>
          <w:b w:val="0"/>
          <w:bCs w:val="0"/>
          <w:szCs w:val="22"/>
          <w:rtl/>
        </w:rPr>
        <w:t xml:space="preserve"> שמזכיר את הסיפור על מלך קציא</w:t>
      </w:r>
      <w:r w:rsidR="00E9414F">
        <w:rPr>
          <w:rFonts w:hint="cs"/>
          <w:b w:val="0"/>
          <w:bCs w:val="0"/>
          <w:szCs w:val="22"/>
          <w:rtl/>
        </w:rPr>
        <w:t xml:space="preserve">. סיפור </w:t>
      </w:r>
      <w:r w:rsidR="00E44CF4">
        <w:rPr>
          <w:rFonts w:hint="cs"/>
          <w:b w:val="0"/>
          <w:bCs w:val="0"/>
          <w:szCs w:val="22"/>
          <w:rtl/>
        </w:rPr>
        <w:t xml:space="preserve">מדינת אפריקי </w:t>
      </w:r>
      <w:r w:rsidR="00E9414F">
        <w:rPr>
          <w:rFonts w:hint="cs"/>
          <w:b w:val="0"/>
          <w:bCs w:val="0"/>
          <w:szCs w:val="22"/>
          <w:rtl/>
        </w:rPr>
        <w:t>נמצא גם במדרש ויקרא רבה כז א בפרשת אמור</w:t>
      </w:r>
      <w:r w:rsidRPr="00420296">
        <w:rPr>
          <w:b w:val="0"/>
          <w:bCs w:val="0"/>
          <w:szCs w:val="22"/>
          <w:rtl/>
        </w:rPr>
        <w:t xml:space="preserve">, </w:t>
      </w:r>
      <w:r w:rsidR="00E9414F">
        <w:rPr>
          <w:rFonts w:hint="cs"/>
          <w:b w:val="0"/>
          <w:bCs w:val="0"/>
          <w:szCs w:val="22"/>
          <w:rtl/>
        </w:rPr>
        <w:t xml:space="preserve">עליו הרחבנו בדברינו </w:t>
      </w:r>
      <w:hyperlink r:id="rId8" w:history="1">
        <w:r w:rsidR="00E9414F" w:rsidRPr="00E44CF4">
          <w:rPr>
            <w:rStyle w:val="Hyperlink"/>
            <w:rFonts w:hint="cs"/>
            <w:b w:val="0"/>
            <w:bCs w:val="0"/>
            <w:szCs w:val="22"/>
            <w:rtl/>
          </w:rPr>
          <w:t>צדקת</w:t>
        </w:r>
        <w:r w:rsidR="00E44CF4" w:rsidRPr="00E44CF4">
          <w:rPr>
            <w:rStyle w:val="Hyperlink"/>
            <w:rFonts w:hint="cs"/>
            <w:b w:val="0"/>
            <w:bCs w:val="0"/>
            <w:szCs w:val="22"/>
            <w:rtl/>
          </w:rPr>
          <w:t>ך</w:t>
        </w:r>
        <w:r w:rsidR="00E9414F" w:rsidRPr="00E44CF4">
          <w:rPr>
            <w:rStyle w:val="Hyperlink"/>
            <w:rFonts w:hint="cs"/>
            <w:b w:val="0"/>
            <w:bCs w:val="0"/>
            <w:szCs w:val="22"/>
            <w:rtl/>
          </w:rPr>
          <w:t xml:space="preserve"> כהררי אל משפטיך תהום רבה</w:t>
        </w:r>
      </w:hyperlink>
      <w:r w:rsidR="00E44CF4">
        <w:rPr>
          <w:rFonts w:hint="cs"/>
          <w:b w:val="0"/>
          <w:bCs w:val="0"/>
          <w:szCs w:val="22"/>
          <w:rtl/>
        </w:rPr>
        <w:t xml:space="preserve"> בפרשת אמור</w:t>
      </w:r>
      <w:r w:rsidR="00E9414F">
        <w:rPr>
          <w:rFonts w:hint="cs"/>
          <w:b w:val="0"/>
          <w:bCs w:val="0"/>
          <w:szCs w:val="22"/>
          <w:rtl/>
        </w:rPr>
        <w:t>.</w:t>
      </w:r>
      <w:r w:rsidR="00E44CF4">
        <w:rPr>
          <w:rFonts w:hint="cs"/>
          <w:b w:val="0"/>
          <w:bCs w:val="0"/>
          <w:szCs w:val="22"/>
          <w:rtl/>
        </w:rPr>
        <w:t xml:space="preserve"> שני הסיפורים, על מפגש אלכסנדר מוקדון עם מלך קציא ועל מסעו למדינת אפריקי הם דרשות על שני חלקי הפסוק שהוא אחד: "צדקתך כהררי אל משפטיך תהום רבה, אדם ובהמה תושיע ה' ".</w:t>
      </w:r>
    </w:p>
    <w:p w14:paraId="35A7BF93" w14:textId="77777777" w:rsidR="002B4756" w:rsidRPr="00420296" w:rsidRDefault="002B4756" w:rsidP="00420296">
      <w:pPr>
        <w:pStyle w:val="ad"/>
        <w:spacing w:before="120"/>
        <w:outlineLvl w:val="0"/>
        <w:rPr>
          <w:rFonts w:hint="cs"/>
          <w:b w:val="0"/>
          <w:bCs w:val="0"/>
          <w:szCs w:val="22"/>
          <w:rtl/>
        </w:rPr>
      </w:pPr>
    </w:p>
    <w:sectPr w:rsidR="002B4756" w:rsidRPr="00420296" w:rsidSect="00547D3C">
      <w:headerReference w:type="default" r:id="rId9"/>
      <w:footerReference w:type="default" r:id="rId10"/>
      <w:headerReference w:type="first" r:id="rId11"/>
      <w:footerReference w:type="first" r:id="rId12"/>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BFE9" w14:textId="77777777" w:rsidR="002B0DCD" w:rsidRDefault="002B0DCD">
      <w:r>
        <w:separator/>
      </w:r>
    </w:p>
  </w:endnote>
  <w:endnote w:type="continuationSeparator" w:id="0">
    <w:p w14:paraId="5E884D60" w14:textId="77777777" w:rsidR="002B0DCD" w:rsidRDefault="002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0C5A" w14:textId="77777777" w:rsidR="00C75DF2" w:rsidRPr="00F8747C" w:rsidRDefault="00C75DF2" w:rsidP="00C75DF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B036E">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B036E">
      <w:rPr>
        <w:rStyle w:val="af2"/>
        <w:noProof/>
        <w:rtl/>
      </w:rPr>
      <w:t>2</w:t>
    </w:r>
    <w:r w:rsidRPr="00F8747C">
      <w:rPr>
        <w:rStyle w:val="af2"/>
      </w:rPr>
      <w:fldChar w:fldCharType="end"/>
    </w:r>
  </w:p>
  <w:p w14:paraId="382493D1" w14:textId="77777777" w:rsidR="00C75DF2" w:rsidRDefault="00C75D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222" w14:textId="77777777" w:rsidR="00C75DF2" w:rsidRPr="00F8747C" w:rsidRDefault="00C75DF2" w:rsidP="00C75DF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14:paraId="670F1C16" w14:textId="77777777" w:rsidR="00C75DF2" w:rsidRPr="0062188E" w:rsidRDefault="00C75DF2" w:rsidP="00C75DF2">
    <w:pPr>
      <w:pStyle w:val="a8"/>
    </w:pPr>
  </w:p>
  <w:p w14:paraId="49B55880" w14:textId="77777777" w:rsidR="00C75DF2" w:rsidRDefault="00C75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17E3" w14:textId="77777777" w:rsidR="002B0DCD" w:rsidRDefault="002B0DCD">
      <w:r>
        <w:separator/>
      </w:r>
    </w:p>
  </w:footnote>
  <w:footnote w:type="continuationSeparator" w:id="0">
    <w:p w14:paraId="7C9367B0" w14:textId="77777777" w:rsidR="002B0DCD" w:rsidRDefault="002B0DCD">
      <w:r>
        <w:continuationSeparator/>
      </w:r>
    </w:p>
  </w:footnote>
  <w:footnote w:id="1">
    <w:p w14:paraId="02BD1ED0" w14:textId="77777777" w:rsidR="00047A4C" w:rsidRDefault="00047A4C">
      <w:pPr>
        <w:pStyle w:val="a3"/>
        <w:ind w:left="0"/>
        <w:rPr>
          <w:rFonts w:hint="cs"/>
          <w:rtl/>
        </w:rPr>
      </w:pPr>
      <w:r>
        <w:rPr>
          <w:rStyle w:val="a5"/>
        </w:rPr>
        <w:footnoteRef/>
      </w:r>
      <w:r>
        <w:t xml:space="preserve"> </w:t>
      </w:r>
      <w:r>
        <w:rPr>
          <w:rFonts w:hint="cs"/>
          <w:rtl/>
        </w:rPr>
        <w:t xml:space="preserve"> ראה ויקרא רבה יט ו על פשעיו של יהויקים מלך יהודה: "</w:t>
      </w:r>
      <w:r>
        <w:rPr>
          <w:rFonts w:hint="cs"/>
          <w:rtl/>
          <w:lang w:val="he-IL"/>
        </w:rPr>
        <w:t>שהיה הורג את בעליהם ומענה את נשיהם ומכניס ממונם לטמיון" להכניס לטמיון או לצאת לטמיון או בלשוננו היום ירד לטמיון (ראה מסכת דרך ארץ פרק המינין הלכה כח: "בשביל ארבעה דברים נכסי בעלי בתים יורדין לטמיון") פירושו נתפס לאוצר השלטון. המדרש לא אומר זאת, אבל מתבקש חידוד לשוני בין המטמון של מלך קציא ובין הטמיון של אלכסנדר מוקדון.</w:t>
      </w:r>
    </w:p>
  </w:footnote>
  <w:footnote w:id="2">
    <w:p w14:paraId="2C53B06F" w14:textId="77777777" w:rsidR="00047A4C" w:rsidRDefault="00047A4C" w:rsidP="00186EC0">
      <w:pPr>
        <w:pStyle w:val="a3"/>
        <w:ind w:left="0"/>
        <w:rPr>
          <w:rFonts w:hint="cs"/>
          <w:rtl/>
        </w:rPr>
      </w:pPr>
      <w:r>
        <w:rPr>
          <w:rStyle w:val="a5"/>
          <w:rtl/>
        </w:rPr>
        <w:footnoteRef/>
      </w:r>
      <w:r>
        <w:rPr>
          <w:rtl/>
        </w:rPr>
        <w:t xml:space="preserve"> </w:t>
      </w:r>
      <w:r>
        <w:rPr>
          <w:rFonts w:hint="cs"/>
          <w:rtl/>
        </w:rPr>
        <w:t>אפשר שמדרש זה מכוון לקנטר את השלטון והתרבות היוונית (</w:t>
      </w:r>
      <w:r w:rsidR="00186EC0">
        <w:rPr>
          <w:rFonts w:hint="cs"/>
          <w:rtl/>
        </w:rPr>
        <w:t>והמתייוונ</w:t>
      </w:r>
      <w:r w:rsidR="00186EC0">
        <w:rPr>
          <w:rFonts w:hint="eastAsia"/>
          <w:rtl/>
        </w:rPr>
        <w:t>ת</w:t>
      </w:r>
      <w:r>
        <w:rPr>
          <w:rFonts w:hint="cs"/>
          <w:rtl/>
        </w:rPr>
        <w:t>)</w:t>
      </w:r>
      <w:r w:rsidR="00186EC0">
        <w:rPr>
          <w:rFonts w:hint="cs"/>
          <w:rtl/>
        </w:rPr>
        <w:t xml:space="preserve"> וללעוג לה, </w:t>
      </w:r>
      <w:r>
        <w:rPr>
          <w:rFonts w:hint="cs"/>
          <w:rtl/>
        </w:rPr>
        <w:t xml:space="preserve">ואפשר שהוא מכוון למשהו בסיסי יותר וכלל אנושי. </w:t>
      </w:r>
      <w:r>
        <w:rPr>
          <w:rtl/>
        </w:rPr>
        <w:t xml:space="preserve">בשני ימים בבריאה נאמר "כי טוב" באמצע היום. ביום </w:t>
      </w:r>
      <w:r>
        <w:rPr>
          <w:rFonts w:hint="cs"/>
          <w:rtl/>
        </w:rPr>
        <w:t>ה</w:t>
      </w:r>
      <w:r>
        <w:rPr>
          <w:rtl/>
        </w:rPr>
        <w:t>שלישי, תשלום ליום שני שלא נאמר בו כי טוב (רש"י בראשית א ז)</w:t>
      </w:r>
      <w:r>
        <w:rPr>
          <w:rFonts w:hint="cs"/>
          <w:rtl/>
        </w:rPr>
        <w:t>; ו</w:t>
      </w:r>
      <w:r>
        <w:rPr>
          <w:rtl/>
        </w:rPr>
        <w:t xml:space="preserve">ביום </w:t>
      </w:r>
      <w:r>
        <w:rPr>
          <w:rFonts w:hint="cs"/>
          <w:rtl/>
        </w:rPr>
        <w:t>ה</w:t>
      </w:r>
      <w:r>
        <w:rPr>
          <w:rtl/>
        </w:rPr>
        <w:t xml:space="preserve">שישי, </w:t>
      </w:r>
      <w:r w:rsidR="00186EC0">
        <w:rPr>
          <w:rFonts w:hint="cs"/>
          <w:rtl/>
        </w:rPr>
        <w:t xml:space="preserve">גם שם באמצע היום, </w:t>
      </w:r>
      <w:r>
        <w:rPr>
          <w:rtl/>
        </w:rPr>
        <w:t xml:space="preserve">לאחר השלמת בריאת החיות! ולאחר בריאת האדם לא נאמר "כי טוב". </w:t>
      </w:r>
      <w:r>
        <w:rPr>
          <w:rFonts w:hint="cs"/>
          <w:rtl/>
        </w:rPr>
        <w:t xml:space="preserve">אבל בסוף היום השישי </w:t>
      </w:r>
      <w:r>
        <w:rPr>
          <w:rtl/>
        </w:rPr>
        <w:t xml:space="preserve">נאמר: "וירא </w:t>
      </w:r>
      <w:r w:rsidR="002B4756">
        <w:rPr>
          <w:rtl/>
        </w:rPr>
        <w:t>אל</w:t>
      </w:r>
      <w:r>
        <w:rPr>
          <w:rtl/>
        </w:rPr>
        <w:t>הים את כל אשר עשה והנה טוב מאד". האם משפט זה מכוון לאדם שהוא "סיכום הבריאה"</w:t>
      </w:r>
      <w:r w:rsidR="00186EC0">
        <w:rPr>
          <w:rFonts w:hint="cs"/>
          <w:rtl/>
        </w:rPr>
        <w:t>, הוא ה"טוב מאד";</w:t>
      </w:r>
      <w:r>
        <w:rPr>
          <w:rtl/>
        </w:rPr>
        <w:t xml:space="preserve"> </w:t>
      </w:r>
      <w:r>
        <w:rPr>
          <w:rFonts w:hint="cs"/>
          <w:rtl/>
        </w:rPr>
        <w:t>או</w:t>
      </w:r>
      <w:r w:rsidR="00186EC0">
        <w:rPr>
          <w:rFonts w:hint="cs"/>
          <w:rtl/>
        </w:rPr>
        <w:t xml:space="preserve"> שהכוונה</w:t>
      </w:r>
      <w:r>
        <w:rPr>
          <w:rFonts w:hint="cs"/>
          <w:rtl/>
        </w:rPr>
        <w:t xml:space="preserve"> לבריאה כולה, למעשה ששת הימים כולם ואגב כך גם לאדם כחלק מהבריאה? התשובה: תלוי בהתנהגות האדם. כדברי </w:t>
      </w:r>
      <w:r>
        <w:rPr>
          <w:rtl/>
        </w:rPr>
        <w:t>בראשית רבה ח א</w:t>
      </w:r>
      <w:r>
        <w:rPr>
          <w:rFonts w:hint="cs"/>
          <w:rtl/>
        </w:rPr>
        <w:t>:</w:t>
      </w:r>
      <w:r>
        <w:rPr>
          <w:rtl/>
        </w:rPr>
        <w:t xml:space="preserve"> "אם זכה אדם אומרים לו אתה קדמת למלאכי השרת ואם לאו אומרים לו זבוב קדמך, יתוש קדמך, שלשול זה קדמך".</w:t>
      </w:r>
      <w:r>
        <w:rPr>
          <w:rFonts w:hint="cs"/>
          <w:rtl/>
        </w:rPr>
        <w:t xml:space="preserve"> אלכסנדר מוקדון מסמל את האדם שלא זכה והוא חי בזכות החיה והבהמה אשר סביבו. מלך קציא </w:t>
      </w:r>
      <w:r>
        <w:rPr>
          <w:rtl/>
        </w:rPr>
        <w:t>–</w:t>
      </w:r>
      <w:r>
        <w:rPr>
          <w:rFonts w:hint="cs"/>
          <w:rtl/>
        </w:rPr>
        <w:t xml:space="preserve"> זכה. וכבר דנו במדרש זה במסגרת רחבה יותר בדברינו </w:t>
      </w:r>
      <w:hyperlink r:id="rId1" w:history="1">
        <w:r>
          <w:rPr>
            <w:rStyle w:val="Hyperlink"/>
            <w:rFonts w:hint="cs"/>
            <w:rtl/>
          </w:rPr>
          <w:t>אם אדם חטא בהמה ב</w:t>
        </w:r>
        <w:r>
          <w:rPr>
            <w:rStyle w:val="Hyperlink"/>
            <w:rFonts w:hint="cs"/>
            <w:rtl/>
          </w:rPr>
          <w:t>מ</w:t>
        </w:r>
        <w:r>
          <w:rPr>
            <w:rStyle w:val="Hyperlink"/>
            <w:rFonts w:hint="cs"/>
            <w:rtl/>
          </w:rPr>
          <w:t>ה חטאה</w:t>
        </w:r>
      </w:hyperlink>
      <w:r>
        <w:rPr>
          <w:rFonts w:hint="cs"/>
          <w:rtl/>
        </w:rPr>
        <w:t xml:space="preserve"> בפרשה זו, כולל המדרש המקביל בויקרא רבה כז א בפרשת אמור על הפסוק: "שור או כשב או עז ... והיה שבעת ימים תחת אמו".</w:t>
      </w:r>
    </w:p>
  </w:footnote>
  <w:footnote w:id="3">
    <w:p w14:paraId="21A465E0" w14:textId="77777777" w:rsidR="00547D3C" w:rsidRDefault="00547D3C" w:rsidP="00547D3C">
      <w:pPr>
        <w:pStyle w:val="a3"/>
        <w:rPr>
          <w:rFonts w:hint="cs"/>
          <w:rtl/>
        </w:rPr>
      </w:pPr>
      <w:r>
        <w:rPr>
          <w:rStyle w:val="a5"/>
        </w:rPr>
        <w:footnoteRef/>
      </w:r>
      <w:r>
        <w:rPr>
          <w:rtl/>
        </w:rPr>
        <w:t xml:space="preserve"> </w:t>
      </w:r>
      <w:r>
        <w:rPr>
          <w:rFonts w:hint="cs"/>
          <w:rtl/>
        </w:rPr>
        <w:t xml:space="preserve">ולכן ניתן אולי להוסיף גם את פרשת דור הפלגה שממנה "יצא אשור" והתגלגל עד סיפור נינוה בספר יונה שאנו קוראים במנחה של יום כיפור. על קשר זה ראו בדברינו </w:t>
      </w:r>
      <w:hyperlink r:id="rId2" w:history="1">
        <w:r w:rsidRPr="000B036E">
          <w:rPr>
            <w:rStyle w:val="Hyperlink"/>
            <w:rFonts w:hint="cs"/>
            <w:rtl/>
          </w:rPr>
          <w:t>אנשי נינוה</w:t>
        </w:r>
      </w:hyperlink>
      <w:r>
        <w:rPr>
          <w:rFonts w:hint="cs"/>
          <w:rtl/>
        </w:rPr>
        <w:t xml:space="preserve"> ביום כיפור וכן </w:t>
      </w:r>
      <w:hyperlink r:id="rId3" w:history="1">
        <w:r w:rsidRPr="000B036E">
          <w:rPr>
            <w:rStyle w:val="Hyperlink"/>
            <w:rFonts w:hint="cs"/>
            <w:rtl/>
          </w:rPr>
          <w:t>אברהם ודור הפלגה</w:t>
        </w:r>
      </w:hyperlink>
      <w:r>
        <w:rPr>
          <w:rFonts w:hint="cs"/>
          <w:rtl/>
        </w:rPr>
        <w:t xml:space="preserve"> בפרשה זו.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A56C" w14:textId="77777777" w:rsidR="00C75DF2" w:rsidRDefault="00C75DF2" w:rsidP="00C75DF2">
    <w:pPr>
      <w:pStyle w:val="1"/>
      <w:tabs>
        <w:tab w:val="clear" w:pos="9469"/>
        <w:tab w:val="right" w:pos="9299"/>
        <w:tab w:val="right" w:pos="9611"/>
      </w:tabs>
      <w:ind w:right="-142"/>
      <w:rPr>
        <w:rFonts w:hint="cs"/>
        <w:rtl/>
      </w:rPr>
    </w:pPr>
    <w:r>
      <w:rPr>
        <w:rtl/>
      </w:rPr>
      <w:t xml:space="preserve">פרשת </w:t>
    </w:r>
    <w:fldSimple w:instr=" SUBJECT  \* MERGEFORMAT ">
      <w:r>
        <w:rPr>
          <w:rtl/>
        </w:rPr>
        <w:t>נח</w:t>
      </w:r>
    </w:fldSimple>
    <w:r>
      <w:rPr>
        <w:rFonts w:hint="cs"/>
        <w:rtl/>
      </w:rPr>
      <w:t>, אדם ובהמה תושיע ה'</w:t>
    </w:r>
    <w:r>
      <w:rPr>
        <w:rtl/>
      </w:rPr>
      <w:t xml:space="preserve"> </w:t>
    </w:r>
    <w:r>
      <w:rPr>
        <w:rtl/>
      </w:rPr>
      <w:tab/>
    </w:r>
    <w:r>
      <w:rPr>
        <w:rFonts w:hint="cs"/>
        <w:rtl/>
      </w:rPr>
      <w:t>תשס"ד</w:t>
    </w:r>
  </w:p>
  <w:p w14:paraId="4DF3CFE3" w14:textId="77777777" w:rsidR="00047A4C" w:rsidRPr="00C75DF2" w:rsidRDefault="00047A4C" w:rsidP="00C75DF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845" w14:textId="77777777" w:rsidR="00047A4C" w:rsidRDefault="00047A4C" w:rsidP="002B4756">
    <w:pPr>
      <w:pStyle w:val="1"/>
      <w:tabs>
        <w:tab w:val="clear" w:pos="9469"/>
        <w:tab w:val="right" w:pos="9299"/>
        <w:tab w:val="right" w:pos="9611"/>
      </w:tabs>
      <w:ind w:right="-142"/>
      <w:rPr>
        <w:rFonts w:hint="cs"/>
        <w:rtl/>
      </w:rPr>
    </w:pPr>
    <w:r>
      <w:rPr>
        <w:rtl/>
      </w:rPr>
      <w:t xml:space="preserve">פרשת </w:t>
    </w:r>
    <w:fldSimple w:instr=" SUBJECT  \* MERGEFORMAT ">
      <w:r>
        <w:rPr>
          <w:rtl/>
        </w:rPr>
        <w:t>נח</w:t>
      </w:r>
    </w:fldSimple>
    <w:r w:rsidR="00C75DF2">
      <w:rPr>
        <w:rFonts w:hint="cs"/>
        <w:rtl/>
      </w:rPr>
      <w:t>, אדם ובהמה תושיע ה'</w:t>
    </w:r>
    <w:r>
      <w:rPr>
        <w:rtl/>
      </w:rPr>
      <w:t xml:space="preserve"> </w:t>
    </w:r>
    <w:r>
      <w:rPr>
        <w:rtl/>
      </w:rPr>
      <w:tab/>
    </w:r>
    <w:r>
      <w:rPr>
        <w:rFonts w:hint="cs"/>
        <w:rtl/>
      </w:rPr>
      <w:t>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3C0C3E"/>
    <w:multiLevelType w:val="hybridMultilevel"/>
    <w:tmpl w:val="FA4CC1B0"/>
    <w:lvl w:ilvl="0" w:tplc="174E69AA">
      <w:numFmt w:val="bullet"/>
      <w:lvlText w:val="–"/>
      <w:lvlJc w:val="left"/>
      <w:pPr>
        <w:tabs>
          <w:tab w:val="num" w:pos="360"/>
        </w:tabs>
        <w:ind w:left="360" w:right="360" w:hanging="360"/>
      </w:pPr>
      <w:rPr>
        <w:rFonts w:ascii="Times New Roman" w:eastAsia="Times New Roman" w:hAnsi="Times New Roman" w:cs="Times New Roman" w:hint="default"/>
        <w:sz w:val="22"/>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78"/>
    <w:rsid w:val="00047A4C"/>
    <w:rsid w:val="000B036E"/>
    <w:rsid w:val="00111B30"/>
    <w:rsid w:val="00186EC0"/>
    <w:rsid w:val="002B0DCD"/>
    <w:rsid w:val="002B4756"/>
    <w:rsid w:val="003D393A"/>
    <w:rsid w:val="00420296"/>
    <w:rsid w:val="00547D3C"/>
    <w:rsid w:val="00567D48"/>
    <w:rsid w:val="00756ED8"/>
    <w:rsid w:val="00880CC0"/>
    <w:rsid w:val="00895178"/>
    <w:rsid w:val="00C21B6B"/>
    <w:rsid w:val="00C75DF2"/>
    <w:rsid w:val="00C84092"/>
    <w:rsid w:val="00E44CF4"/>
    <w:rsid w:val="00E9414F"/>
    <w:rsid w:val="00F21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AE8D3D3"/>
  <w15:chartTrackingRefBased/>
  <w15:docId w15:val="{17FE9846-7A63-43EB-BA57-B53F026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93A"/>
    <w:pPr>
      <w:bidi/>
    </w:pPr>
    <w:rPr>
      <w:rFonts w:cs="Narkisim"/>
      <w:sz w:val="22"/>
      <w:szCs w:val="22"/>
      <w:lang w:eastAsia="he-IL"/>
    </w:rPr>
  </w:style>
  <w:style w:type="paragraph" w:styleId="1">
    <w:name w:val="heading 1"/>
    <w:basedOn w:val="a"/>
    <w:next w:val="a"/>
    <w:link w:val="10"/>
    <w:qFormat/>
    <w:rsid w:val="003D393A"/>
    <w:pPr>
      <w:keepNext/>
      <w:tabs>
        <w:tab w:val="right" w:pos="9469"/>
      </w:tabs>
      <w:jc w:val="both"/>
      <w:outlineLvl w:val="0"/>
    </w:pPr>
    <w:rPr>
      <w:rFonts w:cs="David"/>
      <w:b/>
      <w:bCs/>
      <w:szCs w:val="28"/>
    </w:rPr>
  </w:style>
  <w:style w:type="character" w:default="1" w:styleId="a0">
    <w:name w:val="Default Paragraph Font"/>
    <w:uiPriority w:val="1"/>
    <w:semiHidden/>
    <w:unhideWhenUsed/>
    <w:rsid w:val="003D39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393A"/>
  </w:style>
  <w:style w:type="paragraph" w:styleId="a3">
    <w:name w:val="footnote text"/>
    <w:basedOn w:val="a"/>
    <w:link w:val="a4"/>
    <w:rsid w:val="003D393A"/>
    <w:pPr>
      <w:ind w:left="170" w:hanging="170"/>
      <w:jc w:val="both"/>
    </w:pPr>
    <w:rPr>
      <w:sz w:val="20"/>
      <w:szCs w:val="20"/>
    </w:rPr>
  </w:style>
  <w:style w:type="character" w:styleId="a5">
    <w:name w:val="footnote reference"/>
    <w:semiHidden/>
    <w:rsid w:val="003D393A"/>
    <w:rPr>
      <w:vertAlign w:val="superscript"/>
    </w:rPr>
  </w:style>
  <w:style w:type="paragraph" w:styleId="a6">
    <w:name w:val="header"/>
    <w:basedOn w:val="a"/>
    <w:link w:val="a7"/>
    <w:rsid w:val="003D393A"/>
    <w:pPr>
      <w:tabs>
        <w:tab w:val="center" w:pos="4153"/>
        <w:tab w:val="right" w:pos="8306"/>
      </w:tabs>
    </w:pPr>
  </w:style>
  <w:style w:type="paragraph" w:styleId="a8">
    <w:name w:val="footer"/>
    <w:basedOn w:val="a"/>
    <w:link w:val="a9"/>
    <w:rsid w:val="003D393A"/>
    <w:pPr>
      <w:tabs>
        <w:tab w:val="center" w:pos="4153"/>
        <w:tab w:val="right" w:pos="8306"/>
      </w:tabs>
    </w:pPr>
  </w:style>
  <w:style w:type="paragraph" w:customStyle="1" w:styleId="aa">
    <w:name w:val="כותרת"/>
    <w:basedOn w:val="a"/>
    <w:rsid w:val="003D393A"/>
    <w:pPr>
      <w:spacing w:before="240" w:line="320" w:lineRule="atLeast"/>
      <w:jc w:val="center"/>
    </w:pPr>
    <w:rPr>
      <w:rFonts w:cs="David"/>
      <w:b/>
      <w:bCs/>
      <w:spacing w:val="20"/>
      <w:szCs w:val="32"/>
    </w:rPr>
  </w:style>
  <w:style w:type="paragraph" w:customStyle="1" w:styleId="ab">
    <w:name w:val="כותרת קטע"/>
    <w:basedOn w:val="a"/>
    <w:rsid w:val="003D393A"/>
    <w:pPr>
      <w:spacing w:before="240" w:line="300" w:lineRule="atLeast"/>
    </w:pPr>
    <w:rPr>
      <w:rFonts w:cs="Arial"/>
      <w:b/>
      <w:bCs/>
      <w:szCs w:val="24"/>
    </w:rPr>
  </w:style>
  <w:style w:type="paragraph" w:customStyle="1" w:styleId="ac">
    <w:name w:val="מקור"/>
    <w:basedOn w:val="a"/>
    <w:rsid w:val="003D393A"/>
    <w:pPr>
      <w:spacing w:line="320" w:lineRule="atLeast"/>
      <w:jc w:val="both"/>
    </w:pPr>
    <w:rPr>
      <w:rFonts w:cs="David"/>
      <w:szCs w:val="24"/>
    </w:rPr>
  </w:style>
  <w:style w:type="paragraph" w:customStyle="1" w:styleId="ad">
    <w:name w:val="מחלקי המים"/>
    <w:basedOn w:val="a"/>
    <w:rsid w:val="003D393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3D393A"/>
    <w:rPr>
      <w:color w:val="0000FF"/>
      <w:u w:val="single"/>
    </w:rPr>
  </w:style>
  <w:style w:type="character" w:styleId="FollowedHyperlink">
    <w:name w:val="FollowedHyperlink"/>
    <w:rPr>
      <w:color w:val="800080"/>
      <w:u w:val="single"/>
    </w:rPr>
  </w:style>
  <w:style w:type="paragraph" w:styleId="af0">
    <w:name w:val="Balloon Text"/>
    <w:basedOn w:val="a"/>
    <w:link w:val="af1"/>
    <w:uiPriority w:val="99"/>
    <w:semiHidden/>
    <w:unhideWhenUsed/>
    <w:rsid w:val="003D393A"/>
    <w:rPr>
      <w:rFonts w:ascii="Tahoma" w:hAnsi="Tahoma" w:cs="Tahoma"/>
      <w:sz w:val="16"/>
      <w:szCs w:val="16"/>
    </w:rPr>
  </w:style>
  <w:style w:type="character" w:customStyle="1" w:styleId="a4">
    <w:name w:val="טקסט הערת שוליים תו"/>
    <w:link w:val="a3"/>
    <w:rsid w:val="003D393A"/>
    <w:rPr>
      <w:rFonts w:cs="Narkisim"/>
      <w:lang w:eastAsia="he-IL"/>
    </w:rPr>
  </w:style>
  <w:style w:type="character" w:customStyle="1" w:styleId="10">
    <w:name w:val="כותרת 1 תו"/>
    <w:link w:val="1"/>
    <w:rsid w:val="003D393A"/>
    <w:rPr>
      <w:rFonts w:cs="David"/>
      <w:b/>
      <w:bCs/>
      <w:sz w:val="22"/>
      <w:szCs w:val="28"/>
      <w:lang w:eastAsia="he-IL"/>
    </w:rPr>
  </w:style>
  <w:style w:type="character" w:customStyle="1" w:styleId="a7">
    <w:name w:val="כותרת עליונה תו"/>
    <w:link w:val="a6"/>
    <w:rsid w:val="003D393A"/>
    <w:rPr>
      <w:rFonts w:cs="Narkisim"/>
      <w:sz w:val="22"/>
      <w:szCs w:val="22"/>
      <w:lang w:eastAsia="he-IL"/>
    </w:rPr>
  </w:style>
  <w:style w:type="character" w:customStyle="1" w:styleId="a9">
    <w:name w:val="כותרת תחתונה תו"/>
    <w:link w:val="a8"/>
    <w:rsid w:val="003D393A"/>
    <w:rPr>
      <w:rFonts w:cs="Narkisim"/>
      <w:sz w:val="22"/>
      <w:szCs w:val="22"/>
      <w:lang w:eastAsia="he-IL"/>
    </w:rPr>
  </w:style>
  <w:style w:type="character" w:customStyle="1" w:styleId="af1">
    <w:name w:val="טקסט בלונים תו"/>
    <w:link w:val="af0"/>
    <w:uiPriority w:val="99"/>
    <w:semiHidden/>
    <w:rsid w:val="003D393A"/>
    <w:rPr>
      <w:rFonts w:ascii="Tahoma" w:hAnsi="Tahoma" w:cs="Tahoma"/>
      <w:sz w:val="16"/>
      <w:szCs w:val="16"/>
      <w:lang w:eastAsia="he-IL"/>
    </w:rPr>
  </w:style>
  <w:style w:type="character" w:styleId="af2">
    <w:name w:val="page number"/>
    <w:rsid w:val="00C75DF2"/>
  </w:style>
  <w:style w:type="paragraph" w:customStyle="1" w:styleId="af3">
    <w:name w:val="פסוק"/>
    <w:basedOn w:val="ac"/>
    <w:qFormat/>
    <w:rsid w:val="003D393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6%d7%93%d7%a7%d7%aa%d7%9a-%d7%9b%d7%94%d7%a8%d7%a8%d7%99-%d7%90%d7%9c-%d7%95%d7%a2%d7%93-%d7%9e%d7%a8%d7%95%d7%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D-%D7%90%D7%93%D7%9D-%D7%97%D7%98%D7%90-%D7%91%D7%94%D7%9E%D7%94-%D7%91%D7%9E%D7%94-%D7%97%D7%98%D7%90%D7%94-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a8%d7%94%d7%9d-%d7%95%d7%93%d7%95%d7%a8-%d7%94%d6%b7%d7%a4%d6%bc%d6%b0%d7%9c%d6%b7%d7%92%d6%bc%d6%b8%d7%94" TargetMode="External"/><Relationship Id="rId2" Type="http://schemas.openxmlformats.org/officeDocument/2006/relationships/hyperlink" Target="https://www.mayim.org.il/?holiday=%D7%90%D7%A0%D7%A9%D7%99-%D7%A0%D7%99%D7%A0%D7%95%D7%94" TargetMode="External"/><Relationship Id="rId1" Type="http://schemas.openxmlformats.org/officeDocument/2006/relationships/hyperlink" Target="http://www.mayim.org.il/?parasha=%D7%90%D7%9D-%D7%90%D7%93%D7%9D-%D7%97%D7%98%D7%90-%D7%91%D7%94%D7%9E%D7%94-%D7%91%D7%9E%D7%94-%D7%97%D7%98%D7%90%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525</Words>
  <Characters>2627</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אדם ובהמה תושיע ה'</vt:lpstr>
      <vt:lpstr>אדם ובהמה תושיע ה'</vt:lpstr>
    </vt:vector>
  </TitlesOfParts>
  <Company> </Company>
  <LinksUpToDate>false</LinksUpToDate>
  <CharactersWithSpaces>3146</CharactersWithSpaces>
  <SharedDoc>false</SharedDoc>
  <HLinks>
    <vt:vector size="30" baseType="variant">
      <vt:variant>
        <vt:i4>8126524</vt:i4>
      </vt:variant>
      <vt:variant>
        <vt:i4>6</vt:i4>
      </vt:variant>
      <vt:variant>
        <vt:i4>0</vt:i4>
      </vt:variant>
      <vt:variant>
        <vt:i4>5</vt:i4>
      </vt:variant>
      <vt:variant>
        <vt:lpwstr>http://www.mayim.org.il/?parasha=%d7%a6%d7%93%d7%a7%d7%aa%d7%9a-%d7%9b%d7%94%d7%a8%d7%a8%d7%99-%d7%90%d7%9c-%d7%95%d7%a2%d7%93-%d7%9e%d7%a8%d7%95%d7%9d</vt:lpwstr>
      </vt:variant>
      <vt:variant>
        <vt:lpwstr/>
      </vt:variant>
      <vt:variant>
        <vt:i4>6946849</vt:i4>
      </vt:variant>
      <vt:variant>
        <vt:i4>3</vt:i4>
      </vt:variant>
      <vt:variant>
        <vt:i4>0</vt:i4>
      </vt:variant>
      <vt:variant>
        <vt:i4>5</vt:i4>
      </vt:variant>
      <vt:variant>
        <vt:lpwstr>http://www.mayim.org.il/?parasha=%D7%90%D7%9D-%D7%90%D7%93%D7%9D-%D7%97%D7%98%D7%90-%D7%91%D7%94%D7%9E%D7%94-%D7%91%D7%9E%D7%94-%D7%97%D7%98%D7%90%D7%94-2</vt:lpwstr>
      </vt:variant>
      <vt:variant>
        <vt:lpwstr/>
      </vt:variant>
      <vt:variant>
        <vt:i4>4522049</vt:i4>
      </vt:variant>
      <vt:variant>
        <vt:i4>6</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3</vt:i4>
      </vt:variant>
      <vt:variant>
        <vt:i4>0</vt:i4>
      </vt:variant>
      <vt:variant>
        <vt:i4>5</vt:i4>
      </vt:variant>
      <vt:variant>
        <vt:lpwstr>https://www.mayim.org.il/?holiday=%D7%90%D7%A0%D7%A9%D7%99-%D7%A0%D7%99%D7%A0%D7%95%D7%94</vt:lpwstr>
      </vt:variant>
      <vt:variant>
        <vt:lpwstr/>
      </vt:variant>
      <vt:variant>
        <vt:i4>6946849</vt:i4>
      </vt:variant>
      <vt:variant>
        <vt:i4>0</vt:i4>
      </vt:variant>
      <vt:variant>
        <vt:i4>0</vt:i4>
      </vt:variant>
      <vt:variant>
        <vt:i4>5</vt:i4>
      </vt:variant>
      <vt:variant>
        <vt:lpwstr>http://www.mayim.org.il/?parasha=%D7%90%D7%9D-%D7%90%D7%93%D7%9D-%D7%97%D7%98%D7%90-%D7%91%D7%94%D7%9E%D7%94-%D7%91%D7%9E%D7%94-%D7%97%D7%98%D7%90%D7%94-2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אדם ובהמה תושיע ה'</dc:title>
  <dc:subject>נח</dc:subject>
  <dc:creator>Asher Yuval</dc:creator>
  <cp:keywords/>
  <dc:description/>
  <cp:lastModifiedBy>Shimon Afek</cp:lastModifiedBy>
  <cp:revision>2</cp:revision>
  <cp:lastPrinted>2009-10-23T11:36:00Z</cp:lastPrinted>
  <dcterms:created xsi:type="dcterms:W3CDTF">2021-10-04T07:43:00Z</dcterms:created>
  <dcterms:modified xsi:type="dcterms:W3CDTF">2021-10-04T07:43:00Z</dcterms:modified>
</cp:coreProperties>
</file>