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5555" w14:textId="77777777" w:rsidR="001A4FA4" w:rsidRPr="0001649C" w:rsidRDefault="00443679" w:rsidP="00B3120A">
      <w:pPr>
        <w:pStyle w:val="aa"/>
        <w:rPr>
          <w:rFonts w:hint="cs"/>
          <w:rtl/>
        </w:rPr>
      </w:pPr>
      <w:r>
        <w:rPr>
          <w:rFonts w:hint="cs"/>
          <w:rtl/>
        </w:rPr>
        <w:t>החוט המשולש</w:t>
      </w:r>
    </w:p>
    <w:p w14:paraId="79488DE5" w14:textId="77777777" w:rsidR="00493A73" w:rsidRDefault="00443679" w:rsidP="004E3A00">
      <w:pPr>
        <w:pStyle w:val="ac"/>
        <w:spacing w:before="240"/>
        <w:rPr>
          <w:rFonts w:cs="Narkisim" w:hint="cs"/>
          <w:szCs w:val="22"/>
          <w:rtl/>
          <w:lang w:val="he-IL"/>
        </w:rPr>
      </w:pPr>
      <w:r w:rsidRPr="00443679">
        <w:rPr>
          <w:b/>
          <w:bCs/>
          <w:rtl/>
          <w:lang w:val="he-IL"/>
        </w:rPr>
        <w:t>טוֹבִים הַשְּׁנַיִם מִן־הָאֶחָד אֲשֶׁר יֵשׁ־לָהֶם שָׂכָר טוֹב בַּעֲמָלָם:</w:t>
      </w:r>
      <w:r>
        <w:rPr>
          <w:rFonts w:hint="cs"/>
          <w:b/>
          <w:bCs/>
          <w:rtl/>
          <w:lang w:val="he-IL"/>
        </w:rPr>
        <w:t xml:space="preserve"> </w:t>
      </w:r>
      <w:r w:rsidRPr="00443679">
        <w:rPr>
          <w:b/>
          <w:bCs/>
          <w:rtl/>
          <w:lang w:val="he-IL"/>
        </w:rPr>
        <w:t>כִּי אִם־יִפֹּלוּ הָאֶחָד יָקִים אֶת־חֲבֵרוֹ וְאִילוֹ הָאֶחָד שֶׁיִּפּוֹל וְאֵין שֵׁנִי לַהֲקִימוֹ:</w:t>
      </w:r>
      <w:r>
        <w:rPr>
          <w:rFonts w:hint="cs"/>
          <w:b/>
          <w:bCs/>
          <w:rtl/>
          <w:lang w:val="he-IL"/>
        </w:rPr>
        <w:t xml:space="preserve"> </w:t>
      </w:r>
      <w:r w:rsidRPr="00443679">
        <w:rPr>
          <w:b/>
          <w:bCs/>
          <w:rtl/>
          <w:lang w:val="he-IL"/>
        </w:rPr>
        <w:t>גַּם אִם־יִשְׁכְּבוּ שְׁנַיִם וְחַם לָהֶם וּלְאֶחָד אֵיךְ יֵחָם:</w:t>
      </w:r>
      <w:r>
        <w:rPr>
          <w:rFonts w:hint="cs"/>
          <w:b/>
          <w:bCs/>
          <w:rtl/>
          <w:lang w:val="he-IL"/>
        </w:rPr>
        <w:t xml:space="preserve"> </w:t>
      </w:r>
      <w:r w:rsidRPr="00443679">
        <w:rPr>
          <w:b/>
          <w:bCs/>
          <w:rtl/>
          <w:lang w:val="he-IL"/>
        </w:rPr>
        <w:t>וְאִם־יִתְקְפוֹ הָאֶחָד הַשְּׁנַיִם יַעַמְדוּ נֶגְדּוֹ וְהַחוּט הַמְשֻׁלָּשׁ לֹא בִמְהֵרָה יִנָּתֵק:</w:t>
      </w:r>
      <w:r w:rsidR="00493A73">
        <w:rPr>
          <w:rFonts w:hint="cs"/>
          <w:rtl/>
          <w:lang w:val="he-IL"/>
        </w:rPr>
        <w:t xml:space="preserve"> </w:t>
      </w:r>
      <w:r w:rsidR="00493A73">
        <w:rPr>
          <w:rFonts w:cs="Narkisim" w:hint="cs"/>
          <w:szCs w:val="22"/>
          <w:rtl/>
          <w:lang w:val="he-IL"/>
        </w:rPr>
        <w:t xml:space="preserve">(קהלת </w:t>
      </w:r>
      <w:r>
        <w:rPr>
          <w:rFonts w:cs="Narkisim" w:hint="cs"/>
          <w:szCs w:val="22"/>
          <w:rtl/>
          <w:lang w:val="he-IL"/>
        </w:rPr>
        <w:t>ד ט-יב</w:t>
      </w:r>
      <w:r w:rsidR="00493A73">
        <w:rPr>
          <w:rFonts w:cs="Narkisim" w:hint="cs"/>
          <w:szCs w:val="22"/>
          <w:rtl/>
          <w:lang w:val="he-IL"/>
        </w:rPr>
        <w:t>)</w:t>
      </w:r>
      <w:r w:rsidR="00FC138D">
        <w:rPr>
          <w:rFonts w:cs="Narkisim" w:hint="cs"/>
          <w:szCs w:val="22"/>
          <w:rtl/>
          <w:lang w:val="he-IL"/>
        </w:rPr>
        <w:t>.</w:t>
      </w:r>
      <w:r w:rsidR="00FD2A33">
        <w:rPr>
          <w:rStyle w:val="a5"/>
          <w:rFonts w:cs="Narkisim"/>
          <w:szCs w:val="22"/>
          <w:rtl/>
          <w:lang w:val="he-IL"/>
        </w:rPr>
        <w:footnoteReference w:id="1"/>
      </w:r>
    </w:p>
    <w:p w14:paraId="6F78793C" w14:textId="77777777" w:rsidR="00443679" w:rsidRDefault="00443679" w:rsidP="003E00F3">
      <w:pPr>
        <w:pStyle w:val="ab"/>
        <w:rPr>
          <w:rtl/>
        </w:rPr>
      </w:pPr>
      <w:r>
        <w:rPr>
          <w:rtl/>
        </w:rPr>
        <w:t>משנה מסכת קידושין פרק א משנה י</w:t>
      </w:r>
      <w:r w:rsidR="00D20C05">
        <w:rPr>
          <w:rFonts w:hint="cs"/>
          <w:rtl/>
        </w:rPr>
        <w:t xml:space="preserve"> </w:t>
      </w:r>
    </w:p>
    <w:p w14:paraId="7BCFD420" w14:textId="77777777" w:rsidR="00D368DA" w:rsidRDefault="003E00F3" w:rsidP="009434DF">
      <w:pPr>
        <w:pStyle w:val="ac"/>
        <w:rPr>
          <w:rFonts w:hint="cs"/>
          <w:rtl/>
        </w:rPr>
      </w:pPr>
      <w:r>
        <w:rPr>
          <w:rFonts w:hint="cs"/>
          <w:rtl/>
        </w:rPr>
        <w:t>...</w:t>
      </w:r>
      <w:r w:rsidR="00443679">
        <w:rPr>
          <w:rtl/>
        </w:rPr>
        <w:t xml:space="preserve"> כל שישנו במקרא ובמשנה ובדרך ארץ</w:t>
      </w:r>
      <w:r>
        <w:rPr>
          <w:rFonts w:hint="cs"/>
          <w:rtl/>
        </w:rPr>
        <w:t>,</w:t>
      </w:r>
      <w:r w:rsidR="00443679">
        <w:rPr>
          <w:rtl/>
        </w:rPr>
        <w:t xml:space="preserve"> לא במהרה הוא חוטא</w:t>
      </w:r>
      <w:r>
        <w:rPr>
          <w:rFonts w:hint="cs"/>
          <w:rtl/>
        </w:rPr>
        <w:t>,</w:t>
      </w:r>
      <w:r w:rsidR="00443679">
        <w:rPr>
          <w:rtl/>
        </w:rPr>
        <w:t xml:space="preserve"> שנאמר</w:t>
      </w:r>
      <w:r>
        <w:rPr>
          <w:rFonts w:hint="cs"/>
          <w:rtl/>
        </w:rPr>
        <w:t>:</w:t>
      </w:r>
      <w:r w:rsidR="00443679">
        <w:rPr>
          <w:rtl/>
        </w:rPr>
        <w:t xml:space="preserve"> </w:t>
      </w:r>
      <w:r>
        <w:rPr>
          <w:rFonts w:hint="cs"/>
          <w:rtl/>
        </w:rPr>
        <w:t>"</w:t>
      </w:r>
      <w:r w:rsidR="00443679">
        <w:rPr>
          <w:rtl/>
        </w:rPr>
        <w:t>והחוט המשולש לא במהרה ינתק</w:t>
      </w:r>
      <w:r>
        <w:rPr>
          <w:rFonts w:hint="cs"/>
          <w:rtl/>
        </w:rPr>
        <w:t xml:space="preserve">" </w:t>
      </w:r>
      <w:r>
        <w:rPr>
          <w:rtl/>
        </w:rPr>
        <w:t>(קהלת ד</w:t>
      </w:r>
      <w:r>
        <w:rPr>
          <w:rFonts w:hint="cs"/>
          <w:rtl/>
        </w:rPr>
        <w:t xml:space="preserve"> יב</w:t>
      </w:r>
      <w:r>
        <w:rPr>
          <w:rtl/>
        </w:rPr>
        <w:t>)</w:t>
      </w:r>
      <w:r>
        <w:rPr>
          <w:rFonts w:hint="cs"/>
          <w:rtl/>
        </w:rPr>
        <w:t>.</w:t>
      </w:r>
      <w:r w:rsidR="00443679">
        <w:rPr>
          <w:rtl/>
        </w:rPr>
        <w:t xml:space="preserve"> וכל שאינו לא במקרא ולא במשנה ולא בדרך ארץ</w:t>
      </w:r>
      <w:r>
        <w:rPr>
          <w:rFonts w:hint="cs"/>
          <w:rtl/>
        </w:rPr>
        <w:t>,</w:t>
      </w:r>
      <w:r w:rsidR="00443679">
        <w:rPr>
          <w:rtl/>
        </w:rPr>
        <w:t xml:space="preserve"> אינו מן הישוב</w:t>
      </w:r>
      <w:r>
        <w:rPr>
          <w:rFonts w:hint="cs"/>
          <w:rtl/>
        </w:rPr>
        <w:t>.</w:t>
      </w:r>
      <w:r w:rsidR="004E3A00">
        <w:rPr>
          <w:rStyle w:val="a5"/>
          <w:rtl/>
        </w:rPr>
        <w:footnoteReference w:id="2"/>
      </w:r>
    </w:p>
    <w:p w14:paraId="6F09CE07" w14:textId="77777777" w:rsidR="00056840" w:rsidRDefault="00056840" w:rsidP="004E3A00">
      <w:pPr>
        <w:pStyle w:val="ab"/>
        <w:rPr>
          <w:rFonts w:hint="cs"/>
          <w:rtl/>
        </w:rPr>
      </w:pPr>
      <w:r>
        <w:rPr>
          <w:rtl/>
        </w:rPr>
        <w:t>מסכת מנחות דף מג עמוד ב</w:t>
      </w:r>
      <w:r w:rsidR="00767FF3">
        <w:rPr>
          <w:rFonts w:hint="cs"/>
          <w:rtl/>
        </w:rPr>
        <w:t xml:space="preserve"> </w:t>
      </w:r>
      <w:r w:rsidR="00767FF3">
        <w:rPr>
          <w:rtl/>
        </w:rPr>
        <w:t>–</w:t>
      </w:r>
      <w:r w:rsidR="00767FF3">
        <w:rPr>
          <w:rFonts w:hint="cs"/>
          <w:rtl/>
        </w:rPr>
        <w:t xml:space="preserve"> משולש המצוות</w:t>
      </w:r>
    </w:p>
    <w:p w14:paraId="6631CCDD" w14:textId="77777777" w:rsidR="00056840" w:rsidRDefault="00056840" w:rsidP="004E3A00">
      <w:pPr>
        <w:pStyle w:val="ac"/>
        <w:rPr>
          <w:rFonts w:hint="cs"/>
          <w:rtl/>
        </w:rPr>
      </w:pPr>
      <w:r>
        <w:rPr>
          <w:rtl/>
        </w:rPr>
        <w:t xml:space="preserve">רבי אליעזר בן יעקב אומר: כל שיש לו תפילין בראשו ותפילין בזרועו וציצית בבגדו ומזוזה בפתחו, הכל בחיזוק שלא יחטא, שנאמר: </w:t>
      </w:r>
      <w:r w:rsidR="00D73CAC">
        <w:rPr>
          <w:rFonts w:hint="cs"/>
          <w:rtl/>
        </w:rPr>
        <w:t>"</w:t>
      </w:r>
      <w:r>
        <w:rPr>
          <w:rtl/>
        </w:rPr>
        <w:t>והחוט המשולש לא במהרה ינתק</w:t>
      </w:r>
      <w:r>
        <w:rPr>
          <w:rFonts w:hint="cs"/>
          <w:rtl/>
        </w:rPr>
        <w:t>".</w:t>
      </w:r>
      <w:r w:rsidR="00D73CAC">
        <w:rPr>
          <w:rStyle w:val="a5"/>
          <w:rtl/>
        </w:rPr>
        <w:footnoteReference w:id="3"/>
      </w:r>
    </w:p>
    <w:p w14:paraId="1F8D30E6" w14:textId="77777777" w:rsidR="00BB77C5" w:rsidRDefault="00BB77C5" w:rsidP="00BB77C5">
      <w:pPr>
        <w:pStyle w:val="ab"/>
        <w:rPr>
          <w:rtl/>
        </w:rPr>
      </w:pPr>
      <w:r>
        <w:rPr>
          <w:rtl/>
        </w:rPr>
        <w:t xml:space="preserve">תלמוד ירושלמי מסכת קידושין פרק א </w:t>
      </w:r>
      <w:r>
        <w:rPr>
          <w:rFonts w:hint="cs"/>
          <w:rtl/>
        </w:rPr>
        <w:t>הלכה ט</w:t>
      </w:r>
    </w:p>
    <w:p w14:paraId="0699AFA4" w14:textId="77777777" w:rsidR="00FE362E" w:rsidRDefault="00BB77C5" w:rsidP="003F63A4">
      <w:pPr>
        <w:pStyle w:val="ac"/>
        <w:rPr>
          <w:rFonts w:hint="cs"/>
          <w:rtl/>
        </w:rPr>
      </w:pPr>
      <w:r>
        <w:rPr>
          <w:rtl/>
        </w:rPr>
        <w:t>רבי ירמיה בשם רבי שמואל בר רב יצחק</w:t>
      </w:r>
      <w:r w:rsidR="009434DF">
        <w:rPr>
          <w:rFonts w:hint="cs"/>
          <w:rtl/>
        </w:rPr>
        <w:t>:</w:t>
      </w:r>
      <w:r>
        <w:rPr>
          <w:rtl/>
        </w:rPr>
        <w:t xml:space="preserve"> שומר את עצמו מן העבירה פעם ראשונה ושנייה ושלישית</w:t>
      </w:r>
      <w:r w:rsidR="009434DF">
        <w:rPr>
          <w:rFonts w:hint="cs"/>
          <w:rtl/>
        </w:rPr>
        <w:t>,</w:t>
      </w:r>
      <w:r>
        <w:rPr>
          <w:rtl/>
        </w:rPr>
        <w:t xml:space="preserve"> מיכן והילך </w:t>
      </w:r>
      <w:r w:rsidR="00C028E6">
        <w:rPr>
          <w:rtl/>
        </w:rPr>
        <w:t>הקב"ה</w:t>
      </w:r>
      <w:r>
        <w:rPr>
          <w:rtl/>
        </w:rPr>
        <w:t xml:space="preserve"> משמרו</w:t>
      </w:r>
      <w:r w:rsidR="009434DF">
        <w:rPr>
          <w:rFonts w:hint="cs"/>
          <w:rtl/>
        </w:rPr>
        <w:t>.</w:t>
      </w:r>
      <w:r>
        <w:rPr>
          <w:rtl/>
        </w:rPr>
        <w:t xml:space="preserve"> מה טעמא</w:t>
      </w:r>
      <w:r w:rsidR="009434DF">
        <w:rPr>
          <w:rFonts w:hint="cs"/>
          <w:rtl/>
        </w:rPr>
        <w:t>:</w:t>
      </w:r>
      <w:r>
        <w:rPr>
          <w:rtl/>
        </w:rPr>
        <w:t xml:space="preserve"> </w:t>
      </w:r>
      <w:r w:rsidR="009434DF">
        <w:rPr>
          <w:rFonts w:hint="cs"/>
          <w:rtl/>
        </w:rPr>
        <w:t>"</w:t>
      </w:r>
      <w:r>
        <w:rPr>
          <w:rtl/>
        </w:rPr>
        <w:t>הן כל אלה יפעל אל פעמיים שלש עם גבר</w:t>
      </w:r>
      <w:r w:rsidR="009434DF">
        <w:rPr>
          <w:rFonts w:hint="cs"/>
          <w:rtl/>
        </w:rPr>
        <w:t>"</w:t>
      </w:r>
      <w:r>
        <w:rPr>
          <w:rtl/>
        </w:rPr>
        <w:t xml:space="preserve"> </w:t>
      </w:r>
      <w:r w:rsidR="009434DF">
        <w:rPr>
          <w:rtl/>
        </w:rPr>
        <w:t>[איוב לג כט]</w:t>
      </w:r>
      <w:r w:rsidR="009434DF">
        <w:rPr>
          <w:rFonts w:hint="cs"/>
          <w:rtl/>
        </w:rPr>
        <w:t>.</w:t>
      </w:r>
      <w:r w:rsidR="009434DF">
        <w:rPr>
          <w:rtl/>
        </w:rPr>
        <w:t xml:space="preserve"> </w:t>
      </w:r>
      <w:r>
        <w:rPr>
          <w:rtl/>
        </w:rPr>
        <w:t>אמר רבי זעירא</w:t>
      </w:r>
      <w:r w:rsidR="009434DF">
        <w:rPr>
          <w:rFonts w:hint="cs"/>
          <w:rtl/>
        </w:rPr>
        <w:t>:</w:t>
      </w:r>
      <w:r>
        <w:rPr>
          <w:rtl/>
        </w:rPr>
        <w:t xml:space="preserve"> ובלחוד דלא יתוב ליה</w:t>
      </w:r>
      <w:r w:rsidR="009434DF">
        <w:rPr>
          <w:rFonts w:hint="cs"/>
          <w:rtl/>
        </w:rPr>
        <w:t>.</w:t>
      </w:r>
      <w:r w:rsidR="009434DF">
        <w:rPr>
          <w:rStyle w:val="a5"/>
          <w:rtl/>
        </w:rPr>
        <w:footnoteReference w:id="4"/>
      </w:r>
      <w:r>
        <w:rPr>
          <w:rtl/>
        </w:rPr>
        <w:t xml:space="preserve"> והחוט המשולש לא לעולם ינתק</w:t>
      </w:r>
      <w:r w:rsidR="003F63A4">
        <w:rPr>
          <w:rFonts w:hint="cs"/>
          <w:rtl/>
        </w:rPr>
        <w:t xml:space="preserve"> -</w:t>
      </w:r>
      <w:r>
        <w:rPr>
          <w:rtl/>
        </w:rPr>
        <w:t xml:space="preserve"> אין כתיב כאן</w:t>
      </w:r>
      <w:r w:rsidR="003F63A4">
        <w:rPr>
          <w:rFonts w:hint="cs"/>
          <w:rtl/>
        </w:rPr>
        <w:t>,</w:t>
      </w:r>
      <w:r>
        <w:rPr>
          <w:rtl/>
        </w:rPr>
        <w:t xml:space="preserve"> אלא</w:t>
      </w:r>
      <w:r w:rsidR="003F63A4">
        <w:rPr>
          <w:rFonts w:hint="cs"/>
          <w:rtl/>
        </w:rPr>
        <w:t>:</w:t>
      </w:r>
      <w:r>
        <w:rPr>
          <w:rtl/>
        </w:rPr>
        <w:t xml:space="preserve"> </w:t>
      </w:r>
      <w:r w:rsidR="003F63A4">
        <w:rPr>
          <w:rFonts w:hint="cs"/>
          <w:rtl/>
        </w:rPr>
        <w:t>"</w:t>
      </w:r>
      <w:r>
        <w:rPr>
          <w:rtl/>
        </w:rPr>
        <w:t>לא במהרה ינתק</w:t>
      </w:r>
      <w:r w:rsidR="003F63A4">
        <w:rPr>
          <w:rFonts w:hint="cs"/>
          <w:rtl/>
        </w:rPr>
        <w:t>" -</w:t>
      </w:r>
      <w:r>
        <w:rPr>
          <w:rtl/>
        </w:rPr>
        <w:t xml:space="preserve"> א</w:t>
      </w:r>
      <w:r w:rsidR="00EB2BE2">
        <w:rPr>
          <w:rtl/>
        </w:rPr>
        <w:t>ִ</w:t>
      </w:r>
      <w:r>
        <w:rPr>
          <w:rtl/>
        </w:rPr>
        <w:t>ין אטרחת עלוי מיפסק הוא</w:t>
      </w:r>
      <w:r w:rsidR="00EB2BE2">
        <w:rPr>
          <w:rFonts w:hint="cs"/>
          <w:rtl/>
        </w:rPr>
        <w:t xml:space="preserve"> (אם הטרחת עליו, נפסק הוא)</w:t>
      </w:r>
      <w:r w:rsidR="009434DF">
        <w:rPr>
          <w:rFonts w:hint="cs"/>
          <w:rtl/>
        </w:rPr>
        <w:t>.</w:t>
      </w:r>
      <w:r w:rsidR="001F21B0">
        <w:rPr>
          <w:rStyle w:val="a5"/>
          <w:rtl/>
        </w:rPr>
        <w:footnoteReference w:id="5"/>
      </w:r>
    </w:p>
    <w:p w14:paraId="50F3D003" w14:textId="77777777" w:rsidR="007966F2" w:rsidRDefault="007966F2" w:rsidP="007966F2">
      <w:pPr>
        <w:pStyle w:val="ab"/>
        <w:rPr>
          <w:rtl/>
        </w:rPr>
      </w:pPr>
      <w:r>
        <w:rPr>
          <w:rtl/>
        </w:rPr>
        <w:t xml:space="preserve">פסיקתא זוטרתא (לקח טוב) קהלת פרק ד </w:t>
      </w:r>
    </w:p>
    <w:p w14:paraId="347FEE17" w14:textId="77777777" w:rsidR="007966F2" w:rsidRDefault="007966F2" w:rsidP="007966F2">
      <w:pPr>
        <w:pStyle w:val="ac"/>
        <w:rPr>
          <w:rFonts w:hint="cs"/>
          <w:rtl/>
        </w:rPr>
      </w:pPr>
      <w:r>
        <w:rPr>
          <w:rtl/>
        </w:rPr>
        <w:t>ו</w:t>
      </w:r>
      <w:r>
        <w:rPr>
          <w:rFonts w:hint="cs"/>
          <w:rtl/>
        </w:rPr>
        <w:t>ה</w:t>
      </w:r>
      <w:r>
        <w:rPr>
          <w:rtl/>
        </w:rPr>
        <w:t>חוט המשולש</w:t>
      </w:r>
      <w:r>
        <w:rPr>
          <w:rFonts w:hint="cs"/>
          <w:rtl/>
        </w:rPr>
        <w:t xml:space="preserve"> - </w:t>
      </w:r>
      <w:r>
        <w:rPr>
          <w:rtl/>
        </w:rPr>
        <w:t>כל מי שהוא עוסק בתורה ובמעשים טובים ובדרך ארץ: לא במהרה ינתק. ואעפ"י שהוא ניתק</w:t>
      </w:r>
      <w:r>
        <w:rPr>
          <w:rFonts w:hint="cs"/>
          <w:rtl/>
        </w:rPr>
        <w:t xml:space="preserve"> </w:t>
      </w:r>
      <w:r>
        <w:rPr>
          <w:rtl/>
        </w:rPr>
        <w:t>–</w:t>
      </w:r>
      <w:r>
        <w:rPr>
          <w:rFonts w:hint="cs"/>
          <w:rtl/>
        </w:rPr>
        <w:t xml:space="preserve"> </w:t>
      </w:r>
      <w:r>
        <w:rPr>
          <w:rtl/>
        </w:rPr>
        <w:t>חוזר</w:t>
      </w:r>
      <w:r>
        <w:rPr>
          <w:rFonts w:hint="cs"/>
          <w:rtl/>
        </w:rPr>
        <w:t>:</w:t>
      </w:r>
      <w:r>
        <w:rPr>
          <w:rtl/>
        </w:rPr>
        <w:t xml:space="preserve"> התורה חוזרת על בית אכסניה שלה.</w:t>
      </w:r>
      <w:r w:rsidR="001C01BB">
        <w:rPr>
          <w:rStyle w:val="a5"/>
          <w:rtl/>
        </w:rPr>
        <w:footnoteReference w:id="6"/>
      </w:r>
    </w:p>
    <w:p w14:paraId="2ADDAA85" w14:textId="77777777" w:rsidR="00894F1A" w:rsidRDefault="00894F1A" w:rsidP="001546A2">
      <w:pPr>
        <w:pStyle w:val="ab"/>
        <w:rPr>
          <w:rtl/>
        </w:rPr>
      </w:pPr>
      <w:r>
        <w:rPr>
          <w:rtl/>
        </w:rPr>
        <w:lastRenderedPageBreak/>
        <w:t>מסכת אבות פרק א משנה ב</w:t>
      </w:r>
    </w:p>
    <w:p w14:paraId="14E372B5" w14:textId="77777777" w:rsidR="00894F1A" w:rsidRDefault="00894F1A" w:rsidP="00894F1A">
      <w:pPr>
        <w:pStyle w:val="ac"/>
        <w:rPr>
          <w:rFonts w:hint="cs"/>
          <w:rtl/>
        </w:rPr>
      </w:pPr>
      <w:r>
        <w:rPr>
          <w:rtl/>
        </w:rPr>
        <w:t>שמעון הצדיק היה משירי כנסת הגדולה</w:t>
      </w:r>
      <w:r>
        <w:rPr>
          <w:rFonts w:hint="cs"/>
          <w:rtl/>
        </w:rPr>
        <w:t>,</w:t>
      </w:r>
      <w:r>
        <w:rPr>
          <w:rtl/>
        </w:rPr>
        <w:t xml:space="preserve"> הוא היה אומר</w:t>
      </w:r>
      <w:r>
        <w:rPr>
          <w:rFonts w:hint="cs"/>
          <w:rtl/>
        </w:rPr>
        <w:t>:</w:t>
      </w:r>
      <w:r>
        <w:rPr>
          <w:rtl/>
        </w:rPr>
        <w:t xml:space="preserve"> על שלשה דברים העולם עומד</w:t>
      </w:r>
      <w:r>
        <w:rPr>
          <w:rFonts w:hint="cs"/>
          <w:rtl/>
        </w:rPr>
        <w:t>:</w:t>
      </w:r>
      <w:r>
        <w:rPr>
          <w:rtl/>
        </w:rPr>
        <w:t xml:space="preserve"> על התורה ועל העבודה ועל גמילות חסדים</w:t>
      </w:r>
      <w:r w:rsidR="002E3D91">
        <w:rPr>
          <w:rFonts w:hint="cs"/>
          <w:rtl/>
        </w:rPr>
        <w:t>.</w:t>
      </w:r>
      <w:r w:rsidR="002E3D91">
        <w:rPr>
          <w:rStyle w:val="a5"/>
          <w:rtl/>
        </w:rPr>
        <w:footnoteReference w:id="7"/>
      </w:r>
    </w:p>
    <w:p w14:paraId="74B43AAE" w14:textId="77777777" w:rsidR="00924117" w:rsidRDefault="00924117" w:rsidP="00924117">
      <w:pPr>
        <w:pStyle w:val="ab"/>
        <w:rPr>
          <w:rtl/>
        </w:rPr>
      </w:pPr>
      <w:r>
        <w:rPr>
          <w:rtl/>
        </w:rPr>
        <w:t xml:space="preserve">ספרי דברים פרשת האזינו פיסקא שיב </w:t>
      </w:r>
    </w:p>
    <w:p w14:paraId="413C1681" w14:textId="77777777" w:rsidR="009434DF" w:rsidRDefault="0062537D" w:rsidP="00924117">
      <w:pPr>
        <w:pStyle w:val="ac"/>
        <w:rPr>
          <w:rFonts w:hint="cs"/>
          <w:rtl/>
        </w:rPr>
      </w:pPr>
      <w:r>
        <w:rPr>
          <w:rFonts w:hint="cs"/>
          <w:rtl/>
        </w:rPr>
        <w:t>"</w:t>
      </w:r>
      <w:r w:rsidR="00924117">
        <w:rPr>
          <w:rtl/>
        </w:rPr>
        <w:t>יעקב חבל נחלתו</w:t>
      </w:r>
      <w:r>
        <w:rPr>
          <w:rFonts w:hint="cs"/>
          <w:rtl/>
        </w:rPr>
        <w:t>"</w:t>
      </w:r>
      <w:r w:rsidR="00924117">
        <w:rPr>
          <w:rFonts w:hint="cs"/>
          <w:rtl/>
        </w:rPr>
        <w:t xml:space="preserve"> ... </w:t>
      </w:r>
      <w:r w:rsidR="00924117">
        <w:rPr>
          <w:rtl/>
        </w:rPr>
        <w:t>מה חבל זה משולש</w:t>
      </w:r>
      <w:r w:rsidR="00924117">
        <w:rPr>
          <w:rFonts w:hint="cs"/>
          <w:rtl/>
        </w:rPr>
        <w:t>,</w:t>
      </w:r>
      <w:r w:rsidR="00924117">
        <w:rPr>
          <w:rtl/>
        </w:rPr>
        <w:t xml:space="preserve"> כך היה יעקב שלישי לאבות וקבל שכר כולם</w:t>
      </w:r>
      <w:r w:rsidR="00924117">
        <w:rPr>
          <w:rFonts w:hint="cs"/>
          <w:rtl/>
        </w:rPr>
        <w:t>.</w:t>
      </w:r>
      <w:r w:rsidR="00D6788F">
        <w:rPr>
          <w:rStyle w:val="a5"/>
          <w:rtl/>
        </w:rPr>
        <w:footnoteReference w:id="8"/>
      </w:r>
      <w:r w:rsidR="00924117">
        <w:rPr>
          <w:rtl/>
        </w:rPr>
        <w:t xml:space="preserve"> כשנולד אברהם מהו אומר</w:t>
      </w:r>
      <w:r w:rsidR="00924117">
        <w:rPr>
          <w:rFonts w:hint="cs"/>
          <w:rtl/>
        </w:rPr>
        <w:t>? "</w:t>
      </w:r>
      <w:r w:rsidR="00924117">
        <w:rPr>
          <w:rtl/>
        </w:rPr>
        <w:t>ואח לצרה יולד</w:t>
      </w:r>
      <w:r w:rsidR="00924117">
        <w:rPr>
          <w:rFonts w:hint="cs"/>
          <w:rtl/>
        </w:rPr>
        <w:t>" (</w:t>
      </w:r>
      <w:r w:rsidR="00924117">
        <w:rPr>
          <w:rtl/>
        </w:rPr>
        <w:t>משלי יז יז</w:t>
      </w:r>
      <w:r w:rsidR="00924117">
        <w:rPr>
          <w:rFonts w:hint="cs"/>
          <w:rtl/>
        </w:rPr>
        <w:t>).</w:t>
      </w:r>
      <w:r w:rsidR="0031239F">
        <w:rPr>
          <w:rStyle w:val="a5"/>
          <w:rtl/>
        </w:rPr>
        <w:footnoteReference w:id="9"/>
      </w:r>
      <w:r w:rsidR="00924117">
        <w:rPr>
          <w:rFonts w:hint="cs"/>
          <w:rtl/>
        </w:rPr>
        <w:t xml:space="preserve"> </w:t>
      </w:r>
      <w:r w:rsidR="00924117">
        <w:rPr>
          <w:rtl/>
        </w:rPr>
        <w:t>וכשנולד יצחק מהו אומר</w:t>
      </w:r>
      <w:r w:rsidR="00924117">
        <w:rPr>
          <w:rFonts w:hint="cs"/>
          <w:rtl/>
        </w:rPr>
        <w:t>?</w:t>
      </w:r>
      <w:r w:rsidR="00924117">
        <w:rPr>
          <w:rtl/>
        </w:rPr>
        <w:t xml:space="preserve"> </w:t>
      </w:r>
      <w:r w:rsidR="00924117">
        <w:rPr>
          <w:rFonts w:hint="cs"/>
          <w:rtl/>
        </w:rPr>
        <w:t>"</w:t>
      </w:r>
      <w:r w:rsidR="00924117">
        <w:rPr>
          <w:rtl/>
        </w:rPr>
        <w:t>טובים השנים מן האחד</w:t>
      </w:r>
      <w:r w:rsidR="00924117">
        <w:rPr>
          <w:rFonts w:hint="cs"/>
          <w:rtl/>
        </w:rPr>
        <w:t>" (</w:t>
      </w:r>
      <w:r w:rsidR="00924117">
        <w:rPr>
          <w:rtl/>
        </w:rPr>
        <w:t>קהלת ד ט</w:t>
      </w:r>
      <w:r w:rsidR="00924117">
        <w:rPr>
          <w:rFonts w:hint="cs"/>
          <w:rtl/>
        </w:rPr>
        <w:t>).</w:t>
      </w:r>
      <w:r w:rsidR="0031239F">
        <w:rPr>
          <w:rStyle w:val="a5"/>
          <w:rtl/>
        </w:rPr>
        <w:footnoteReference w:id="10"/>
      </w:r>
      <w:r w:rsidR="00924117">
        <w:rPr>
          <w:rFonts w:hint="cs"/>
          <w:rtl/>
        </w:rPr>
        <w:t xml:space="preserve"> </w:t>
      </w:r>
      <w:r w:rsidR="00924117">
        <w:rPr>
          <w:rtl/>
        </w:rPr>
        <w:t>וכשנולד יעקב מהו אומר</w:t>
      </w:r>
      <w:r w:rsidR="00924117">
        <w:rPr>
          <w:rFonts w:hint="cs"/>
          <w:rtl/>
        </w:rPr>
        <w:t>?</w:t>
      </w:r>
      <w:r w:rsidR="00924117">
        <w:rPr>
          <w:rtl/>
        </w:rPr>
        <w:t xml:space="preserve"> </w:t>
      </w:r>
      <w:r w:rsidR="00924117">
        <w:rPr>
          <w:rFonts w:hint="cs"/>
          <w:rtl/>
        </w:rPr>
        <w:t>"</w:t>
      </w:r>
      <w:r w:rsidR="00924117">
        <w:rPr>
          <w:rtl/>
        </w:rPr>
        <w:t>והחוט המשולש לא במהרה ינתק</w:t>
      </w:r>
      <w:r w:rsidR="00924117">
        <w:rPr>
          <w:rFonts w:hint="cs"/>
          <w:rtl/>
        </w:rPr>
        <w:t>" (</w:t>
      </w:r>
      <w:r w:rsidR="00924117">
        <w:rPr>
          <w:rtl/>
        </w:rPr>
        <w:t>שם ד יב</w:t>
      </w:r>
      <w:r w:rsidR="00924117">
        <w:rPr>
          <w:rFonts w:hint="cs"/>
          <w:rtl/>
        </w:rPr>
        <w:t>).</w:t>
      </w:r>
      <w:r w:rsidR="008D0346">
        <w:rPr>
          <w:rStyle w:val="a5"/>
          <w:rtl/>
        </w:rPr>
        <w:footnoteReference w:id="11"/>
      </w:r>
    </w:p>
    <w:p w14:paraId="39381EEB" w14:textId="77777777" w:rsidR="00FE362E" w:rsidRDefault="00FE362E" w:rsidP="00BB77C5">
      <w:pPr>
        <w:pStyle w:val="ab"/>
        <w:rPr>
          <w:rtl/>
        </w:rPr>
      </w:pPr>
      <w:r>
        <w:rPr>
          <w:rtl/>
        </w:rPr>
        <w:t xml:space="preserve">ספרי דברים פרשת נצבים פיסקא שה </w:t>
      </w:r>
    </w:p>
    <w:p w14:paraId="3906DEDC" w14:textId="77777777" w:rsidR="00FE362E" w:rsidRDefault="00FE362E" w:rsidP="00450244">
      <w:pPr>
        <w:pStyle w:val="ac"/>
        <w:rPr>
          <w:rFonts w:hint="cs"/>
          <w:rtl/>
        </w:rPr>
      </w:pPr>
      <w:r>
        <w:rPr>
          <w:rFonts w:hint="cs"/>
          <w:rtl/>
        </w:rPr>
        <w:t xml:space="preserve">... </w:t>
      </w:r>
      <w:r w:rsidR="00C46BA2">
        <w:rPr>
          <w:rFonts w:hint="cs"/>
          <w:rtl/>
        </w:rPr>
        <w:t>"</w:t>
      </w:r>
      <w:r>
        <w:rPr>
          <w:rtl/>
        </w:rPr>
        <w:t>קח לך</w:t>
      </w:r>
      <w:r w:rsidR="00C46BA2">
        <w:rPr>
          <w:rFonts w:hint="cs"/>
          <w:rtl/>
        </w:rPr>
        <w:t>"</w:t>
      </w:r>
      <w:r w:rsidR="00B2041E">
        <w:rPr>
          <w:rStyle w:val="a5"/>
          <w:rtl/>
        </w:rPr>
        <w:footnoteReference w:id="12"/>
      </w:r>
      <w:r w:rsidR="00C46BA2">
        <w:rPr>
          <w:rFonts w:hint="cs"/>
          <w:rtl/>
        </w:rPr>
        <w:t xml:space="preserve"> -</w:t>
      </w:r>
      <w:r>
        <w:rPr>
          <w:rtl/>
        </w:rPr>
        <w:t xml:space="preserve"> אינו אלא בלקיחה</w:t>
      </w:r>
      <w:r w:rsidR="00BF63EA">
        <w:rPr>
          <w:rFonts w:hint="cs"/>
          <w:rtl/>
        </w:rPr>
        <w:t>,</w:t>
      </w:r>
      <w:r>
        <w:rPr>
          <w:rtl/>
        </w:rPr>
        <w:t xml:space="preserve"> לפי שאין חבר נקנה אלא בקשי קשין</w:t>
      </w:r>
      <w:r w:rsidR="00C46BA2">
        <w:rPr>
          <w:rFonts w:hint="cs"/>
          <w:rtl/>
        </w:rPr>
        <w:t>.</w:t>
      </w:r>
      <w:r w:rsidR="00464D18">
        <w:rPr>
          <w:rStyle w:val="a5"/>
          <w:rtl/>
        </w:rPr>
        <w:footnoteReference w:id="13"/>
      </w:r>
      <w:r>
        <w:rPr>
          <w:rtl/>
        </w:rPr>
        <w:t xml:space="preserve"> מכאן אמרו</w:t>
      </w:r>
      <w:r w:rsidR="00C46BA2">
        <w:rPr>
          <w:rFonts w:hint="cs"/>
          <w:rtl/>
        </w:rPr>
        <w:t>:</w:t>
      </w:r>
      <w:r>
        <w:rPr>
          <w:rtl/>
        </w:rPr>
        <w:t xml:space="preserve"> יקנה אדם חבר לעצמו שיהא קורא עמו ושונה עמו אוכל עמו ושותה עמו וגולה לו סתריו</w:t>
      </w:r>
      <w:r w:rsidR="00C46BA2">
        <w:rPr>
          <w:rFonts w:hint="cs"/>
          <w:rtl/>
        </w:rPr>
        <w:t>.</w:t>
      </w:r>
      <w:r>
        <w:rPr>
          <w:rtl/>
        </w:rPr>
        <w:t xml:space="preserve"> וכן הוא אומר</w:t>
      </w:r>
      <w:r w:rsidR="006D7A73">
        <w:rPr>
          <w:rFonts w:hint="cs"/>
          <w:rtl/>
        </w:rPr>
        <w:t>: "</w:t>
      </w:r>
      <w:r>
        <w:rPr>
          <w:rtl/>
        </w:rPr>
        <w:t>טובים השנים מן האחד</w:t>
      </w:r>
      <w:r w:rsidR="006D7A73">
        <w:rPr>
          <w:rFonts w:hint="cs"/>
          <w:rtl/>
        </w:rPr>
        <w:t>"</w:t>
      </w:r>
      <w:r w:rsidR="00A824D8">
        <w:rPr>
          <w:rFonts w:hint="cs"/>
          <w:rtl/>
        </w:rPr>
        <w:t>.</w:t>
      </w:r>
      <w:r w:rsidR="00450244">
        <w:rPr>
          <w:rStyle w:val="a5"/>
          <w:rtl/>
        </w:rPr>
        <w:footnoteReference w:id="14"/>
      </w:r>
      <w:r w:rsidR="006D7A73">
        <w:rPr>
          <w:rFonts w:hint="cs"/>
          <w:rtl/>
        </w:rPr>
        <w:t xml:space="preserve"> "</w:t>
      </w:r>
      <w:r>
        <w:rPr>
          <w:rtl/>
        </w:rPr>
        <w:t>והחוט המשולש לא במהרה ינתק</w:t>
      </w:r>
      <w:r w:rsidR="006D7A73">
        <w:rPr>
          <w:rFonts w:hint="cs"/>
          <w:rtl/>
        </w:rPr>
        <w:t>"</w:t>
      </w:r>
      <w:r w:rsidR="00450244">
        <w:rPr>
          <w:rFonts w:hint="cs"/>
          <w:rtl/>
        </w:rPr>
        <w:t xml:space="preserve"> - </w:t>
      </w:r>
      <w:r w:rsidR="00450244">
        <w:rPr>
          <w:rtl/>
        </w:rPr>
        <w:t xml:space="preserve">משיב </w:t>
      </w:r>
      <w:r w:rsidR="00450244">
        <w:rPr>
          <w:rFonts w:hint="cs"/>
          <w:rtl/>
        </w:rPr>
        <w:t>הקב"ה</w:t>
      </w:r>
      <w:r w:rsidR="00450244">
        <w:rPr>
          <w:rtl/>
        </w:rPr>
        <w:t xml:space="preserve"> ואומר לו למשה</w:t>
      </w:r>
      <w:r w:rsidR="00450244">
        <w:rPr>
          <w:rFonts w:hint="cs"/>
          <w:rtl/>
        </w:rPr>
        <w:t>:</w:t>
      </w:r>
      <w:r w:rsidR="00450244">
        <w:rPr>
          <w:rtl/>
        </w:rPr>
        <w:t xml:space="preserve"> תן לו תורגמן ליהושע ויהא שואל ודורש ומורה הוריות בחייך</w:t>
      </w:r>
      <w:r w:rsidR="00450244">
        <w:rPr>
          <w:rFonts w:hint="cs"/>
          <w:rtl/>
        </w:rPr>
        <w:t>.</w:t>
      </w:r>
      <w:r w:rsidR="00450244">
        <w:rPr>
          <w:rtl/>
        </w:rPr>
        <w:t xml:space="preserve"> שכשתפטר מן העולם לא יהו ישראל אומרים לו</w:t>
      </w:r>
      <w:r w:rsidR="00450244">
        <w:rPr>
          <w:rFonts w:hint="cs"/>
          <w:rtl/>
        </w:rPr>
        <w:t>:</w:t>
      </w:r>
      <w:r w:rsidR="00450244">
        <w:rPr>
          <w:rtl/>
        </w:rPr>
        <w:t xml:space="preserve"> בחיי רבך לא היית מדבר ועכשיו אתה מדבר</w:t>
      </w:r>
      <w:r w:rsidR="00450244">
        <w:rPr>
          <w:rFonts w:hint="cs"/>
          <w:rtl/>
        </w:rPr>
        <w:t>?</w:t>
      </w:r>
      <w:r w:rsidR="00553C88">
        <w:rPr>
          <w:rStyle w:val="a5"/>
          <w:rtl/>
        </w:rPr>
        <w:footnoteReference w:id="15"/>
      </w:r>
    </w:p>
    <w:p w14:paraId="57A06E52" w14:textId="77777777" w:rsidR="007518DD" w:rsidRDefault="007518DD" w:rsidP="007518DD">
      <w:pPr>
        <w:pStyle w:val="ab"/>
        <w:rPr>
          <w:rFonts w:hint="cs"/>
          <w:rtl/>
        </w:rPr>
      </w:pPr>
      <w:r>
        <w:rPr>
          <w:rtl/>
        </w:rPr>
        <w:lastRenderedPageBreak/>
        <w:t xml:space="preserve">רש"י קהלת פרק ד </w:t>
      </w:r>
      <w:r>
        <w:rPr>
          <w:rFonts w:hint="cs"/>
          <w:rtl/>
        </w:rPr>
        <w:t xml:space="preserve">פסוק </w:t>
      </w:r>
      <w:r>
        <w:rPr>
          <w:rtl/>
        </w:rPr>
        <w:t>יב</w:t>
      </w:r>
    </w:p>
    <w:p w14:paraId="40B515CF" w14:textId="77777777" w:rsidR="007518DD" w:rsidRDefault="007518DD" w:rsidP="00010902">
      <w:pPr>
        <w:pStyle w:val="ac"/>
        <w:rPr>
          <w:rFonts w:hint="cs"/>
          <w:rtl/>
        </w:rPr>
      </w:pPr>
      <w:r>
        <w:rPr>
          <w:rtl/>
        </w:rPr>
        <w:t>ואם יתקפו האחד - אם באו לסטי</w:t>
      </w:r>
      <w:r>
        <w:rPr>
          <w:rFonts w:hint="cs"/>
          <w:rtl/>
        </w:rPr>
        <w:t>ם</w:t>
      </w:r>
      <w:r>
        <w:rPr>
          <w:rtl/>
        </w:rPr>
        <w:t xml:space="preserve"> עליו לתקפו</w:t>
      </w:r>
      <w:r>
        <w:rPr>
          <w:rFonts w:hint="cs"/>
          <w:rtl/>
        </w:rPr>
        <w:t>,</w:t>
      </w:r>
      <w:r>
        <w:rPr>
          <w:rtl/>
        </w:rPr>
        <w:t xml:space="preserve"> אם שנים הם</w:t>
      </w:r>
      <w:r w:rsidR="00010902">
        <w:rPr>
          <w:rFonts w:hint="cs"/>
          <w:rtl/>
        </w:rPr>
        <w:t>,</w:t>
      </w:r>
      <w:r>
        <w:rPr>
          <w:rtl/>
        </w:rPr>
        <w:t xml:space="preserve"> יעמדו לנגדו</w:t>
      </w:r>
      <w:r w:rsidR="00010902">
        <w:rPr>
          <w:rFonts w:hint="cs"/>
          <w:rtl/>
        </w:rPr>
        <w:t>.</w:t>
      </w:r>
      <w:r>
        <w:rPr>
          <w:rtl/>
        </w:rPr>
        <w:t xml:space="preserve"> וכ</w:t>
      </w:r>
      <w:r>
        <w:rPr>
          <w:rFonts w:hint="cs"/>
          <w:rtl/>
        </w:rPr>
        <w:t xml:space="preserve">ל שכן </w:t>
      </w:r>
      <w:r>
        <w:rPr>
          <w:rtl/>
        </w:rPr>
        <w:t xml:space="preserve">אם ג' הם </w:t>
      </w:r>
      <w:r w:rsidR="00010902">
        <w:rPr>
          <w:rFonts w:hint="cs"/>
          <w:rtl/>
        </w:rPr>
        <w:t>"</w:t>
      </w:r>
      <w:r>
        <w:rPr>
          <w:rtl/>
        </w:rPr>
        <w:t>והחוט המש</w:t>
      </w:r>
      <w:r>
        <w:rPr>
          <w:rFonts w:hint="cs"/>
          <w:rtl/>
        </w:rPr>
        <w:t>ו</w:t>
      </w:r>
      <w:r>
        <w:rPr>
          <w:rtl/>
        </w:rPr>
        <w:t>לש לא במהרה ינתק</w:t>
      </w:r>
      <w:r w:rsidR="00010902">
        <w:rPr>
          <w:rFonts w:hint="cs"/>
          <w:rtl/>
        </w:rPr>
        <w:t>"</w:t>
      </w:r>
      <w:r>
        <w:rPr>
          <w:rFonts w:hint="cs"/>
          <w:rtl/>
        </w:rPr>
        <w:t>.</w:t>
      </w:r>
      <w:r w:rsidR="00010902">
        <w:rPr>
          <w:rStyle w:val="a5"/>
          <w:rtl/>
        </w:rPr>
        <w:footnoteReference w:id="16"/>
      </w:r>
      <w:r>
        <w:rPr>
          <w:rFonts w:hint="cs"/>
          <w:rtl/>
        </w:rPr>
        <w:t xml:space="preserve"> דבר אחר: </w:t>
      </w:r>
      <w:r>
        <w:rPr>
          <w:rtl/>
        </w:rPr>
        <w:t>מי שהוא ת</w:t>
      </w:r>
      <w:r>
        <w:rPr>
          <w:rFonts w:hint="cs"/>
          <w:rtl/>
        </w:rPr>
        <w:t xml:space="preserve">למיד חכם </w:t>
      </w:r>
      <w:r>
        <w:rPr>
          <w:rtl/>
        </w:rPr>
        <w:t>ובנו ובן בנו</w:t>
      </w:r>
      <w:r>
        <w:rPr>
          <w:rFonts w:hint="cs"/>
          <w:rtl/>
        </w:rPr>
        <w:t>,</w:t>
      </w:r>
      <w:r>
        <w:rPr>
          <w:rtl/>
        </w:rPr>
        <w:t xml:space="preserve"> שוב אין תורה פוסקת מזרעו</w:t>
      </w:r>
      <w:r w:rsidR="00010902">
        <w:rPr>
          <w:rFonts w:hint="cs"/>
          <w:rtl/>
        </w:rPr>
        <w:t>,</w:t>
      </w:r>
      <w:r>
        <w:rPr>
          <w:rtl/>
        </w:rPr>
        <w:t xml:space="preserve"> וכן הוא אומר</w:t>
      </w:r>
      <w:r w:rsidR="00010902">
        <w:rPr>
          <w:rFonts w:hint="cs"/>
          <w:rtl/>
        </w:rPr>
        <w:t>:</w:t>
      </w:r>
      <w:r>
        <w:rPr>
          <w:rtl/>
        </w:rPr>
        <w:t xml:space="preserve"> </w:t>
      </w:r>
      <w:r w:rsidR="00010902">
        <w:rPr>
          <w:rFonts w:hint="cs"/>
          <w:rtl/>
        </w:rPr>
        <w:t>"</w:t>
      </w:r>
      <w:r>
        <w:rPr>
          <w:rtl/>
        </w:rPr>
        <w:t>לא ימושו מפיך ומפי זרעך ומפי זרע זרעך</w:t>
      </w:r>
      <w:r w:rsidR="00010902">
        <w:rPr>
          <w:rFonts w:hint="cs"/>
          <w:rtl/>
        </w:rPr>
        <w:t xml:space="preserve">" </w:t>
      </w:r>
      <w:r w:rsidR="00010902">
        <w:rPr>
          <w:rtl/>
        </w:rPr>
        <w:t>(ישעיה נט)</w:t>
      </w:r>
      <w:r>
        <w:rPr>
          <w:rFonts w:hint="cs"/>
          <w:rtl/>
        </w:rPr>
        <w:t xml:space="preserve">. דבר אחר: </w:t>
      </w:r>
      <w:r>
        <w:rPr>
          <w:rtl/>
        </w:rPr>
        <w:t>חוט המשולש</w:t>
      </w:r>
      <w:r>
        <w:rPr>
          <w:rFonts w:hint="cs"/>
          <w:rtl/>
        </w:rPr>
        <w:t>:</w:t>
      </w:r>
      <w:r>
        <w:rPr>
          <w:rtl/>
        </w:rPr>
        <w:t xml:space="preserve"> במקרא ובמשנה ובדרך ארץ </w:t>
      </w:r>
      <w:r w:rsidR="00010902">
        <w:rPr>
          <w:rFonts w:hint="cs"/>
          <w:rtl/>
        </w:rPr>
        <w:t xml:space="preserve">- </w:t>
      </w:r>
      <w:r>
        <w:rPr>
          <w:rtl/>
        </w:rPr>
        <w:t>לא במהרה הוא חוטא</w:t>
      </w:r>
      <w:r>
        <w:rPr>
          <w:rFonts w:hint="cs"/>
          <w:rtl/>
        </w:rPr>
        <w:t>.</w:t>
      </w:r>
      <w:r w:rsidR="00994C73">
        <w:rPr>
          <w:rStyle w:val="a5"/>
          <w:rtl/>
        </w:rPr>
        <w:footnoteReference w:id="17"/>
      </w:r>
    </w:p>
    <w:p w14:paraId="7E126DC1" w14:textId="77777777" w:rsidR="008F1F27" w:rsidRDefault="008F1F27" w:rsidP="008F1F27">
      <w:pPr>
        <w:pStyle w:val="ab"/>
        <w:rPr>
          <w:rFonts w:hint="cs"/>
          <w:rtl/>
        </w:rPr>
      </w:pPr>
      <w:r>
        <w:rPr>
          <w:rFonts w:hint="cs"/>
          <w:rtl/>
        </w:rPr>
        <w:t xml:space="preserve">גמרא </w:t>
      </w:r>
      <w:r>
        <w:rPr>
          <w:rtl/>
        </w:rPr>
        <w:t xml:space="preserve">כתובות </w:t>
      </w:r>
      <w:r>
        <w:rPr>
          <w:rFonts w:hint="cs"/>
          <w:rtl/>
        </w:rPr>
        <w:t xml:space="preserve">דף </w:t>
      </w:r>
      <w:r>
        <w:rPr>
          <w:rtl/>
        </w:rPr>
        <w:t xml:space="preserve">סב עמוד ב </w:t>
      </w:r>
    </w:p>
    <w:p w14:paraId="240970DD" w14:textId="77777777" w:rsidR="008F1F27" w:rsidRDefault="008F1F27" w:rsidP="008F1F27">
      <w:pPr>
        <w:pStyle w:val="ac"/>
        <w:rPr>
          <w:rFonts w:hint="cs"/>
          <w:rtl/>
        </w:rPr>
      </w:pPr>
      <w:r w:rsidRPr="008B1CA0">
        <w:rPr>
          <w:rtl/>
        </w:rPr>
        <w:t>רבי חמא בר ביסא</w:t>
      </w:r>
      <w:r>
        <w:rPr>
          <w:rtl/>
        </w:rPr>
        <w:t xml:space="preserve"> אזיל יתיב תרי סרי שני בבי מדרשא. כי אתא, אמר: לא איעביד כדעביד בן חכינאי</w:t>
      </w:r>
      <w:r>
        <w:rPr>
          <w:rFonts w:hint="cs"/>
          <w:rtl/>
        </w:rPr>
        <w:t>.</w:t>
      </w:r>
      <w:r>
        <w:rPr>
          <w:rStyle w:val="a5"/>
          <w:rtl/>
        </w:rPr>
        <w:footnoteReference w:id="18"/>
      </w:r>
      <w:r>
        <w:rPr>
          <w:rFonts w:hint="cs"/>
          <w:rtl/>
        </w:rPr>
        <w:t xml:space="preserve"> הלך וישב בבית המדרש, </w:t>
      </w:r>
      <w:r>
        <w:rPr>
          <w:rtl/>
        </w:rPr>
        <w:t>שלח לבית</w:t>
      </w:r>
      <w:r>
        <w:rPr>
          <w:rFonts w:hint="cs"/>
          <w:rtl/>
        </w:rPr>
        <w:t>ו</w:t>
      </w:r>
      <w:r>
        <w:rPr>
          <w:rtl/>
        </w:rPr>
        <w:t xml:space="preserve">. </w:t>
      </w:r>
      <w:r>
        <w:rPr>
          <w:rFonts w:hint="cs"/>
          <w:rtl/>
        </w:rPr>
        <w:t xml:space="preserve">בא </w:t>
      </w:r>
      <w:r>
        <w:rPr>
          <w:rtl/>
        </w:rPr>
        <w:t>ר' אושעיא ב</w:t>
      </w:r>
      <w:r>
        <w:rPr>
          <w:rFonts w:hint="cs"/>
          <w:rtl/>
        </w:rPr>
        <w:t>נו וישב לפניו.</w:t>
      </w:r>
      <w:r>
        <w:rPr>
          <w:rStyle w:val="a5"/>
          <w:rtl/>
        </w:rPr>
        <w:footnoteReference w:id="19"/>
      </w:r>
      <w:r>
        <w:rPr>
          <w:rFonts w:hint="cs"/>
          <w:rtl/>
        </w:rPr>
        <w:t xml:space="preserve"> והיה שואל אותו (ר' הושעיה) </w:t>
      </w:r>
      <w:r>
        <w:rPr>
          <w:rtl/>
        </w:rPr>
        <w:t>שמעתא</w:t>
      </w:r>
      <w:r>
        <w:rPr>
          <w:rFonts w:hint="cs"/>
          <w:rtl/>
        </w:rPr>
        <w:t xml:space="preserve"> (הלכות). ראה ששמועותיו מחודדות</w:t>
      </w:r>
      <w:r>
        <w:rPr>
          <w:rtl/>
        </w:rPr>
        <w:t>, חלש</w:t>
      </w:r>
      <w:r>
        <w:rPr>
          <w:rFonts w:hint="cs"/>
          <w:rtl/>
        </w:rPr>
        <w:t>ה</w:t>
      </w:r>
      <w:r>
        <w:rPr>
          <w:rtl/>
        </w:rPr>
        <w:t xml:space="preserve"> דעת</w:t>
      </w:r>
      <w:r>
        <w:rPr>
          <w:rFonts w:hint="cs"/>
          <w:rtl/>
        </w:rPr>
        <w:t>ו</w:t>
      </w:r>
      <w:r>
        <w:rPr>
          <w:rtl/>
        </w:rPr>
        <w:t>, אמר: א</w:t>
      </w:r>
      <w:r>
        <w:rPr>
          <w:rFonts w:hint="cs"/>
          <w:rtl/>
        </w:rPr>
        <w:t xml:space="preserve">ם הייתי כאן, היה </w:t>
      </w:r>
      <w:r>
        <w:rPr>
          <w:rtl/>
        </w:rPr>
        <w:t>לי זרע כ</w:t>
      </w:r>
      <w:r>
        <w:rPr>
          <w:rFonts w:hint="cs"/>
          <w:rtl/>
        </w:rPr>
        <w:t>מו זה</w:t>
      </w:r>
      <w:r>
        <w:rPr>
          <w:rtl/>
        </w:rPr>
        <w:t>. על</w:t>
      </w:r>
      <w:r>
        <w:rPr>
          <w:rFonts w:hint="cs"/>
          <w:rtl/>
        </w:rPr>
        <w:t>ה לביתו, נכנס בנו. עמד האב (ר' חמא) לפניו.</w:t>
      </w:r>
      <w:r>
        <w:rPr>
          <w:rtl/>
        </w:rPr>
        <w:t xml:space="preserve"> הוא סבר, </w:t>
      </w:r>
      <w:r>
        <w:rPr>
          <w:rFonts w:hint="cs"/>
          <w:rtl/>
        </w:rPr>
        <w:t>לשאול אותו דבר הלכה הוא רוצה.</w:t>
      </w:r>
      <w:r>
        <w:rPr>
          <w:rtl/>
        </w:rPr>
        <w:t xml:space="preserve"> אמרה ל</w:t>
      </w:r>
      <w:r>
        <w:rPr>
          <w:rFonts w:hint="cs"/>
          <w:rtl/>
        </w:rPr>
        <w:t>ו אשתו</w:t>
      </w:r>
      <w:r>
        <w:rPr>
          <w:rtl/>
        </w:rPr>
        <w:t xml:space="preserve">: </w:t>
      </w:r>
      <w:r>
        <w:rPr>
          <w:rFonts w:hint="cs"/>
          <w:rtl/>
        </w:rPr>
        <w:t xml:space="preserve">האם יש אב שעומד בפני בנו? </w:t>
      </w:r>
      <w:r>
        <w:rPr>
          <w:rtl/>
        </w:rPr>
        <w:t>קר</w:t>
      </w:r>
      <w:r>
        <w:rPr>
          <w:rFonts w:hint="cs"/>
          <w:rtl/>
        </w:rPr>
        <w:t xml:space="preserve">א </w:t>
      </w:r>
      <w:r>
        <w:rPr>
          <w:rtl/>
        </w:rPr>
        <w:t>עלי</w:t>
      </w:r>
      <w:r>
        <w:rPr>
          <w:rFonts w:hint="cs"/>
          <w:rtl/>
        </w:rPr>
        <w:t>ו</w:t>
      </w:r>
      <w:r>
        <w:rPr>
          <w:rtl/>
        </w:rPr>
        <w:t xml:space="preserve"> </w:t>
      </w:r>
      <w:smartTag w:uri="urn:schemas-microsoft-com:office:smarttags" w:element="PersonName">
        <w:smartTagPr>
          <w:attr w:name="ProductID" w:val="רמי בר"/>
        </w:smartTagPr>
        <w:r>
          <w:rPr>
            <w:rtl/>
          </w:rPr>
          <w:t>רמי בר</w:t>
        </w:r>
      </w:smartTag>
      <w:r>
        <w:rPr>
          <w:rtl/>
        </w:rPr>
        <w:t xml:space="preserve"> חמא: </w:t>
      </w:r>
      <w:r>
        <w:rPr>
          <w:rFonts w:hint="cs"/>
          <w:rtl/>
        </w:rPr>
        <w:t>"</w:t>
      </w:r>
      <w:r>
        <w:rPr>
          <w:rtl/>
        </w:rPr>
        <w:t>החוט המשולש לא במהרה ינתק</w:t>
      </w:r>
      <w:r>
        <w:rPr>
          <w:rFonts w:hint="cs"/>
          <w:rtl/>
        </w:rPr>
        <w:t>" (</w:t>
      </w:r>
      <w:r>
        <w:rPr>
          <w:rtl/>
        </w:rPr>
        <w:t>קהלת ד</w:t>
      </w:r>
      <w:r>
        <w:rPr>
          <w:rFonts w:hint="cs"/>
          <w:rtl/>
        </w:rPr>
        <w:t xml:space="preserve"> יב)</w:t>
      </w:r>
      <w:r>
        <w:rPr>
          <w:rtl/>
        </w:rPr>
        <w:t xml:space="preserve"> - זה ר' אושעיא בנו של רבי חמא בר ביסא.</w:t>
      </w:r>
      <w:r>
        <w:rPr>
          <w:rStyle w:val="a5"/>
          <w:rtl/>
        </w:rPr>
        <w:footnoteReference w:id="20"/>
      </w:r>
      <w:r>
        <w:rPr>
          <w:rtl/>
        </w:rPr>
        <w:t xml:space="preserve"> </w:t>
      </w:r>
    </w:p>
    <w:p w14:paraId="193B898E" w14:textId="77777777" w:rsidR="008B1CA0" w:rsidRDefault="008B1CA0" w:rsidP="008B1CA0">
      <w:pPr>
        <w:pStyle w:val="ab"/>
        <w:rPr>
          <w:rtl/>
        </w:rPr>
      </w:pPr>
      <w:r>
        <w:rPr>
          <w:rFonts w:hint="cs"/>
          <w:rtl/>
        </w:rPr>
        <w:t xml:space="preserve">גמרא </w:t>
      </w:r>
      <w:r>
        <w:rPr>
          <w:rtl/>
        </w:rPr>
        <w:t xml:space="preserve">בבא בתרא דף נט עמוד א </w:t>
      </w:r>
    </w:p>
    <w:p w14:paraId="1C18DA10" w14:textId="77777777" w:rsidR="008F1F27" w:rsidRDefault="008B1CA0" w:rsidP="0020049F">
      <w:pPr>
        <w:pStyle w:val="ac"/>
        <w:rPr>
          <w:rFonts w:hint="cs"/>
          <w:rtl/>
        </w:rPr>
      </w:pPr>
      <w:r>
        <w:rPr>
          <w:rtl/>
        </w:rPr>
        <w:t>אמר רב יהודה אמר שמואל: צינור המקלח מים לחצר חברו, ובא בעל הגג לסותמו - בעל החצר מעכב עליו</w:t>
      </w:r>
      <w:r>
        <w:rPr>
          <w:rFonts w:hint="cs"/>
          <w:rtl/>
        </w:rPr>
        <w:t xml:space="preserve"> ...</w:t>
      </w:r>
      <w:r>
        <w:rPr>
          <w:rStyle w:val="a5"/>
          <w:rtl/>
        </w:rPr>
        <w:footnoteReference w:id="21"/>
      </w:r>
      <w:r>
        <w:rPr>
          <w:rtl/>
        </w:rPr>
        <w:t xml:space="preserve"> איתמר, רבי אושעיא אמר: מעכב, ר' חמא אמר: אינו מעכב. אזל שייליה לרבי ביסא, אמר להו: מעכב. קרי עליה רמי בר חמא: והחוט המשולש לא במהרה ינתק - זה רבי אושעיא בנו של רבי חמא בנו של רבי ביסא.</w:t>
      </w:r>
      <w:r w:rsidR="00EB2BE2">
        <w:rPr>
          <w:rStyle w:val="a5"/>
          <w:rtl/>
        </w:rPr>
        <w:footnoteReference w:id="22"/>
      </w:r>
    </w:p>
    <w:p w14:paraId="00726A9D" w14:textId="77777777" w:rsidR="00091918" w:rsidRDefault="00091918" w:rsidP="00091918">
      <w:pPr>
        <w:pStyle w:val="ab"/>
        <w:rPr>
          <w:rtl/>
        </w:rPr>
      </w:pPr>
      <w:r>
        <w:rPr>
          <w:rtl/>
        </w:rPr>
        <w:t xml:space="preserve">מסכת אבות דרבי נתן נוסחא א פרק יד </w:t>
      </w:r>
    </w:p>
    <w:p w14:paraId="4070B17F" w14:textId="77777777" w:rsidR="00091918" w:rsidRDefault="00091918" w:rsidP="00091918">
      <w:pPr>
        <w:pStyle w:val="ac"/>
        <w:rPr>
          <w:rFonts w:hint="cs"/>
          <w:rtl/>
        </w:rPr>
      </w:pPr>
      <w:r>
        <w:rPr>
          <w:rtl/>
        </w:rPr>
        <w:lastRenderedPageBreak/>
        <w:t>חמ</w:t>
      </w:r>
      <w:r w:rsidR="001D1188">
        <w:rPr>
          <w:rFonts w:hint="cs"/>
          <w:rtl/>
        </w:rPr>
        <w:t>י</w:t>
      </w:r>
      <w:r>
        <w:rPr>
          <w:rtl/>
        </w:rPr>
        <w:t>שה תלמידים היו לו לרבן יוחנן בן זכאי</w:t>
      </w:r>
      <w:r w:rsidR="001D1188">
        <w:rPr>
          <w:rFonts w:hint="cs"/>
          <w:rtl/>
        </w:rPr>
        <w:t>,</w:t>
      </w:r>
      <w:r>
        <w:rPr>
          <w:rtl/>
        </w:rPr>
        <w:t xml:space="preserve"> לכ</w:t>
      </w:r>
      <w:r w:rsidR="001D1188">
        <w:rPr>
          <w:rFonts w:hint="cs"/>
          <w:rtl/>
        </w:rPr>
        <w:t>ו</w:t>
      </w:r>
      <w:r>
        <w:rPr>
          <w:rtl/>
        </w:rPr>
        <w:t>לן קרא להן שמות. לאליעזר בן הורקנוס קרא</w:t>
      </w:r>
      <w:r w:rsidR="001D1188">
        <w:rPr>
          <w:rFonts w:hint="cs"/>
          <w:rtl/>
        </w:rPr>
        <w:t>:</w:t>
      </w:r>
      <w:r>
        <w:rPr>
          <w:rtl/>
        </w:rPr>
        <w:t xml:space="preserve"> בור סיד שאינו מאבד טיפה</w:t>
      </w:r>
      <w:r w:rsidR="001D1188">
        <w:rPr>
          <w:rFonts w:hint="cs"/>
          <w:rtl/>
        </w:rPr>
        <w:t>,</w:t>
      </w:r>
      <w:r>
        <w:rPr>
          <w:rtl/>
        </w:rPr>
        <w:t xml:space="preserve"> קנקן זפותה שמשמרת את יינה. ליהושע בן חנניה קרא לו</w:t>
      </w:r>
      <w:r w:rsidR="001D1188">
        <w:rPr>
          <w:rFonts w:hint="cs"/>
          <w:rtl/>
        </w:rPr>
        <w:t>:</w:t>
      </w:r>
      <w:r>
        <w:rPr>
          <w:rtl/>
        </w:rPr>
        <w:t xml:space="preserve"> חוט המשולש לא במהרה ינתק.</w:t>
      </w:r>
      <w:r w:rsidR="00C46BA2">
        <w:rPr>
          <w:rStyle w:val="a5"/>
          <w:rtl/>
        </w:rPr>
        <w:footnoteReference w:id="23"/>
      </w:r>
    </w:p>
    <w:p w14:paraId="3E563246" w14:textId="77777777" w:rsidR="00FE362E" w:rsidRDefault="00FE362E" w:rsidP="00493709">
      <w:pPr>
        <w:pStyle w:val="ab"/>
        <w:rPr>
          <w:rFonts w:hint="cs"/>
          <w:rtl/>
        </w:rPr>
      </w:pPr>
      <w:r>
        <w:rPr>
          <w:rtl/>
        </w:rPr>
        <w:t xml:space="preserve">קהלת רבה (וילנא) פרשה ד </w:t>
      </w:r>
      <w:r>
        <w:rPr>
          <w:rFonts w:hint="cs"/>
          <w:rtl/>
        </w:rPr>
        <w:t xml:space="preserve">סימן </w:t>
      </w:r>
      <w:r>
        <w:rPr>
          <w:rtl/>
        </w:rPr>
        <w:t>ט</w:t>
      </w:r>
    </w:p>
    <w:p w14:paraId="0BD38445" w14:textId="77777777" w:rsidR="00FE362E" w:rsidRDefault="00C659CA" w:rsidP="00C659CA">
      <w:pPr>
        <w:pStyle w:val="ac"/>
        <w:rPr>
          <w:rFonts w:hint="cs"/>
          <w:rtl/>
        </w:rPr>
      </w:pPr>
      <w:r>
        <w:rPr>
          <w:rFonts w:hint="cs"/>
          <w:rtl/>
        </w:rPr>
        <w:t>"</w:t>
      </w:r>
      <w:r w:rsidR="00FE362E">
        <w:rPr>
          <w:rtl/>
        </w:rPr>
        <w:t>טובים השנים מן האחד</w:t>
      </w:r>
      <w:r>
        <w:rPr>
          <w:rFonts w:hint="cs"/>
          <w:rtl/>
        </w:rPr>
        <w:t xml:space="preserve">" - </w:t>
      </w:r>
      <w:r w:rsidR="00FE362E">
        <w:rPr>
          <w:rtl/>
        </w:rPr>
        <w:t xml:space="preserve">טובים השנים שהם יגעין בתורה, </w:t>
      </w:r>
      <w:r>
        <w:rPr>
          <w:rFonts w:hint="cs"/>
          <w:rtl/>
        </w:rPr>
        <w:t>"</w:t>
      </w:r>
      <w:r w:rsidR="00FE362E">
        <w:rPr>
          <w:rtl/>
        </w:rPr>
        <w:t>מן האחד</w:t>
      </w:r>
      <w:r>
        <w:rPr>
          <w:rFonts w:hint="cs"/>
          <w:rtl/>
        </w:rPr>
        <w:t>" -</w:t>
      </w:r>
      <w:r w:rsidR="00FE362E">
        <w:rPr>
          <w:rtl/>
        </w:rPr>
        <w:t xml:space="preserve"> שעוסק זה לעצמו וזה לעצמו</w:t>
      </w:r>
      <w:r w:rsidR="00FA0A89">
        <w:rPr>
          <w:rFonts w:hint="cs"/>
          <w:rtl/>
        </w:rPr>
        <w:t>. "</w:t>
      </w:r>
      <w:r w:rsidR="00FE362E">
        <w:rPr>
          <w:rtl/>
        </w:rPr>
        <w:t>כי אם יפולו האחד יקים את חברו</w:t>
      </w:r>
      <w:r w:rsidR="00FA0A89">
        <w:rPr>
          <w:rFonts w:hint="cs"/>
          <w:rtl/>
        </w:rPr>
        <w:t>" -</w:t>
      </w:r>
      <w:r w:rsidR="00FE362E">
        <w:rPr>
          <w:rtl/>
        </w:rPr>
        <w:t xml:space="preserve"> שאם שכח הלכה אחד מהם</w:t>
      </w:r>
      <w:r>
        <w:rPr>
          <w:rFonts w:hint="cs"/>
          <w:rtl/>
        </w:rPr>
        <w:t>,</w:t>
      </w:r>
      <w:r w:rsidR="00FE362E">
        <w:rPr>
          <w:rtl/>
        </w:rPr>
        <w:t xml:space="preserve"> חבירו מחזיר ההלכה</w:t>
      </w:r>
      <w:r>
        <w:rPr>
          <w:rFonts w:hint="cs"/>
          <w:rtl/>
        </w:rPr>
        <w:t>. "</w:t>
      </w:r>
      <w:r w:rsidR="00FE362E">
        <w:rPr>
          <w:rtl/>
        </w:rPr>
        <w:t>והחוט המשולש לא במהרה ינתק</w:t>
      </w:r>
      <w:r>
        <w:rPr>
          <w:rFonts w:hint="cs"/>
          <w:rtl/>
        </w:rPr>
        <w:t>" -</w:t>
      </w:r>
      <w:r w:rsidR="00FE362E">
        <w:rPr>
          <w:rtl/>
        </w:rPr>
        <w:t xml:space="preserve"> זה הרב שהוא מחזיר להם טעותן</w:t>
      </w:r>
      <w:r>
        <w:rPr>
          <w:rFonts w:hint="cs"/>
          <w:rtl/>
        </w:rPr>
        <w:t>.</w:t>
      </w:r>
      <w:r w:rsidR="001A13E3">
        <w:rPr>
          <w:rStyle w:val="a5"/>
          <w:rtl/>
        </w:rPr>
        <w:footnoteReference w:id="24"/>
      </w:r>
    </w:p>
    <w:p w14:paraId="4C860091" w14:textId="77777777" w:rsidR="00FA0A89" w:rsidRDefault="00493709" w:rsidP="00C659CA">
      <w:pPr>
        <w:pStyle w:val="ac"/>
        <w:rPr>
          <w:rFonts w:hint="cs"/>
          <w:rtl/>
        </w:rPr>
      </w:pPr>
      <w:r>
        <w:rPr>
          <w:rFonts w:hint="cs"/>
          <w:rtl/>
        </w:rPr>
        <w:t xml:space="preserve">דבר אחר: </w:t>
      </w:r>
      <w:r w:rsidR="00C659CA">
        <w:rPr>
          <w:rFonts w:hint="cs"/>
          <w:rtl/>
        </w:rPr>
        <w:t>"</w:t>
      </w:r>
      <w:r>
        <w:rPr>
          <w:rtl/>
        </w:rPr>
        <w:t>טובים השנים מן האחד</w:t>
      </w:r>
      <w:r w:rsidR="00C659CA">
        <w:rPr>
          <w:rFonts w:hint="cs"/>
          <w:rtl/>
        </w:rPr>
        <w:t xml:space="preserve">" - </w:t>
      </w:r>
      <w:r>
        <w:rPr>
          <w:rtl/>
        </w:rPr>
        <w:t>טובים השנים שהם נושאין ונותנין בפרקמטיא</w:t>
      </w:r>
      <w:r w:rsidR="00C659CA">
        <w:rPr>
          <w:rFonts w:hint="cs"/>
          <w:rtl/>
        </w:rPr>
        <w:t>,</w:t>
      </w:r>
      <w:r>
        <w:rPr>
          <w:rtl/>
        </w:rPr>
        <w:t xml:space="preserve"> </w:t>
      </w:r>
      <w:r w:rsidR="00C659CA">
        <w:rPr>
          <w:rFonts w:hint="cs"/>
          <w:rtl/>
        </w:rPr>
        <w:t>"</w:t>
      </w:r>
      <w:r>
        <w:rPr>
          <w:rtl/>
        </w:rPr>
        <w:t>מן האחד</w:t>
      </w:r>
      <w:r w:rsidR="00C659CA">
        <w:rPr>
          <w:rFonts w:hint="cs"/>
          <w:rtl/>
        </w:rPr>
        <w:t xml:space="preserve">" - </w:t>
      </w:r>
      <w:r>
        <w:rPr>
          <w:rtl/>
        </w:rPr>
        <w:t>זה לעצמו וזה לעצמו</w:t>
      </w:r>
      <w:r w:rsidR="00C659CA">
        <w:rPr>
          <w:rFonts w:hint="cs"/>
          <w:rtl/>
        </w:rPr>
        <w:t>. "</w:t>
      </w:r>
      <w:r>
        <w:rPr>
          <w:rtl/>
        </w:rPr>
        <w:t>כי אם יפ</w:t>
      </w:r>
      <w:r w:rsidR="00C659CA">
        <w:rPr>
          <w:rFonts w:hint="cs"/>
          <w:rtl/>
        </w:rPr>
        <w:t>ו</w:t>
      </w:r>
      <w:r>
        <w:rPr>
          <w:rtl/>
        </w:rPr>
        <w:t>לו</w:t>
      </w:r>
      <w:r w:rsidR="00C659CA">
        <w:rPr>
          <w:rFonts w:hint="cs"/>
          <w:rtl/>
        </w:rPr>
        <w:t>" -</w:t>
      </w:r>
      <w:r>
        <w:rPr>
          <w:rtl/>
        </w:rPr>
        <w:t xml:space="preserve"> שאם יפול ויסתכן אחד מהן</w:t>
      </w:r>
      <w:r w:rsidR="00C659CA">
        <w:rPr>
          <w:rFonts w:hint="cs"/>
          <w:rtl/>
        </w:rPr>
        <w:t>,</w:t>
      </w:r>
      <w:r>
        <w:rPr>
          <w:rtl/>
        </w:rPr>
        <w:t xml:space="preserve"> חבירו מעמידו</w:t>
      </w:r>
      <w:r w:rsidR="00C659CA">
        <w:rPr>
          <w:rFonts w:hint="cs"/>
          <w:rtl/>
        </w:rPr>
        <w:t>.</w:t>
      </w:r>
      <w:r>
        <w:rPr>
          <w:rtl/>
        </w:rPr>
        <w:t xml:space="preserve"> </w:t>
      </w:r>
      <w:r w:rsidR="00C659CA">
        <w:rPr>
          <w:rFonts w:hint="cs"/>
          <w:rtl/>
        </w:rPr>
        <w:t>"</w:t>
      </w:r>
      <w:r>
        <w:rPr>
          <w:rtl/>
        </w:rPr>
        <w:t>והחוט המשולש</w:t>
      </w:r>
      <w:r w:rsidR="00C659CA">
        <w:rPr>
          <w:rFonts w:hint="cs"/>
          <w:rtl/>
        </w:rPr>
        <w:t>" -</w:t>
      </w:r>
      <w:r>
        <w:rPr>
          <w:rtl/>
        </w:rPr>
        <w:t xml:space="preserve"> כד אינון תלת</w:t>
      </w:r>
      <w:r w:rsidR="00FA0A89">
        <w:rPr>
          <w:rFonts w:hint="cs"/>
          <w:rtl/>
        </w:rPr>
        <w:t>.</w:t>
      </w:r>
      <w:r w:rsidR="00C659CA">
        <w:rPr>
          <w:rStyle w:val="a5"/>
          <w:rtl/>
        </w:rPr>
        <w:footnoteReference w:id="25"/>
      </w:r>
    </w:p>
    <w:p w14:paraId="4BD088AD" w14:textId="77777777" w:rsidR="00493709" w:rsidRDefault="00FA0A89" w:rsidP="00C37FA6">
      <w:pPr>
        <w:pStyle w:val="ac"/>
        <w:rPr>
          <w:rFonts w:hint="cs"/>
          <w:rtl/>
        </w:rPr>
      </w:pPr>
      <w:r>
        <w:rPr>
          <w:rFonts w:hint="cs"/>
          <w:rtl/>
        </w:rPr>
        <w:t>רבי מאיר כאשר היה רואה</w:t>
      </w:r>
      <w:r w:rsidR="00C659CA">
        <w:rPr>
          <w:rFonts w:hint="cs"/>
          <w:rtl/>
        </w:rPr>
        <w:t xml:space="preserve"> אחד יוצא לדרך היה קורא אליו: </w:t>
      </w:r>
      <w:r w:rsidR="00493709">
        <w:rPr>
          <w:rtl/>
        </w:rPr>
        <w:t>של</w:t>
      </w:r>
      <w:r w:rsidR="00C659CA">
        <w:rPr>
          <w:rFonts w:hint="cs"/>
          <w:rtl/>
        </w:rPr>
        <w:t>ו</w:t>
      </w:r>
      <w:r w:rsidR="00493709">
        <w:rPr>
          <w:rtl/>
        </w:rPr>
        <w:t>ם על</w:t>
      </w:r>
      <w:r w:rsidR="00C659CA">
        <w:rPr>
          <w:rFonts w:hint="cs"/>
          <w:rtl/>
        </w:rPr>
        <w:t>י</w:t>
      </w:r>
      <w:r w:rsidR="00493709">
        <w:rPr>
          <w:rtl/>
        </w:rPr>
        <w:t xml:space="preserve">ך </w:t>
      </w:r>
      <w:r w:rsidR="00C659CA">
        <w:rPr>
          <w:rFonts w:hint="cs"/>
          <w:rtl/>
        </w:rPr>
        <w:t xml:space="preserve">בן </w:t>
      </w:r>
      <w:r w:rsidR="00493709">
        <w:rPr>
          <w:rtl/>
        </w:rPr>
        <w:t>מיתה</w:t>
      </w:r>
      <w:r w:rsidR="00C659CA">
        <w:rPr>
          <w:rFonts w:hint="cs"/>
          <w:rtl/>
        </w:rPr>
        <w:t>.</w:t>
      </w:r>
      <w:r w:rsidR="001A7ED7">
        <w:rPr>
          <w:rStyle w:val="a5"/>
          <w:rtl/>
        </w:rPr>
        <w:footnoteReference w:id="26"/>
      </w:r>
      <w:r w:rsidR="00C659CA">
        <w:rPr>
          <w:rFonts w:hint="cs"/>
          <w:rtl/>
        </w:rPr>
        <w:t xml:space="preserve"> שניים </w:t>
      </w:r>
      <w:r w:rsidR="00C659CA">
        <w:rPr>
          <w:rtl/>
        </w:rPr>
        <w:t>–</w:t>
      </w:r>
      <w:r w:rsidR="00C659CA">
        <w:rPr>
          <w:rFonts w:hint="cs"/>
          <w:rtl/>
        </w:rPr>
        <w:t xml:space="preserve"> היה קורא אליהם: שלום לכם </w:t>
      </w:r>
      <w:r w:rsidR="001A7ED7">
        <w:rPr>
          <w:rFonts w:hint="cs"/>
          <w:rtl/>
        </w:rPr>
        <w:t>בעלי קטטה.</w:t>
      </w:r>
      <w:r w:rsidR="000553BA">
        <w:rPr>
          <w:rStyle w:val="a5"/>
          <w:rtl/>
        </w:rPr>
        <w:footnoteReference w:id="27"/>
      </w:r>
      <w:r w:rsidR="001A7ED7">
        <w:rPr>
          <w:rFonts w:hint="cs"/>
          <w:rtl/>
        </w:rPr>
        <w:t xml:space="preserve"> שלושה </w:t>
      </w:r>
      <w:r w:rsidR="001A7ED7">
        <w:rPr>
          <w:rtl/>
        </w:rPr>
        <w:t>–</w:t>
      </w:r>
      <w:r w:rsidR="001A7ED7">
        <w:rPr>
          <w:rFonts w:hint="cs"/>
          <w:rtl/>
        </w:rPr>
        <w:t xml:space="preserve"> אמר להם: </w:t>
      </w:r>
      <w:r w:rsidR="00493709">
        <w:rPr>
          <w:rtl/>
        </w:rPr>
        <w:t>של</w:t>
      </w:r>
      <w:r w:rsidR="001A7ED7">
        <w:rPr>
          <w:rFonts w:hint="cs"/>
          <w:rtl/>
        </w:rPr>
        <w:t>ו</w:t>
      </w:r>
      <w:r w:rsidR="00493709">
        <w:rPr>
          <w:rtl/>
        </w:rPr>
        <w:t>ם לכ</w:t>
      </w:r>
      <w:r w:rsidR="001A7ED7">
        <w:rPr>
          <w:rFonts w:hint="cs"/>
          <w:rtl/>
        </w:rPr>
        <w:t>ם בעלי שלום.</w:t>
      </w:r>
      <w:r w:rsidR="00DC545B">
        <w:rPr>
          <w:rStyle w:val="a5"/>
          <w:rtl/>
        </w:rPr>
        <w:footnoteReference w:id="28"/>
      </w:r>
      <w:r w:rsidR="00493709">
        <w:rPr>
          <w:rtl/>
        </w:rPr>
        <w:t xml:space="preserve"> </w:t>
      </w:r>
    </w:p>
    <w:p w14:paraId="1A183210" w14:textId="77777777" w:rsidR="00493709" w:rsidRDefault="00493709" w:rsidP="00DC545B">
      <w:pPr>
        <w:pStyle w:val="ac"/>
        <w:rPr>
          <w:rFonts w:hint="cs"/>
          <w:rtl/>
        </w:rPr>
      </w:pPr>
      <w:r>
        <w:rPr>
          <w:rtl/>
        </w:rPr>
        <w:t>ר' יוחנן אמר</w:t>
      </w:r>
      <w:r>
        <w:rPr>
          <w:rFonts w:hint="cs"/>
          <w:rtl/>
        </w:rPr>
        <w:t>:</w:t>
      </w:r>
      <w:r>
        <w:rPr>
          <w:rtl/>
        </w:rPr>
        <w:t xml:space="preserve"> טובים השנים איש לאשתו, </w:t>
      </w:r>
      <w:r w:rsidR="001A7ED7">
        <w:rPr>
          <w:rFonts w:hint="cs"/>
          <w:rtl/>
        </w:rPr>
        <w:t>"</w:t>
      </w:r>
      <w:r>
        <w:rPr>
          <w:rtl/>
        </w:rPr>
        <w:t>מן הא</w:t>
      </w:r>
      <w:r w:rsidR="001A7ED7">
        <w:rPr>
          <w:rFonts w:hint="cs"/>
          <w:rtl/>
        </w:rPr>
        <w:t xml:space="preserve">חד" - </w:t>
      </w:r>
      <w:r>
        <w:rPr>
          <w:rtl/>
        </w:rPr>
        <w:t>זה לעצמו וזו לעצמה</w:t>
      </w:r>
      <w:r w:rsidR="00DC545B">
        <w:rPr>
          <w:rFonts w:hint="cs"/>
          <w:rtl/>
        </w:rPr>
        <w:t>.</w:t>
      </w:r>
      <w:r w:rsidR="00DC545B">
        <w:rPr>
          <w:rStyle w:val="a5"/>
          <w:rtl/>
        </w:rPr>
        <w:footnoteReference w:id="29"/>
      </w:r>
      <w:r>
        <w:rPr>
          <w:rtl/>
        </w:rPr>
        <w:t xml:space="preserve"> </w:t>
      </w:r>
      <w:r w:rsidR="001A7ED7">
        <w:rPr>
          <w:rFonts w:hint="cs"/>
          <w:rtl/>
        </w:rPr>
        <w:t>"</w:t>
      </w:r>
      <w:r>
        <w:rPr>
          <w:rtl/>
        </w:rPr>
        <w:t>והחוט המשולש</w:t>
      </w:r>
      <w:r w:rsidR="001A7ED7">
        <w:rPr>
          <w:rFonts w:hint="cs"/>
          <w:rtl/>
        </w:rPr>
        <w:t>"</w:t>
      </w:r>
      <w:r>
        <w:rPr>
          <w:rtl/>
        </w:rPr>
        <w:t xml:space="preserve"> </w:t>
      </w:r>
      <w:r w:rsidR="001A7ED7">
        <w:rPr>
          <w:rFonts w:hint="cs"/>
          <w:rtl/>
        </w:rPr>
        <w:t xml:space="preserve">- </w:t>
      </w:r>
      <w:r>
        <w:rPr>
          <w:rtl/>
        </w:rPr>
        <w:t xml:space="preserve">זה </w:t>
      </w:r>
      <w:r w:rsidR="00C028E6">
        <w:rPr>
          <w:rtl/>
        </w:rPr>
        <w:t>הקב"ה</w:t>
      </w:r>
      <w:r>
        <w:rPr>
          <w:rtl/>
        </w:rPr>
        <w:t xml:space="preserve"> שהוא פוקדן בבנים</w:t>
      </w:r>
      <w:r>
        <w:rPr>
          <w:rFonts w:hint="cs"/>
          <w:rtl/>
        </w:rPr>
        <w:t>.</w:t>
      </w:r>
      <w:r w:rsidR="00582E78">
        <w:rPr>
          <w:rStyle w:val="a5"/>
          <w:rtl/>
        </w:rPr>
        <w:footnoteReference w:id="30"/>
      </w:r>
    </w:p>
    <w:p w14:paraId="2D4541CB" w14:textId="77777777" w:rsidR="00123DE3" w:rsidRDefault="00123DE3" w:rsidP="002C4F53">
      <w:pPr>
        <w:pStyle w:val="ac"/>
        <w:rPr>
          <w:rFonts w:hint="cs"/>
          <w:rtl/>
        </w:rPr>
      </w:pPr>
      <w:r>
        <w:rPr>
          <w:rtl/>
        </w:rPr>
        <w:t>א"ר יצחק</w:t>
      </w:r>
      <w:r>
        <w:rPr>
          <w:rFonts w:hint="cs"/>
          <w:rtl/>
        </w:rPr>
        <w:t>:</w:t>
      </w:r>
      <w:r>
        <w:rPr>
          <w:rtl/>
        </w:rPr>
        <w:t xml:space="preserve"> טובה פרשה שנאמרה על פי שנים מפרשה שנאמרה ביחיד</w:t>
      </w:r>
      <w:r>
        <w:rPr>
          <w:rFonts w:hint="cs"/>
          <w:rtl/>
        </w:rPr>
        <w:t>.</w:t>
      </w:r>
      <w:r>
        <w:rPr>
          <w:rtl/>
        </w:rPr>
        <w:t xml:space="preserve"> בשנים, שנא</w:t>
      </w:r>
      <w:r>
        <w:rPr>
          <w:rFonts w:hint="cs"/>
          <w:rtl/>
        </w:rPr>
        <w:t>מר: "</w:t>
      </w:r>
      <w:r>
        <w:rPr>
          <w:rtl/>
        </w:rPr>
        <w:t>ויאמר ה' אל משה ואל אהרן בארץ מצרים לאמר הח</w:t>
      </w:r>
      <w:r>
        <w:rPr>
          <w:rFonts w:hint="cs"/>
          <w:rtl/>
        </w:rPr>
        <w:t>ו</w:t>
      </w:r>
      <w:r>
        <w:rPr>
          <w:rtl/>
        </w:rPr>
        <w:t>דש הזה לכם וגו'</w:t>
      </w:r>
      <w:r>
        <w:rPr>
          <w:rFonts w:hint="cs"/>
          <w:rtl/>
        </w:rPr>
        <w:t xml:space="preserve"> "</w:t>
      </w:r>
      <w:r w:rsidR="002C4F53">
        <w:rPr>
          <w:rFonts w:hint="cs"/>
          <w:rtl/>
        </w:rPr>
        <w:t xml:space="preserve"> </w:t>
      </w:r>
      <w:r>
        <w:rPr>
          <w:rtl/>
        </w:rPr>
        <w:t>(שמות יב), מפרשה שנאמרה ביחיד שנאמר</w:t>
      </w:r>
      <w:r>
        <w:rPr>
          <w:rFonts w:hint="cs"/>
          <w:rtl/>
        </w:rPr>
        <w:t>:</w:t>
      </w:r>
      <w:r>
        <w:rPr>
          <w:rtl/>
        </w:rPr>
        <w:t xml:space="preserve"> </w:t>
      </w:r>
      <w:r>
        <w:rPr>
          <w:rFonts w:hint="cs"/>
          <w:rtl/>
        </w:rPr>
        <w:t>"</w:t>
      </w:r>
      <w:r>
        <w:rPr>
          <w:rtl/>
        </w:rPr>
        <w:t xml:space="preserve">וידבר ה' </w:t>
      </w:r>
      <w:r>
        <w:rPr>
          <w:rtl/>
        </w:rPr>
        <w:lastRenderedPageBreak/>
        <w:t>אל משה לאמר</w:t>
      </w:r>
      <w:r>
        <w:rPr>
          <w:rFonts w:hint="cs"/>
          <w:rtl/>
        </w:rPr>
        <w:t xml:space="preserve">". </w:t>
      </w:r>
      <w:r>
        <w:rPr>
          <w:rtl/>
        </w:rPr>
        <w:t>והחוט המשולש</w:t>
      </w:r>
      <w:r w:rsidR="002C4F53">
        <w:rPr>
          <w:rFonts w:hint="cs"/>
          <w:rtl/>
        </w:rPr>
        <w:t>:</w:t>
      </w:r>
      <w:r>
        <w:rPr>
          <w:rtl/>
        </w:rPr>
        <w:t xml:space="preserve"> </w:t>
      </w:r>
      <w:r w:rsidR="002C4F53">
        <w:rPr>
          <w:rFonts w:hint="cs"/>
          <w:rtl/>
        </w:rPr>
        <w:t>"</w:t>
      </w:r>
      <w:r>
        <w:rPr>
          <w:rtl/>
        </w:rPr>
        <w:t>ויאמר ה' אל משה ואל אהרן לאמר אליהם</w:t>
      </w:r>
      <w:r w:rsidR="002C4F53">
        <w:rPr>
          <w:rFonts w:hint="cs"/>
          <w:rtl/>
        </w:rPr>
        <w:t xml:space="preserve">" </w:t>
      </w:r>
      <w:r w:rsidR="002C4F53">
        <w:rPr>
          <w:rtl/>
        </w:rPr>
        <w:t>(ויקרא יא</w:t>
      </w:r>
      <w:r w:rsidR="002C4F53">
        <w:rPr>
          <w:rFonts w:hint="cs"/>
          <w:rtl/>
        </w:rPr>
        <w:t xml:space="preserve"> א</w:t>
      </w:r>
      <w:r w:rsidR="002C4F53">
        <w:rPr>
          <w:rtl/>
        </w:rPr>
        <w:t xml:space="preserve">) </w:t>
      </w:r>
      <w:r w:rsidR="002C4F53">
        <w:rPr>
          <w:rFonts w:hint="cs"/>
          <w:rtl/>
        </w:rPr>
        <w:t>-</w:t>
      </w:r>
      <w:r>
        <w:rPr>
          <w:rtl/>
        </w:rPr>
        <w:t xml:space="preserve"> לבניו לאלעזר ולאיתמר</w:t>
      </w:r>
      <w:r w:rsidR="002C4F53">
        <w:rPr>
          <w:rFonts w:hint="cs"/>
          <w:rtl/>
        </w:rPr>
        <w:t>.</w:t>
      </w:r>
      <w:r w:rsidR="002C4F53">
        <w:rPr>
          <w:rStyle w:val="a5"/>
          <w:rtl/>
        </w:rPr>
        <w:footnoteReference w:id="31"/>
      </w:r>
    </w:p>
    <w:p w14:paraId="54F9C224" w14:textId="77777777" w:rsidR="00493709" w:rsidRDefault="00493709" w:rsidP="005E6095">
      <w:pPr>
        <w:pStyle w:val="ab"/>
        <w:rPr>
          <w:rtl/>
        </w:rPr>
      </w:pPr>
      <w:r>
        <w:rPr>
          <w:rtl/>
        </w:rPr>
        <w:t xml:space="preserve">דברים רבה פרשת וזאת הברכה פרשה יא </w:t>
      </w:r>
      <w:r w:rsidR="005E6095">
        <w:rPr>
          <w:rFonts w:hint="cs"/>
          <w:rtl/>
        </w:rPr>
        <w:t>סימן ד</w:t>
      </w:r>
    </w:p>
    <w:p w14:paraId="0C99BE2A" w14:textId="77777777" w:rsidR="005E6095" w:rsidRDefault="005E6095" w:rsidP="00C028E6">
      <w:pPr>
        <w:pStyle w:val="ac"/>
        <w:rPr>
          <w:rFonts w:hint="cs"/>
          <w:rtl/>
        </w:rPr>
      </w:pPr>
      <w:r>
        <w:rPr>
          <w:rFonts w:hint="cs"/>
          <w:rtl/>
        </w:rPr>
        <w:t>"</w:t>
      </w:r>
      <w:r w:rsidR="00493709">
        <w:rPr>
          <w:rtl/>
        </w:rPr>
        <w:t>וזאת הברכה</w:t>
      </w:r>
      <w:r>
        <w:rPr>
          <w:rFonts w:hint="cs"/>
          <w:rtl/>
        </w:rPr>
        <w:t>",</w:t>
      </w:r>
      <w:r w:rsidR="00493709">
        <w:rPr>
          <w:rtl/>
        </w:rPr>
        <w:t xml:space="preserve"> אמר רבי שמואל בר נחמן</w:t>
      </w:r>
      <w:r>
        <w:rPr>
          <w:rFonts w:hint="cs"/>
          <w:rtl/>
        </w:rPr>
        <w:t>:</w:t>
      </w:r>
      <w:r w:rsidR="00493709">
        <w:rPr>
          <w:rtl/>
        </w:rPr>
        <w:t xml:space="preserve"> כיון שבא משה לברך את ישראל</w:t>
      </w:r>
      <w:r w:rsidR="00C028E6">
        <w:rPr>
          <w:rFonts w:hint="cs"/>
          <w:rtl/>
        </w:rPr>
        <w:t>,</w:t>
      </w:r>
      <w:r w:rsidR="00493709">
        <w:rPr>
          <w:rtl/>
        </w:rPr>
        <w:t xml:space="preserve"> באה התורה והקב"ה לברך את ישראל</w:t>
      </w:r>
      <w:r w:rsidR="00C028E6">
        <w:rPr>
          <w:rFonts w:hint="cs"/>
          <w:rtl/>
        </w:rPr>
        <w:t>.</w:t>
      </w:r>
      <w:r w:rsidR="00C028E6">
        <w:rPr>
          <w:rStyle w:val="a5"/>
          <w:rtl/>
        </w:rPr>
        <w:footnoteReference w:id="32"/>
      </w:r>
      <w:r w:rsidR="00493709">
        <w:rPr>
          <w:rtl/>
        </w:rPr>
        <w:t xml:space="preserve"> וזאת הברכה </w:t>
      </w:r>
      <w:r w:rsidR="00C028E6">
        <w:rPr>
          <w:rFonts w:hint="cs"/>
          <w:rtl/>
        </w:rPr>
        <w:t xml:space="preserve">- </w:t>
      </w:r>
      <w:r w:rsidR="00493709">
        <w:rPr>
          <w:rtl/>
        </w:rPr>
        <w:t>זו התורה</w:t>
      </w:r>
      <w:r w:rsidR="00C028E6">
        <w:rPr>
          <w:rFonts w:hint="cs"/>
          <w:rtl/>
        </w:rPr>
        <w:t>,</w:t>
      </w:r>
      <w:r w:rsidR="00493709">
        <w:rPr>
          <w:rtl/>
        </w:rPr>
        <w:t xml:space="preserve"> שנאמר בה</w:t>
      </w:r>
      <w:r w:rsidR="00C028E6">
        <w:rPr>
          <w:rFonts w:hint="cs"/>
          <w:rtl/>
        </w:rPr>
        <w:t>:</w:t>
      </w:r>
      <w:r w:rsidR="00493709">
        <w:rPr>
          <w:rtl/>
        </w:rPr>
        <w:t xml:space="preserve"> </w:t>
      </w:r>
      <w:r w:rsidR="00C028E6">
        <w:rPr>
          <w:rFonts w:hint="cs"/>
          <w:rtl/>
        </w:rPr>
        <w:t>"</w:t>
      </w:r>
      <w:r w:rsidR="00493709">
        <w:rPr>
          <w:rtl/>
        </w:rPr>
        <w:t>וזאת התורה אשר שם משה לפני בני ישראל</w:t>
      </w:r>
      <w:r w:rsidR="00C028E6">
        <w:rPr>
          <w:rFonts w:hint="cs"/>
          <w:rtl/>
        </w:rPr>
        <w:t xml:space="preserve">" </w:t>
      </w:r>
      <w:r w:rsidR="00C028E6">
        <w:rPr>
          <w:rtl/>
        </w:rPr>
        <w:t>(דברים ד</w:t>
      </w:r>
      <w:r w:rsidR="00C028E6">
        <w:rPr>
          <w:rFonts w:hint="cs"/>
          <w:rtl/>
        </w:rPr>
        <w:t xml:space="preserve"> מד</w:t>
      </w:r>
      <w:r w:rsidR="00C028E6">
        <w:rPr>
          <w:rtl/>
        </w:rPr>
        <w:t>)</w:t>
      </w:r>
      <w:r w:rsidR="00C028E6">
        <w:rPr>
          <w:rFonts w:hint="cs"/>
          <w:rtl/>
        </w:rPr>
        <w:t>.</w:t>
      </w:r>
      <w:r w:rsidR="00493709">
        <w:rPr>
          <w:rtl/>
        </w:rPr>
        <w:t xml:space="preserve"> אשר ברך משה </w:t>
      </w:r>
      <w:r w:rsidR="00C028E6">
        <w:rPr>
          <w:rFonts w:hint="cs"/>
          <w:rtl/>
        </w:rPr>
        <w:t xml:space="preserve">- </w:t>
      </w:r>
      <w:r w:rsidR="00493709">
        <w:rPr>
          <w:rtl/>
        </w:rPr>
        <w:t>זה משה</w:t>
      </w:r>
      <w:r w:rsidR="00C028E6">
        <w:rPr>
          <w:rFonts w:hint="cs"/>
          <w:rtl/>
        </w:rPr>
        <w:t>.</w:t>
      </w:r>
      <w:r w:rsidR="00493709">
        <w:rPr>
          <w:rtl/>
        </w:rPr>
        <w:t xml:space="preserve"> איש האלהים </w:t>
      </w:r>
      <w:r w:rsidR="00C028E6">
        <w:rPr>
          <w:rFonts w:hint="cs"/>
          <w:rtl/>
        </w:rPr>
        <w:t xml:space="preserve">- </w:t>
      </w:r>
      <w:r w:rsidR="00493709">
        <w:rPr>
          <w:rtl/>
        </w:rPr>
        <w:t xml:space="preserve">זה </w:t>
      </w:r>
      <w:r w:rsidR="00C028E6">
        <w:rPr>
          <w:rtl/>
        </w:rPr>
        <w:t>הקב"ה</w:t>
      </w:r>
      <w:r w:rsidR="00C028E6">
        <w:rPr>
          <w:rFonts w:hint="cs"/>
          <w:rtl/>
        </w:rPr>
        <w:t>,</w:t>
      </w:r>
      <w:r w:rsidR="00493709">
        <w:rPr>
          <w:rtl/>
        </w:rPr>
        <w:t xml:space="preserve"> שנאמר</w:t>
      </w:r>
      <w:r w:rsidR="00C028E6">
        <w:rPr>
          <w:rFonts w:hint="cs"/>
          <w:rtl/>
        </w:rPr>
        <w:t>:</w:t>
      </w:r>
      <w:r w:rsidR="00493709">
        <w:rPr>
          <w:rtl/>
        </w:rPr>
        <w:t xml:space="preserve"> </w:t>
      </w:r>
      <w:r w:rsidR="00C028E6">
        <w:rPr>
          <w:rFonts w:hint="cs"/>
          <w:rtl/>
        </w:rPr>
        <w:t>"</w:t>
      </w:r>
      <w:r w:rsidR="00493709">
        <w:rPr>
          <w:rtl/>
        </w:rPr>
        <w:t>ה' איש מלחמה</w:t>
      </w:r>
      <w:r w:rsidR="00C028E6">
        <w:rPr>
          <w:rFonts w:hint="cs"/>
          <w:rtl/>
        </w:rPr>
        <w:t>"</w:t>
      </w:r>
      <w:r w:rsidR="00493709">
        <w:rPr>
          <w:rtl/>
        </w:rPr>
        <w:t xml:space="preserve"> </w:t>
      </w:r>
      <w:r w:rsidR="00C028E6">
        <w:rPr>
          <w:rtl/>
        </w:rPr>
        <w:t>(שמות טו)</w:t>
      </w:r>
      <w:r w:rsidR="00C028E6">
        <w:rPr>
          <w:rFonts w:hint="cs"/>
          <w:rtl/>
        </w:rPr>
        <w:t>.</w:t>
      </w:r>
      <w:r w:rsidR="000633B9">
        <w:rPr>
          <w:rStyle w:val="a5"/>
          <w:rtl/>
        </w:rPr>
        <w:footnoteReference w:id="33"/>
      </w:r>
      <w:r w:rsidR="00C028E6">
        <w:rPr>
          <w:rtl/>
        </w:rPr>
        <w:t xml:space="preserve"> </w:t>
      </w:r>
      <w:r w:rsidR="00493709">
        <w:rPr>
          <w:rtl/>
        </w:rPr>
        <w:t>וכל כך למה</w:t>
      </w:r>
      <w:r w:rsidR="00C028E6">
        <w:rPr>
          <w:rFonts w:hint="cs"/>
          <w:rtl/>
        </w:rPr>
        <w:t>?</w:t>
      </w:r>
      <w:r w:rsidR="00493709">
        <w:rPr>
          <w:rtl/>
        </w:rPr>
        <w:t xml:space="preserve"> לקיים מה שנאמר</w:t>
      </w:r>
      <w:r w:rsidR="00C028E6">
        <w:rPr>
          <w:rFonts w:hint="cs"/>
          <w:rtl/>
        </w:rPr>
        <w:t>: "</w:t>
      </w:r>
      <w:r w:rsidR="00493709">
        <w:rPr>
          <w:rtl/>
        </w:rPr>
        <w:t>והחוט המשולש לא במהרה ינתק</w:t>
      </w:r>
      <w:r w:rsidR="00C028E6">
        <w:rPr>
          <w:rFonts w:hint="cs"/>
          <w:rtl/>
        </w:rPr>
        <w:t>"</w:t>
      </w:r>
      <w:r>
        <w:rPr>
          <w:rFonts w:hint="cs"/>
          <w:rtl/>
        </w:rPr>
        <w:t>.</w:t>
      </w:r>
      <w:r w:rsidR="000633B9">
        <w:rPr>
          <w:rStyle w:val="a5"/>
          <w:rtl/>
        </w:rPr>
        <w:footnoteReference w:id="34"/>
      </w:r>
    </w:p>
    <w:p w14:paraId="012117FF" w14:textId="77777777" w:rsidR="001A4FA4" w:rsidRDefault="001A4FA4" w:rsidP="0020049F">
      <w:pPr>
        <w:pStyle w:val="ad"/>
        <w:spacing w:before="240"/>
        <w:rPr>
          <w:rFonts w:hint="cs"/>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6DA230BB" w14:textId="77777777" w:rsidR="00D368DA" w:rsidRDefault="00D368DA" w:rsidP="009D5AEE">
      <w:pPr>
        <w:pStyle w:val="ad"/>
        <w:rPr>
          <w:rFonts w:hint="cs"/>
          <w:rtl/>
        </w:rPr>
      </w:pPr>
      <w:r>
        <w:rPr>
          <w:rFonts w:hint="cs"/>
          <w:rtl/>
        </w:rPr>
        <w:t>מחלקי המים</w:t>
      </w:r>
    </w:p>
    <w:p w14:paraId="02345E64" w14:textId="77777777" w:rsidR="009D5AEE" w:rsidRPr="009D5AEE" w:rsidRDefault="00511EC4" w:rsidP="003A6663">
      <w:pPr>
        <w:pStyle w:val="ad"/>
        <w:spacing w:before="120" w:line="240" w:lineRule="auto"/>
        <w:rPr>
          <w:rFonts w:hint="cs"/>
          <w:b w:val="0"/>
          <w:bCs w:val="0"/>
          <w:szCs w:val="22"/>
          <w:rtl/>
        </w:rPr>
      </w:pPr>
      <w:r w:rsidRPr="003A6663">
        <w:rPr>
          <w:rFonts w:hint="cs"/>
          <w:szCs w:val="22"/>
          <w:rtl/>
        </w:rPr>
        <w:t>זכר למנסכי המים:</w:t>
      </w:r>
      <w:r>
        <w:rPr>
          <w:rFonts w:hint="cs"/>
          <w:b w:val="0"/>
          <w:bCs w:val="0"/>
          <w:szCs w:val="22"/>
          <w:rtl/>
        </w:rPr>
        <w:t xml:space="preserve"> </w:t>
      </w:r>
      <w:r w:rsidR="009D5AEE" w:rsidRPr="009D5AEE">
        <w:rPr>
          <w:rFonts w:hint="cs"/>
          <w:b w:val="0"/>
          <w:bCs w:val="0"/>
          <w:szCs w:val="22"/>
          <w:rtl/>
        </w:rPr>
        <w:t>"ניסוך המים בחג כדי שיתברכו עליך מי גשמים" (תוספתא סוכה ג יח).</w:t>
      </w:r>
      <w:r w:rsidR="00FA0A89">
        <w:rPr>
          <w:rStyle w:val="a5"/>
          <w:b w:val="0"/>
          <w:bCs w:val="0"/>
          <w:szCs w:val="22"/>
          <w:rtl/>
        </w:rPr>
        <w:footnoteReference w:id="35"/>
      </w:r>
    </w:p>
    <w:sectPr w:rsidR="009D5AEE" w:rsidRPr="009D5AEE" w:rsidSect="00A93502">
      <w:headerReference w:type="default" r:id="rId8"/>
      <w:footerReference w:type="default" r:id="rId9"/>
      <w:headerReference w:type="first" r:id="rId10"/>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E8D0" w14:textId="77777777" w:rsidR="00331837" w:rsidRDefault="00331837">
      <w:r>
        <w:separator/>
      </w:r>
    </w:p>
  </w:endnote>
  <w:endnote w:type="continuationSeparator" w:id="0">
    <w:p w14:paraId="55CC9FC5" w14:textId="77777777" w:rsidR="00331837" w:rsidRDefault="0033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1EA3" w14:textId="77777777" w:rsidR="007518DD" w:rsidRPr="00F8747C" w:rsidRDefault="007518DD"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54D2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54D22">
      <w:rPr>
        <w:rStyle w:val="af0"/>
        <w:noProof/>
        <w:rtl/>
      </w:rPr>
      <w:t>5</w:t>
    </w:r>
    <w:r w:rsidRPr="00F8747C">
      <w:rPr>
        <w:rStyle w:val="af0"/>
      </w:rPr>
      <w:fldChar w:fldCharType="end"/>
    </w:r>
  </w:p>
  <w:p w14:paraId="3E111DEB" w14:textId="77777777" w:rsidR="007518DD" w:rsidRDefault="007518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0924" w14:textId="77777777" w:rsidR="00331837" w:rsidRDefault="00331837">
      <w:r>
        <w:separator/>
      </w:r>
    </w:p>
  </w:footnote>
  <w:footnote w:type="continuationSeparator" w:id="0">
    <w:p w14:paraId="6E1A47DF" w14:textId="77777777" w:rsidR="00331837" w:rsidRDefault="00331837">
      <w:r>
        <w:continuationSeparator/>
      </w:r>
    </w:p>
  </w:footnote>
  <w:footnote w:id="1">
    <w:p w14:paraId="7D2C27DC" w14:textId="77777777" w:rsidR="007518DD" w:rsidRDefault="007518DD" w:rsidP="001201D6">
      <w:pPr>
        <w:pStyle w:val="a3"/>
        <w:rPr>
          <w:rFonts w:hint="cs"/>
          <w:rtl/>
        </w:rPr>
      </w:pPr>
      <w:r>
        <w:rPr>
          <w:rStyle w:val="a5"/>
        </w:rPr>
        <w:footnoteRef/>
      </w:r>
      <w:r>
        <w:rPr>
          <w:rtl/>
        </w:rPr>
        <w:t xml:space="preserve"> </w:t>
      </w:r>
      <w:r>
        <w:rPr>
          <w:rFonts w:hint="cs"/>
          <w:rtl/>
        </w:rPr>
        <w:t>אם נשאל מהמתמטיקה והגיאומטריה: אחד הוא נקודה בודדת שאי אפשר למדוד</w:t>
      </w:r>
      <w:r w:rsidR="004B1B98">
        <w:rPr>
          <w:rFonts w:hint="cs"/>
          <w:rtl/>
        </w:rPr>
        <w:t xml:space="preserve">. בין </w:t>
      </w:r>
      <w:r>
        <w:rPr>
          <w:rFonts w:hint="cs"/>
          <w:rtl/>
        </w:rPr>
        <w:t>ש</w:t>
      </w:r>
      <w:r w:rsidR="004B1B98">
        <w:rPr>
          <w:rFonts w:hint="cs"/>
          <w:rtl/>
        </w:rPr>
        <w:t xml:space="preserve">תי נקודות אפשר להעביר </w:t>
      </w:r>
      <w:r>
        <w:rPr>
          <w:rFonts w:hint="cs"/>
          <w:rtl/>
        </w:rPr>
        <w:t xml:space="preserve">קו </w:t>
      </w:r>
      <w:r w:rsidR="00A93502">
        <w:rPr>
          <w:rFonts w:hint="cs"/>
          <w:rtl/>
        </w:rPr>
        <w:t xml:space="preserve">שמחבר ביניהם </w:t>
      </w:r>
      <w:r w:rsidR="002E3D91">
        <w:rPr>
          <w:rFonts w:hint="cs"/>
          <w:rtl/>
        </w:rPr>
        <w:t xml:space="preserve">שיש לו מידת אורך </w:t>
      </w:r>
      <w:r w:rsidR="00A93502">
        <w:rPr>
          <w:rFonts w:hint="cs"/>
          <w:rtl/>
        </w:rPr>
        <w:t>ו</w:t>
      </w:r>
      <w:r>
        <w:rPr>
          <w:rFonts w:hint="cs"/>
          <w:rtl/>
        </w:rPr>
        <w:t xml:space="preserve">שתוחם </w:t>
      </w:r>
      <w:r w:rsidR="002E3D91">
        <w:rPr>
          <w:rFonts w:hint="cs"/>
          <w:rtl/>
        </w:rPr>
        <w:t>ו</w:t>
      </w:r>
      <w:r w:rsidR="004B1B98">
        <w:rPr>
          <w:rFonts w:hint="cs"/>
          <w:rtl/>
        </w:rPr>
        <w:t xml:space="preserve">מחלק את המישור </w:t>
      </w:r>
      <w:r w:rsidR="002E3D91">
        <w:rPr>
          <w:rFonts w:hint="cs"/>
          <w:rtl/>
        </w:rPr>
        <w:t>לשניים: המישור ב</w:t>
      </w:r>
      <w:r>
        <w:rPr>
          <w:rFonts w:hint="cs"/>
          <w:rtl/>
        </w:rPr>
        <w:t>צידו האחד ו</w:t>
      </w:r>
      <w:r w:rsidR="002E3D91">
        <w:rPr>
          <w:rFonts w:hint="cs"/>
          <w:rtl/>
        </w:rPr>
        <w:t>המישור ב</w:t>
      </w:r>
      <w:r>
        <w:rPr>
          <w:rFonts w:hint="cs"/>
          <w:rtl/>
        </w:rPr>
        <w:t>צידו השני</w:t>
      </w:r>
      <w:r w:rsidR="00A93502">
        <w:rPr>
          <w:rFonts w:hint="cs"/>
          <w:rtl/>
        </w:rPr>
        <w:t xml:space="preserve">, אבל לו </w:t>
      </w:r>
      <w:r w:rsidR="002E3D91">
        <w:rPr>
          <w:rFonts w:hint="cs"/>
          <w:rtl/>
        </w:rPr>
        <w:t xml:space="preserve">עצמו אין </w:t>
      </w:r>
      <w:r w:rsidR="00A93502">
        <w:rPr>
          <w:rFonts w:hint="cs"/>
          <w:rtl/>
        </w:rPr>
        <w:t>שטח או "פ</w:t>
      </w:r>
      <w:r w:rsidR="002E3D91">
        <w:rPr>
          <w:rFonts w:hint="eastAsia"/>
          <w:rtl/>
        </w:rPr>
        <w:t>ְּ</w:t>
      </w:r>
      <w:r w:rsidR="00A93502">
        <w:rPr>
          <w:rFonts w:hint="cs"/>
          <w:rtl/>
        </w:rPr>
        <w:t>נ</w:t>
      </w:r>
      <w:r w:rsidR="002E3D91">
        <w:rPr>
          <w:rFonts w:hint="eastAsia"/>
          <w:rtl/>
        </w:rPr>
        <w:t>ִ</w:t>
      </w:r>
      <w:r w:rsidR="00A93502">
        <w:rPr>
          <w:rFonts w:hint="cs"/>
          <w:rtl/>
        </w:rPr>
        <w:t>ים"</w:t>
      </w:r>
      <w:r>
        <w:rPr>
          <w:rFonts w:hint="cs"/>
          <w:rtl/>
        </w:rPr>
        <w:t>. שלוש</w:t>
      </w:r>
      <w:r w:rsidR="004B1B98">
        <w:rPr>
          <w:rFonts w:hint="cs"/>
          <w:rtl/>
        </w:rPr>
        <w:t xml:space="preserve"> נקודות </w:t>
      </w:r>
      <w:r>
        <w:rPr>
          <w:rFonts w:hint="cs"/>
          <w:rtl/>
        </w:rPr>
        <w:t xml:space="preserve">זו כבר </w:t>
      </w:r>
      <w:r w:rsidR="001201D6">
        <w:rPr>
          <w:rFonts w:hint="cs"/>
          <w:rtl/>
        </w:rPr>
        <w:t xml:space="preserve">יוצר </w:t>
      </w:r>
      <w:r>
        <w:rPr>
          <w:rFonts w:hint="cs"/>
          <w:rtl/>
        </w:rPr>
        <w:t>צורה במישור (מצולע) שיש לה היקף ושטח ותוחמת מה בתוכה ומה מחוץ לה.</w:t>
      </w:r>
      <w:r w:rsidR="00A93502">
        <w:rPr>
          <w:rFonts w:hint="cs"/>
          <w:rtl/>
        </w:rPr>
        <w:t xml:space="preserve"> </w:t>
      </w:r>
      <w:r w:rsidR="001201D6">
        <w:rPr>
          <w:rFonts w:hint="cs"/>
          <w:rtl/>
        </w:rPr>
        <w:t xml:space="preserve">אך </w:t>
      </w:r>
      <w:r w:rsidR="00A93502">
        <w:rPr>
          <w:rFonts w:hint="cs"/>
          <w:rtl/>
        </w:rPr>
        <w:t xml:space="preserve">בעל ספר קהלת </w:t>
      </w:r>
      <w:r w:rsidR="001201D6">
        <w:rPr>
          <w:rFonts w:hint="cs"/>
          <w:rtl/>
        </w:rPr>
        <w:t xml:space="preserve">תופס </w:t>
      </w:r>
      <w:r w:rsidR="00A93502">
        <w:rPr>
          <w:rFonts w:hint="cs"/>
          <w:rtl/>
        </w:rPr>
        <w:t xml:space="preserve">דווקא </w:t>
      </w:r>
      <w:r w:rsidR="001201D6">
        <w:rPr>
          <w:rFonts w:hint="cs"/>
          <w:rtl/>
        </w:rPr>
        <w:t>את ה</w:t>
      </w:r>
      <w:r w:rsidR="00A93502">
        <w:rPr>
          <w:rFonts w:hint="cs"/>
          <w:rtl/>
        </w:rPr>
        <w:t>צד האנושי</w:t>
      </w:r>
      <w:r w:rsidR="001201D6">
        <w:rPr>
          <w:rFonts w:hint="cs"/>
          <w:rtl/>
        </w:rPr>
        <w:t xml:space="preserve"> לחום ולמלחמה</w:t>
      </w:r>
      <w:r w:rsidR="00A93502">
        <w:rPr>
          <w:rFonts w:hint="cs"/>
          <w:rtl/>
        </w:rPr>
        <w:t>.</w:t>
      </w:r>
      <w:r>
        <w:rPr>
          <w:rFonts w:hint="cs"/>
          <w:rtl/>
        </w:rPr>
        <w:t xml:space="preserve"> </w:t>
      </w:r>
    </w:p>
  </w:footnote>
  <w:footnote w:id="2">
    <w:p w14:paraId="22022F6A" w14:textId="77777777" w:rsidR="007518DD" w:rsidRDefault="007518DD" w:rsidP="00767FF3">
      <w:pPr>
        <w:pStyle w:val="a3"/>
        <w:rPr>
          <w:rFonts w:hint="cs"/>
          <w:rtl/>
        </w:rPr>
      </w:pPr>
      <w:r>
        <w:rPr>
          <w:rStyle w:val="a5"/>
        </w:rPr>
        <w:footnoteRef/>
      </w:r>
      <w:r>
        <w:rPr>
          <w:rtl/>
        </w:rPr>
        <w:t xml:space="preserve"> </w:t>
      </w:r>
      <w:r>
        <w:rPr>
          <w:rFonts w:hint="cs"/>
          <w:rtl/>
        </w:rPr>
        <w:t>וכן הוא ב</w:t>
      </w:r>
      <w:r>
        <w:rPr>
          <w:rtl/>
        </w:rPr>
        <w:t>תוספתא מסכת קידושין (ליברמן) פרק א הלכה יז</w:t>
      </w:r>
      <w:r>
        <w:rPr>
          <w:rFonts w:hint="cs"/>
          <w:rtl/>
        </w:rPr>
        <w:t>: "</w:t>
      </w:r>
      <w:r>
        <w:rPr>
          <w:rtl/>
        </w:rPr>
        <w:t>כל העוסק בשלשתן</w:t>
      </w:r>
      <w:r>
        <w:rPr>
          <w:rFonts w:hint="cs"/>
          <w:rtl/>
        </w:rPr>
        <w:t>:</w:t>
      </w:r>
      <w:r>
        <w:rPr>
          <w:rtl/>
        </w:rPr>
        <w:t xml:space="preserve"> במקרא ובמשנה ובדרך ארץ</w:t>
      </w:r>
      <w:r>
        <w:rPr>
          <w:rFonts w:hint="cs"/>
          <w:rtl/>
        </w:rPr>
        <w:t>,</w:t>
      </w:r>
      <w:r>
        <w:rPr>
          <w:rtl/>
        </w:rPr>
        <w:t xml:space="preserve"> על זה נאמ</w:t>
      </w:r>
      <w:r>
        <w:rPr>
          <w:rFonts w:hint="cs"/>
          <w:rtl/>
        </w:rPr>
        <w:t xml:space="preserve">ר: </w:t>
      </w:r>
      <w:r>
        <w:rPr>
          <w:rtl/>
        </w:rPr>
        <w:t>והחוט המשולש לא במהרה ינתק</w:t>
      </w:r>
      <w:r>
        <w:rPr>
          <w:rFonts w:hint="cs"/>
          <w:rtl/>
        </w:rPr>
        <w:t>". דרך ארץ כאן הוא משא ומתן (</w:t>
      </w:r>
      <w:r w:rsidR="00A93502">
        <w:rPr>
          <w:rFonts w:hint="cs"/>
          <w:rtl/>
        </w:rPr>
        <w:t>"</w:t>
      </w:r>
      <w:r>
        <w:rPr>
          <w:rFonts w:hint="cs"/>
          <w:rtl/>
        </w:rPr>
        <w:t>בנחת</w:t>
      </w:r>
      <w:r w:rsidR="00A93502">
        <w:rPr>
          <w:rFonts w:hint="cs"/>
          <w:rtl/>
        </w:rPr>
        <w:t>"</w:t>
      </w:r>
      <w:r>
        <w:rPr>
          <w:rFonts w:hint="cs"/>
          <w:rtl/>
        </w:rPr>
        <w:t xml:space="preserve"> מוסיף </w:t>
      </w:r>
      <w:r w:rsidR="00A93502">
        <w:rPr>
          <w:rFonts w:hint="cs"/>
          <w:rtl/>
        </w:rPr>
        <w:t xml:space="preserve">פירוש </w:t>
      </w:r>
      <w:r>
        <w:rPr>
          <w:rFonts w:hint="cs"/>
          <w:rtl/>
        </w:rPr>
        <w:t xml:space="preserve">ברטנורא) ומלאכה (בנאמנות יש לומר), מה שמכונה אצל חז"ל גם "יישובו של עולם". שילוב שלושתם: מקרא, משנה ודרך ארץ (אין כאן </w:t>
      </w:r>
      <w:r w:rsidR="00A93502">
        <w:rPr>
          <w:rFonts w:hint="cs"/>
          <w:rtl/>
        </w:rPr>
        <w:t>"</w:t>
      </w:r>
      <w:r>
        <w:rPr>
          <w:rFonts w:hint="cs"/>
          <w:rtl/>
        </w:rPr>
        <w:t>תלמוד</w:t>
      </w:r>
      <w:r w:rsidR="00A93502">
        <w:rPr>
          <w:rFonts w:hint="cs"/>
          <w:rtl/>
        </w:rPr>
        <w:t>" מסיבות ברורות</w:t>
      </w:r>
      <w:r>
        <w:rPr>
          <w:rFonts w:hint="cs"/>
          <w:rtl/>
        </w:rPr>
        <w:t xml:space="preserve">) הוא </w:t>
      </w:r>
      <w:r w:rsidR="00767FF3">
        <w:rPr>
          <w:rFonts w:hint="cs"/>
          <w:rtl/>
        </w:rPr>
        <w:t xml:space="preserve">נאה ומתוקן. ומנגד יש גם </w:t>
      </w:r>
      <w:r>
        <w:rPr>
          <w:rFonts w:hint="cs"/>
          <w:rtl/>
        </w:rPr>
        <w:t>דרישת מינימום</w:t>
      </w:r>
      <w:r w:rsidR="00767FF3">
        <w:rPr>
          <w:rFonts w:hint="cs"/>
          <w:rtl/>
        </w:rPr>
        <w:t>:</w:t>
      </w:r>
      <w:r>
        <w:rPr>
          <w:rFonts w:hint="cs"/>
          <w:rtl/>
        </w:rPr>
        <w:t xml:space="preserve"> מי שלא מקיים אף לא אחד משלושתם "אינו מן היישוב". "</w:t>
      </w:r>
      <w:r>
        <w:rPr>
          <w:rtl/>
        </w:rPr>
        <w:t>אינו מועיל לישובו של עולם</w:t>
      </w:r>
      <w:r>
        <w:rPr>
          <w:rFonts w:hint="cs"/>
          <w:rtl/>
        </w:rPr>
        <w:t xml:space="preserve">", </w:t>
      </w:r>
      <w:r w:rsidR="001201D6">
        <w:rPr>
          <w:rFonts w:hint="cs"/>
          <w:rtl/>
        </w:rPr>
        <w:t xml:space="preserve">כפי שמפרש </w:t>
      </w:r>
      <w:r>
        <w:rPr>
          <w:rtl/>
        </w:rPr>
        <w:t xml:space="preserve">ברטנורא </w:t>
      </w:r>
      <w:r>
        <w:rPr>
          <w:rFonts w:hint="cs"/>
          <w:rtl/>
        </w:rPr>
        <w:t>על המשנה. ור' יוחנן מוסיף בגמרא קידושין</w:t>
      </w:r>
      <w:r w:rsidRPr="00056840">
        <w:rPr>
          <w:rtl/>
        </w:rPr>
        <w:t xml:space="preserve"> </w:t>
      </w:r>
      <w:r>
        <w:rPr>
          <w:rtl/>
        </w:rPr>
        <w:t>דף מ ע</w:t>
      </w:r>
      <w:r>
        <w:rPr>
          <w:rFonts w:hint="cs"/>
          <w:rtl/>
        </w:rPr>
        <w:t>"ב, סוף פרק ראשון: "</w:t>
      </w:r>
      <w:r>
        <w:rPr>
          <w:rtl/>
        </w:rPr>
        <w:t>ופסול לעדות</w:t>
      </w:r>
      <w:r>
        <w:rPr>
          <w:rFonts w:hint="cs"/>
          <w:rtl/>
        </w:rPr>
        <w:t>"</w:t>
      </w:r>
      <w:r>
        <w:rPr>
          <w:rtl/>
        </w:rPr>
        <w:t xml:space="preserve">. </w:t>
      </w:r>
      <w:r>
        <w:rPr>
          <w:rFonts w:hint="cs"/>
          <w:rtl/>
        </w:rPr>
        <w:t>ובהמשך הגמרא שם: "</w:t>
      </w:r>
      <w:r>
        <w:rPr>
          <w:rtl/>
        </w:rPr>
        <w:t>כל שאינו לא במקרא ולא במשנה ולא בדרך ארץ - דוּר הנאה ממנו, שנאמר: ובמושב לצים לא ישב, מושבו מושב לצים</w:t>
      </w:r>
      <w:r>
        <w:rPr>
          <w:rFonts w:hint="cs"/>
          <w:rtl/>
        </w:rPr>
        <w:t xml:space="preserve">". מאידך, </w:t>
      </w:r>
      <w:r w:rsidR="001201D6">
        <w:rPr>
          <w:rFonts w:hint="cs"/>
          <w:rtl/>
        </w:rPr>
        <w:t xml:space="preserve">גם </w:t>
      </w:r>
      <w:r>
        <w:rPr>
          <w:rFonts w:hint="cs"/>
          <w:rtl/>
        </w:rPr>
        <w:t xml:space="preserve">מי שיש לו שלושתם, </w:t>
      </w:r>
      <w:r w:rsidR="004B1B98">
        <w:rPr>
          <w:rFonts w:hint="cs"/>
          <w:rtl/>
        </w:rPr>
        <w:t xml:space="preserve">עדיין </w:t>
      </w:r>
      <w:r>
        <w:rPr>
          <w:rFonts w:hint="cs"/>
          <w:rtl/>
        </w:rPr>
        <w:t>איננו הדמות המושלמת ואין לו שום הבטחה, אבל יש לו בסיס חיים מוצק: "לא במהרה הוא חוטא"</w:t>
      </w:r>
      <w:r>
        <w:rPr>
          <w:rtl/>
        </w:rPr>
        <w:t>.</w:t>
      </w:r>
      <w:r>
        <w:rPr>
          <w:rFonts w:hint="cs"/>
          <w:rtl/>
        </w:rPr>
        <w:t xml:space="preserve"> ראה גם </w:t>
      </w:r>
      <w:r>
        <w:rPr>
          <w:rtl/>
        </w:rPr>
        <w:t>פסיקתא זוטרתא (לקח טוב) קהלת פרק ט</w:t>
      </w:r>
      <w:r>
        <w:rPr>
          <w:rFonts w:hint="cs"/>
          <w:rtl/>
        </w:rPr>
        <w:t xml:space="preserve"> </w:t>
      </w:r>
      <w:r>
        <w:rPr>
          <w:rtl/>
        </w:rPr>
        <w:t>סימן ט</w:t>
      </w:r>
      <w:r>
        <w:rPr>
          <w:rFonts w:hint="cs"/>
          <w:rtl/>
        </w:rPr>
        <w:t>: "</w:t>
      </w:r>
      <w:r>
        <w:rPr>
          <w:rtl/>
        </w:rPr>
        <w:t>ראה חיים עם אשה אשר אהבת. מזהירך הכתוב שתהא עוסק במלאכה כדרך הארץ שהם חיים לעולם</w:t>
      </w:r>
      <w:r>
        <w:rPr>
          <w:rFonts w:hint="cs"/>
          <w:rtl/>
        </w:rPr>
        <w:t xml:space="preserve"> ... </w:t>
      </w:r>
      <w:r>
        <w:rPr>
          <w:rtl/>
        </w:rPr>
        <w:t>עם אשה אשר אהבת</w:t>
      </w:r>
      <w:r>
        <w:rPr>
          <w:rFonts w:hint="cs"/>
          <w:rtl/>
        </w:rPr>
        <w:t xml:space="preserve"> - </w:t>
      </w:r>
      <w:r>
        <w:rPr>
          <w:rtl/>
        </w:rPr>
        <w:t>זו תורה</w:t>
      </w:r>
      <w:r>
        <w:rPr>
          <w:rFonts w:hint="cs"/>
          <w:rtl/>
        </w:rPr>
        <w:t xml:space="preserve">. </w:t>
      </w:r>
      <w:r>
        <w:rPr>
          <w:rtl/>
        </w:rPr>
        <w:t>היינו דתנן</w:t>
      </w:r>
      <w:r w:rsidR="00123DE3">
        <w:rPr>
          <w:rFonts w:hint="cs"/>
          <w:rtl/>
        </w:rPr>
        <w:t>:</w:t>
      </w:r>
      <w:r>
        <w:rPr>
          <w:rtl/>
        </w:rPr>
        <w:t xml:space="preserve"> כל תורה שאין עמה מלאכה סופה בטלה וגוררת עון</w:t>
      </w:r>
      <w:r w:rsidR="00123DE3">
        <w:rPr>
          <w:rFonts w:hint="cs"/>
          <w:rtl/>
        </w:rPr>
        <w:t xml:space="preserve"> </w:t>
      </w:r>
      <w:r w:rsidR="00123DE3">
        <w:rPr>
          <w:rtl/>
        </w:rPr>
        <w:t>(אבות פ</w:t>
      </w:r>
      <w:r w:rsidR="00123DE3">
        <w:rPr>
          <w:rFonts w:hint="cs"/>
          <w:rtl/>
        </w:rPr>
        <w:t xml:space="preserve">רק </w:t>
      </w:r>
      <w:r w:rsidR="00123DE3">
        <w:rPr>
          <w:rtl/>
        </w:rPr>
        <w:t>ב מ</w:t>
      </w:r>
      <w:r w:rsidR="00123DE3">
        <w:rPr>
          <w:rFonts w:hint="cs"/>
          <w:rtl/>
        </w:rPr>
        <w:t xml:space="preserve">שנה </w:t>
      </w:r>
      <w:r w:rsidR="00123DE3">
        <w:rPr>
          <w:rtl/>
        </w:rPr>
        <w:t>ב)</w:t>
      </w:r>
      <w:r>
        <w:rPr>
          <w:rtl/>
        </w:rPr>
        <w:t>. וכן הוא אומר (לעיל ד, יב) והחוט המשולש, זה שיש בידו תורה ודרך ארץ ומעשים טובים</w:t>
      </w:r>
      <w:r>
        <w:rPr>
          <w:rFonts w:hint="cs"/>
          <w:rtl/>
        </w:rPr>
        <w:t>".</w:t>
      </w:r>
    </w:p>
  </w:footnote>
  <w:footnote w:id="3">
    <w:p w14:paraId="48E1BF29" w14:textId="77777777" w:rsidR="007518DD" w:rsidRDefault="007518DD" w:rsidP="001201D6">
      <w:pPr>
        <w:pStyle w:val="a3"/>
        <w:rPr>
          <w:rFonts w:hint="cs"/>
          <w:rtl/>
        </w:rPr>
      </w:pPr>
      <w:r>
        <w:rPr>
          <w:rStyle w:val="a5"/>
        </w:rPr>
        <w:footnoteRef/>
      </w:r>
      <w:r>
        <w:rPr>
          <w:rtl/>
        </w:rPr>
        <w:t xml:space="preserve"> </w:t>
      </w:r>
      <w:r>
        <w:rPr>
          <w:rFonts w:hint="cs"/>
          <w:rtl/>
        </w:rPr>
        <w:t xml:space="preserve">משולש נוסף הוא קיום מצוות בסיסי, כנזכר בקריאת שמע: מזוזה, תפילין וציצית (לימוד תורה </w:t>
      </w:r>
      <w:r w:rsidR="004B1B98">
        <w:rPr>
          <w:rFonts w:hint="cs"/>
          <w:rtl/>
        </w:rPr>
        <w:t>נ</w:t>
      </w:r>
      <w:r>
        <w:rPr>
          <w:rFonts w:hint="cs"/>
          <w:rtl/>
        </w:rPr>
        <w:t>זכר גם הוא בקריאת שמע</w:t>
      </w:r>
      <w:r w:rsidR="004B1B98">
        <w:rPr>
          <w:rFonts w:hint="cs"/>
          <w:rtl/>
        </w:rPr>
        <w:t>: ולמדתם אותם את בניכם לדבר בם</w:t>
      </w:r>
      <w:r>
        <w:rPr>
          <w:rFonts w:hint="cs"/>
          <w:rtl/>
        </w:rPr>
        <w:t>, וקריאת שמע עצמה נחשבת ללימוד תורה</w:t>
      </w:r>
      <w:r w:rsidR="004B1B98">
        <w:rPr>
          <w:rFonts w:hint="cs"/>
          <w:rtl/>
        </w:rPr>
        <w:t xml:space="preserve">, ראה </w:t>
      </w:r>
      <w:r>
        <w:rPr>
          <w:rFonts w:hint="cs"/>
          <w:rtl/>
        </w:rPr>
        <w:t>מנחות צט ע"ב). מה שנכון ללימוד תורה</w:t>
      </w:r>
      <w:r w:rsidR="00BF63EA">
        <w:rPr>
          <w:rFonts w:hint="cs"/>
          <w:rtl/>
        </w:rPr>
        <w:t xml:space="preserve"> (מקרא ומשנה במדרש הקודם)</w:t>
      </w:r>
      <w:r>
        <w:rPr>
          <w:rFonts w:hint="cs"/>
          <w:rtl/>
        </w:rPr>
        <w:t>, נכון גם לקיום מצוות. יישובו של עולם נמצא במשולש של לימוד תורה</w:t>
      </w:r>
      <w:r w:rsidR="00767FF3">
        <w:rPr>
          <w:rFonts w:hint="cs"/>
          <w:rtl/>
        </w:rPr>
        <w:t>, קיום מצוות ו</w:t>
      </w:r>
      <w:r>
        <w:rPr>
          <w:rFonts w:hint="cs"/>
          <w:rtl/>
        </w:rPr>
        <w:t>דרך ארץ</w:t>
      </w:r>
      <w:r w:rsidR="00767FF3">
        <w:rPr>
          <w:rFonts w:hint="cs"/>
          <w:rtl/>
        </w:rPr>
        <w:t xml:space="preserve">. ומעניין שגמילות חסדים נעדרת מהמצוות שכאן. </w:t>
      </w:r>
    </w:p>
  </w:footnote>
  <w:footnote w:id="4">
    <w:p w14:paraId="176F76F1" w14:textId="77777777" w:rsidR="007518DD" w:rsidRDefault="007518DD">
      <w:pPr>
        <w:pStyle w:val="a3"/>
        <w:rPr>
          <w:rFonts w:hint="cs"/>
        </w:rPr>
      </w:pPr>
      <w:r>
        <w:rPr>
          <w:rStyle w:val="a5"/>
        </w:rPr>
        <w:footnoteRef/>
      </w:r>
      <w:r>
        <w:rPr>
          <w:rtl/>
        </w:rPr>
        <w:t xml:space="preserve"> </w:t>
      </w:r>
      <w:r>
        <w:rPr>
          <w:rFonts w:hint="cs"/>
          <w:rtl/>
        </w:rPr>
        <w:t>ובלבד של</w:t>
      </w:r>
      <w:r w:rsidR="008D5816">
        <w:rPr>
          <w:rFonts w:hint="cs"/>
          <w:rtl/>
        </w:rPr>
        <w:t>א</w:t>
      </w:r>
      <w:r>
        <w:rPr>
          <w:rFonts w:hint="cs"/>
          <w:rtl/>
        </w:rPr>
        <w:t xml:space="preserve"> ישוב (מצדקתו).</w:t>
      </w:r>
    </w:p>
  </w:footnote>
  <w:footnote w:id="5">
    <w:p w14:paraId="2A32B65F" w14:textId="77777777" w:rsidR="007518DD" w:rsidRDefault="007518DD" w:rsidP="00894F1A">
      <w:pPr>
        <w:pStyle w:val="a3"/>
        <w:rPr>
          <w:rFonts w:hint="cs"/>
          <w:rtl/>
        </w:rPr>
      </w:pPr>
      <w:r>
        <w:rPr>
          <w:rStyle w:val="a5"/>
        </w:rPr>
        <w:footnoteRef/>
      </w:r>
      <w:r>
        <w:rPr>
          <w:rtl/>
        </w:rPr>
        <w:t xml:space="preserve"> </w:t>
      </w:r>
      <w:r>
        <w:rPr>
          <w:rFonts w:hint="cs"/>
          <w:rtl/>
        </w:rPr>
        <w:t>קטע זה בסוף פרק א בירושלמי קידושין הוא על המשנה קידושין לעיל, המשנה המסיימת את פרק א שם. הגמרא באה להסביר את המשנה ולומר שאין שום ערובה והבטחה לאדם</w:t>
      </w:r>
      <w:r w:rsidR="00A42B3E">
        <w:rPr>
          <w:rFonts w:hint="cs"/>
          <w:rtl/>
        </w:rPr>
        <w:t xml:space="preserve"> בעולם</w:t>
      </w:r>
      <w:r>
        <w:rPr>
          <w:rFonts w:hint="cs"/>
          <w:rtl/>
        </w:rPr>
        <w:t xml:space="preserve">. אדם שנזהר פעם ראשונה, שנייה ושלישית מעבירה (ובאותה מידה יש לומר מקפיד פעם ראשונה, שנייה ושלישית במצווה מסוימת), אכן הקב"ה משמרו ומסייע בידו גם בפעמים הבאות, </w:t>
      </w:r>
      <w:hyperlink r:id="rId1" w:history="1">
        <w:r w:rsidR="00A34446" w:rsidRPr="00A34446">
          <w:rPr>
            <w:rStyle w:val="Hyperlink"/>
            <w:rFonts w:hint="cs"/>
            <w:rtl/>
          </w:rPr>
          <w:t>ומצווה גוררת מצווה</w:t>
        </w:r>
      </w:hyperlink>
      <w:r w:rsidR="00A34446">
        <w:rPr>
          <w:rFonts w:hint="cs"/>
          <w:rtl/>
        </w:rPr>
        <w:t xml:space="preserve">, </w:t>
      </w:r>
      <w:r>
        <w:rPr>
          <w:rFonts w:hint="cs"/>
          <w:rtl/>
        </w:rPr>
        <w:t xml:space="preserve">אבל ביטחון גמור </w:t>
      </w:r>
      <w:r>
        <w:rPr>
          <w:rtl/>
        </w:rPr>
        <w:t>–</w:t>
      </w:r>
      <w:r>
        <w:rPr>
          <w:rFonts w:hint="cs"/>
          <w:rtl/>
        </w:rPr>
        <w:t xml:space="preserve"> אין. כח הבחירה לעולם קיים. אם ישוב האדם מדרכו הטובה </w:t>
      </w:r>
      <w:r>
        <w:rPr>
          <w:rtl/>
        </w:rPr>
        <w:t>–</w:t>
      </w:r>
      <w:r>
        <w:rPr>
          <w:rFonts w:hint="cs"/>
          <w:rtl/>
        </w:rPr>
        <w:t xml:space="preserve"> יכול </w:t>
      </w:r>
      <w:r w:rsidR="008D5816">
        <w:rPr>
          <w:rFonts w:hint="cs"/>
          <w:rtl/>
        </w:rPr>
        <w:t xml:space="preserve">הוא </w:t>
      </w:r>
      <w:r>
        <w:rPr>
          <w:rFonts w:hint="cs"/>
          <w:rtl/>
        </w:rPr>
        <w:t>לחטוא. הסיוע שהוא מביא מהפסוק של</w:t>
      </w:r>
      <w:r w:rsidR="00BF63EA">
        <w:rPr>
          <w:rFonts w:hint="cs"/>
          <w:rtl/>
        </w:rPr>
        <w:t>נ</w:t>
      </w:r>
      <w:r>
        <w:rPr>
          <w:rFonts w:hint="cs"/>
          <w:rtl/>
        </w:rPr>
        <w:t>ו</w:t>
      </w:r>
      <w:r w:rsidR="00A42B3E">
        <w:rPr>
          <w:rFonts w:hint="cs"/>
          <w:rtl/>
        </w:rPr>
        <w:t xml:space="preserve"> בקהלת</w:t>
      </w:r>
      <w:r>
        <w:rPr>
          <w:rFonts w:hint="cs"/>
          <w:rtl/>
        </w:rPr>
        <w:t xml:space="preserve">, דיוק שעמדו עליו פרשנים ומדרשים רבים, הוא שלא כתוב: </w:t>
      </w:r>
      <w:r w:rsidRPr="003F63A4">
        <w:rPr>
          <w:rtl/>
        </w:rPr>
        <w:t xml:space="preserve">והחוט המשולש לעולם </w:t>
      </w:r>
      <w:r w:rsidR="00894F1A">
        <w:rPr>
          <w:rFonts w:hint="cs"/>
          <w:rtl/>
        </w:rPr>
        <w:t xml:space="preserve">לא </w:t>
      </w:r>
      <w:r w:rsidRPr="003F63A4">
        <w:rPr>
          <w:rtl/>
        </w:rPr>
        <w:t>ינתק</w:t>
      </w:r>
      <w:r>
        <w:rPr>
          <w:rFonts w:hint="cs"/>
          <w:rtl/>
        </w:rPr>
        <w:t xml:space="preserve">, </w:t>
      </w:r>
      <w:r w:rsidRPr="003F63A4">
        <w:rPr>
          <w:rtl/>
        </w:rPr>
        <w:t>אלא</w:t>
      </w:r>
      <w:r w:rsidRPr="003F63A4">
        <w:rPr>
          <w:rFonts w:hint="cs"/>
          <w:rtl/>
        </w:rPr>
        <w:t>:</w:t>
      </w:r>
      <w:r w:rsidRPr="003F63A4">
        <w:rPr>
          <w:rtl/>
        </w:rPr>
        <w:t xml:space="preserve"> </w:t>
      </w:r>
      <w:r w:rsidRPr="003F63A4">
        <w:rPr>
          <w:rFonts w:hint="cs"/>
          <w:rtl/>
        </w:rPr>
        <w:t>"</w:t>
      </w:r>
      <w:r>
        <w:rPr>
          <w:rFonts w:hint="cs"/>
          <w:rtl/>
        </w:rPr>
        <w:t xml:space="preserve">והחוט המשולש </w:t>
      </w:r>
      <w:r w:rsidRPr="001F21B0">
        <w:rPr>
          <w:b/>
          <w:bCs/>
          <w:rtl/>
        </w:rPr>
        <w:t>לא במהרה ינתק</w:t>
      </w:r>
      <w:r w:rsidRPr="003F63A4">
        <w:rPr>
          <w:rFonts w:hint="cs"/>
          <w:rtl/>
        </w:rPr>
        <w:t>"</w:t>
      </w:r>
      <w:r>
        <w:rPr>
          <w:rFonts w:hint="cs"/>
          <w:rtl/>
        </w:rPr>
        <w:t xml:space="preserve">. </w:t>
      </w:r>
      <w:r w:rsidRPr="003F63A4">
        <w:rPr>
          <w:rtl/>
        </w:rPr>
        <w:t>אין אטרחת עלוי מיפסק הוא</w:t>
      </w:r>
      <w:r>
        <w:rPr>
          <w:rFonts w:hint="cs"/>
          <w:rtl/>
        </w:rPr>
        <w:t xml:space="preserve"> </w:t>
      </w:r>
      <w:r>
        <w:rPr>
          <w:rtl/>
        </w:rPr>
        <w:t>–</w:t>
      </w:r>
      <w:r>
        <w:rPr>
          <w:rFonts w:hint="cs"/>
          <w:rtl/>
        </w:rPr>
        <w:t xml:space="preserve"> </w:t>
      </w:r>
      <w:r w:rsidR="008D5816">
        <w:rPr>
          <w:rFonts w:hint="cs"/>
          <w:rtl/>
        </w:rPr>
        <w:t>"</w:t>
      </w:r>
      <w:r>
        <w:rPr>
          <w:rFonts w:hint="cs"/>
          <w:rtl/>
        </w:rPr>
        <w:t>אם מטריח הוא החבל למושכו יותר מדי</w:t>
      </w:r>
      <w:r w:rsidR="008D5816">
        <w:rPr>
          <w:rFonts w:hint="cs"/>
          <w:rtl/>
        </w:rPr>
        <w:t>"</w:t>
      </w:r>
      <w:r>
        <w:rPr>
          <w:rFonts w:hint="cs"/>
          <w:rtl/>
        </w:rPr>
        <w:t xml:space="preserve">, מסביר קרבן העדה, </w:t>
      </w:r>
      <w:r w:rsidR="008D5816">
        <w:rPr>
          <w:rFonts w:hint="cs"/>
          <w:rtl/>
        </w:rPr>
        <w:t>"</w:t>
      </w:r>
      <w:r>
        <w:rPr>
          <w:rFonts w:hint="cs"/>
          <w:rtl/>
        </w:rPr>
        <w:t xml:space="preserve">אע"פ שהוא משולש </w:t>
      </w:r>
      <w:r>
        <w:rPr>
          <w:rtl/>
        </w:rPr>
        <w:t>–</w:t>
      </w:r>
      <w:r>
        <w:rPr>
          <w:rFonts w:hint="cs"/>
          <w:rtl/>
        </w:rPr>
        <w:t xml:space="preserve"> ינתק</w:t>
      </w:r>
      <w:r w:rsidR="008D5816">
        <w:rPr>
          <w:rFonts w:hint="cs"/>
          <w:rtl/>
        </w:rPr>
        <w:t>"</w:t>
      </w:r>
      <w:r>
        <w:rPr>
          <w:rFonts w:hint="cs"/>
          <w:rtl/>
        </w:rPr>
        <w:t xml:space="preserve">. ראה דברינו </w:t>
      </w:r>
      <w:hyperlink r:id="rId2" w:history="1">
        <w:r w:rsidRPr="002F6305">
          <w:rPr>
            <w:rStyle w:val="Hyperlink"/>
            <w:rFonts w:hint="cs"/>
            <w:rtl/>
          </w:rPr>
          <w:t>אין הבטחה לצדיק בעולם הזה</w:t>
        </w:r>
      </w:hyperlink>
      <w:r>
        <w:rPr>
          <w:rFonts w:hint="cs"/>
          <w:rtl/>
        </w:rPr>
        <w:t xml:space="preserve"> בפרשת ויצא. ומטיבי לכת יעניינו בקטע בירושלמי לפני ואחרי זה שהבאנו ויראו איך הוא משתלב </w:t>
      </w:r>
      <w:r w:rsidR="00A34446">
        <w:rPr>
          <w:rFonts w:hint="cs"/>
          <w:rtl/>
        </w:rPr>
        <w:t xml:space="preserve">עם דברינו </w:t>
      </w:r>
      <w:r>
        <w:rPr>
          <w:rFonts w:hint="cs"/>
          <w:rtl/>
        </w:rPr>
        <w:t>בהקשר רחב יותר.</w:t>
      </w:r>
    </w:p>
  </w:footnote>
  <w:footnote w:id="6">
    <w:p w14:paraId="768B248A" w14:textId="77777777" w:rsidR="007518DD" w:rsidRDefault="007518DD" w:rsidP="00894F1A">
      <w:pPr>
        <w:pStyle w:val="a3"/>
        <w:rPr>
          <w:rFonts w:hint="cs"/>
          <w:rtl/>
        </w:rPr>
      </w:pPr>
      <w:r>
        <w:rPr>
          <w:rStyle w:val="a5"/>
        </w:rPr>
        <w:footnoteRef/>
      </w:r>
      <w:r>
        <w:rPr>
          <w:rtl/>
        </w:rPr>
        <w:t xml:space="preserve"> </w:t>
      </w:r>
      <w:r>
        <w:rPr>
          <w:rFonts w:hint="cs"/>
          <w:rtl/>
        </w:rPr>
        <w:t>פסיקתא זוטרתא בא לעודד ולומר שאמנם אין ערובה ואין ביטחון לשום דבר, אבל היסוד תמיד קיים. שים לב איך 'על הדרך' הוא משנה את המשולש של המשנה: מקרא-משנה-דרך ארץ, לתורה-מעשים טובים-דרך ארץ. החוט המשולש של תורה, מעשים טובים ודרך ארץ הוא יסוד איתן שגם אם חו"ח אדם ניתק מצלע אחת מצלעותיו או יותר, תמיד יש לו לאן לחזור. בסיס המשולש תמיד קיים. ל</w:t>
      </w:r>
      <w:r w:rsidR="00A34446">
        <w:rPr>
          <w:rFonts w:hint="cs"/>
          <w:rtl/>
        </w:rPr>
        <w:t xml:space="preserve">פיכך, </w:t>
      </w:r>
      <w:r>
        <w:rPr>
          <w:rFonts w:hint="cs"/>
          <w:rtl/>
        </w:rPr>
        <w:t xml:space="preserve">חינוך מוקדם ככל האפשר לחוט המשולש הבסיסי של המשנה </w:t>
      </w:r>
      <w:r w:rsidR="008D5816">
        <w:rPr>
          <w:rFonts w:hint="cs"/>
          <w:rtl/>
        </w:rPr>
        <w:t>א</w:t>
      </w:r>
      <w:r>
        <w:rPr>
          <w:rFonts w:hint="cs"/>
          <w:rtl/>
        </w:rPr>
        <w:t>ו</w:t>
      </w:r>
      <w:r w:rsidR="008D5816">
        <w:rPr>
          <w:rFonts w:hint="cs"/>
          <w:rtl/>
        </w:rPr>
        <w:t xml:space="preserve"> </w:t>
      </w:r>
      <w:r w:rsidR="00894F1A">
        <w:rPr>
          <w:rFonts w:hint="cs"/>
          <w:rtl/>
        </w:rPr>
        <w:t xml:space="preserve">של </w:t>
      </w:r>
      <w:r>
        <w:rPr>
          <w:rFonts w:hint="cs"/>
          <w:rtl/>
        </w:rPr>
        <w:t xml:space="preserve">הפסיקתא זוטרתא, הוא חשוב ביותר. ראה דברינו </w:t>
      </w:r>
      <w:hyperlink r:id="rId3" w:history="1">
        <w:r w:rsidRPr="001C01BB">
          <w:rPr>
            <w:rStyle w:val="Hyperlink"/>
            <w:rFonts w:hint="cs"/>
            <w:rtl/>
          </w:rPr>
          <w:t>מורשה קהילת יעקב</w:t>
        </w:r>
      </w:hyperlink>
      <w:r>
        <w:rPr>
          <w:rFonts w:hint="cs"/>
          <w:rtl/>
        </w:rPr>
        <w:t xml:space="preserve"> בפרשת וזאת הברכה, שם הבאנו, בין השאר, את המשל על: </w:t>
      </w:r>
      <w:r>
        <w:rPr>
          <w:rFonts w:hint="cs"/>
          <w:rtl/>
          <w:lang w:val="he-IL"/>
        </w:rPr>
        <w:t>"בן המלכים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אפילו לאחר מאה שנה, אינו בוש לחזור, מפני שהוא אומר: לירושתי אני חוזר. לכך נאמר: מורשה קהילת יעקב".</w:t>
      </w:r>
      <w:r w:rsidR="00BF63EA">
        <w:rPr>
          <w:rFonts w:hint="cs"/>
          <w:rtl/>
        </w:rPr>
        <w:t xml:space="preserve"> אין כמו "גרסא דינקותא".</w:t>
      </w:r>
    </w:p>
  </w:footnote>
  <w:footnote w:id="7">
    <w:p w14:paraId="5305ADA7" w14:textId="77777777" w:rsidR="002E3D91" w:rsidRDefault="002E3D91" w:rsidP="00ED5C2F">
      <w:pPr>
        <w:pStyle w:val="a3"/>
        <w:rPr>
          <w:rFonts w:hint="cs"/>
        </w:rPr>
      </w:pPr>
      <w:r>
        <w:rPr>
          <w:rStyle w:val="a5"/>
        </w:rPr>
        <w:footnoteRef/>
      </w:r>
      <w:r>
        <w:rPr>
          <w:rtl/>
        </w:rPr>
        <w:t xml:space="preserve"> </w:t>
      </w:r>
      <w:r>
        <w:rPr>
          <w:rFonts w:hint="cs"/>
          <w:rtl/>
        </w:rPr>
        <w:t>ובהמשך המסכת והפרק, ב</w:t>
      </w:r>
      <w:r>
        <w:rPr>
          <w:rtl/>
        </w:rPr>
        <w:t>משנה יח</w:t>
      </w:r>
      <w:r>
        <w:rPr>
          <w:rFonts w:hint="cs"/>
          <w:rtl/>
        </w:rPr>
        <w:t>: "</w:t>
      </w:r>
      <w:r>
        <w:rPr>
          <w:rtl/>
        </w:rPr>
        <w:t>רבן שמעון בן גמליאל אומר</w:t>
      </w:r>
      <w:r>
        <w:rPr>
          <w:rFonts w:hint="cs"/>
          <w:rtl/>
        </w:rPr>
        <w:t>:</w:t>
      </w:r>
      <w:r>
        <w:rPr>
          <w:rtl/>
        </w:rPr>
        <w:t xml:space="preserve"> על של</w:t>
      </w:r>
      <w:r w:rsidR="00A42B3E">
        <w:rPr>
          <w:rFonts w:hint="cs"/>
          <w:rtl/>
        </w:rPr>
        <w:t>ו</w:t>
      </w:r>
      <w:r>
        <w:rPr>
          <w:rtl/>
        </w:rPr>
        <w:t>שה דברים העולם עומד</w:t>
      </w:r>
      <w:r>
        <w:rPr>
          <w:rFonts w:hint="cs"/>
          <w:rtl/>
        </w:rPr>
        <w:t>:</w:t>
      </w:r>
      <w:r>
        <w:rPr>
          <w:rtl/>
        </w:rPr>
        <w:t xml:space="preserve"> על הדין ועל האמת ועל השלום שנאמר (זכריה ח) אמת ומשפט שלום שפטו בשעריכם</w:t>
      </w:r>
      <w:r>
        <w:rPr>
          <w:rFonts w:hint="cs"/>
          <w:rtl/>
        </w:rPr>
        <w:t>". ויש עוד לא מעט "שלוש" או "שלושה" במסכת זו כגון: "הסתכל בשלושה דברים</w:t>
      </w:r>
      <w:r w:rsidR="00A42B3E">
        <w:rPr>
          <w:rFonts w:hint="cs"/>
          <w:rtl/>
        </w:rPr>
        <w:t xml:space="preserve"> ואי אתה בא לידי עבירה</w:t>
      </w:r>
      <w:r>
        <w:rPr>
          <w:rFonts w:hint="cs"/>
          <w:rtl/>
        </w:rPr>
        <w:t>" (</w:t>
      </w:r>
      <w:r w:rsidR="00A42B3E">
        <w:rPr>
          <w:rFonts w:hint="cs"/>
          <w:rtl/>
        </w:rPr>
        <w:t xml:space="preserve">בדומה לדברי קהלת: "לא במהרה ינתק", ראה הערה 5 לעיל), </w:t>
      </w:r>
      <w:r>
        <w:rPr>
          <w:rFonts w:hint="cs"/>
          <w:rtl/>
        </w:rPr>
        <w:t xml:space="preserve">וגם מספרים אחרים </w:t>
      </w:r>
      <w:r w:rsidR="00A42B3E">
        <w:rPr>
          <w:rFonts w:hint="cs"/>
          <w:rtl/>
        </w:rPr>
        <w:t xml:space="preserve">שם </w:t>
      </w:r>
      <w:r>
        <w:rPr>
          <w:rFonts w:hint="cs"/>
          <w:rtl/>
        </w:rPr>
        <w:t>כמו</w:t>
      </w:r>
      <w:r w:rsidR="00A42B3E">
        <w:rPr>
          <w:rFonts w:hint="cs"/>
          <w:rtl/>
        </w:rPr>
        <w:t>:</w:t>
      </w:r>
      <w:r>
        <w:rPr>
          <w:rFonts w:hint="cs"/>
          <w:rtl/>
        </w:rPr>
        <w:t xml:space="preserve"> ארבע, חמש, שבע, עשר</w:t>
      </w:r>
      <w:r w:rsidR="00A42B3E">
        <w:rPr>
          <w:rFonts w:hint="cs"/>
          <w:rtl/>
        </w:rPr>
        <w:t xml:space="preserve"> ועוד</w:t>
      </w:r>
      <w:r>
        <w:rPr>
          <w:rFonts w:hint="cs"/>
          <w:rtl/>
        </w:rPr>
        <w:t>. המספר שלוש כאמור הוא מספר "עומד" מינימלי. ראה דברי משה לקב"ה במדרש, בעקבות חטא העגל</w:t>
      </w:r>
      <w:r w:rsidR="00A42B3E">
        <w:rPr>
          <w:rFonts w:hint="cs"/>
          <w:rtl/>
        </w:rPr>
        <w:t xml:space="preserve"> והצעת הקב"ה</w:t>
      </w:r>
      <w:r w:rsidR="00ED5C2F">
        <w:rPr>
          <w:rFonts w:hint="cs"/>
          <w:rtl/>
        </w:rPr>
        <w:t>: "</w:t>
      </w:r>
      <w:r w:rsidR="00ED5C2F">
        <w:rPr>
          <w:rtl/>
        </w:rPr>
        <w:t xml:space="preserve">הֶרֶף מִמֶּנִּי וְאַשְׁמִידֵם </w:t>
      </w:r>
      <w:r w:rsidR="00ED5C2F">
        <w:rPr>
          <w:rFonts w:hint="cs"/>
          <w:rtl/>
        </w:rPr>
        <w:t xml:space="preserve">... </w:t>
      </w:r>
      <w:r w:rsidR="00ED5C2F">
        <w:rPr>
          <w:rtl/>
        </w:rPr>
        <w:t>וְאֶעֱשֶׂה אוֹתְךָ לְגוֹי עָצוּם וָרָב מִמֶּנּוּ</w:t>
      </w:r>
      <w:r w:rsidR="00ED5C2F">
        <w:rPr>
          <w:rFonts w:hint="cs"/>
          <w:rtl/>
        </w:rPr>
        <w:t>" (</w:t>
      </w:r>
      <w:r w:rsidR="00ED5C2F">
        <w:rPr>
          <w:rtl/>
        </w:rPr>
        <w:t xml:space="preserve">דברים </w:t>
      </w:r>
      <w:r w:rsidR="00ED5C2F">
        <w:rPr>
          <w:rFonts w:hint="cs"/>
          <w:rtl/>
        </w:rPr>
        <w:t>ט יד). אומר משה לקב"ה</w:t>
      </w:r>
      <w:r>
        <w:rPr>
          <w:rFonts w:hint="cs"/>
          <w:rtl/>
        </w:rPr>
        <w:t>: "</w:t>
      </w:r>
      <w:r>
        <w:rPr>
          <w:rtl/>
        </w:rPr>
        <w:t>ומה כסא של שלש רגלים אינו יכול לעמוד לפניך בשעת כעסך, כסא של רגל אחד על אחת כמה וכמה!</w:t>
      </w:r>
      <w:r>
        <w:rPr>
          <w:rFonts w:hint="cs"/>
          <w:rtl/>
        </w:rPr>
        <w:t>" (</w:t>
      </w:r>
      <w:r>
        <w:rPr>
          <w:rtl/>
        </w:rPr>
        <w:t>ברכות דף לב עמוד א</w:t>
      </w:r>
      <w:r>
        <w:rPr>
          <w:rFonts w:hint="cs"/>
          <w:rtl/>
        </w:rPr>
        <w:t xml:space="preserve">). ובגמרא </w:t>
      </w:r>
      <w:r>
        <w:rPr>
          <w:rtl/>
        </w:rPr>
        <w:t>מכות דף כד עמוד א</w:t>
      </w:r>
      <w:r>
        <w:rPr>
          <w:rFonts w:hint="cs"/>
          <w:rtl/>
        </w:rPr>
        <w:t>: "</w:t>
      </w:r>
      <w:r>
        <w:rPr>
          <w:rtl/>
        </w:rPr>
        <w:t>בא מיכה והעמידן על שלש, דכתיב: הגיד לך אדם מה טוב ומה ה' דורש ממך כי אם עשות משפט ואהבת חסד והצנע לכת עם אלהיך</w:t>
      </w:r>
      <w:r>
        <w:rPr>
          <w:rFonts w:hint="cs"/>
          <w:rtl/>
        </w:rPr>
        <w:t>". מגוון דעות לפנינו על המספר שלוש שקיים ומקיים. אבל אנחנו ניצמד לדרשות על "החוט המשולש" של קהלת ולא נפליג במפרש משולש</w:t>
      </w:r>
      <w:r>
        <w:rPr>
          <w:rtl/>
        </w:rPr>
        <w:t>.</w:t>
      </w:r>
    </w:p>
  </w:footnote>
  <w:footnote w:id="8">
    <w:p w14:paraId="1BE3D2AF" w14:textId="77777777" w:rsidR="007518DD" w:rsidRDefault="007518DD" w:rsidP="00A824D8">
      <w:pPr>
        <w:pStyle w:val="a3"/>
        <w:rPr>
          <w:rFonts w:hint="cs"/>
          <w:rtl/>
        </w:rPr>
      </w:pPr>
      <w:r>
        <w:rPr>
          <w:rStyle w:val="a5"/>
        </w:rPr>
        <w:footnoteRef/>
      </w:r>
      <w:r>
        <w:rPr>
          <w:rtl/>
        </w:rPr>
        <w:t xml:space="preserve"> </w:t>
      </w:r>
      <w:r w:rsidR="0062537D">
        <w:rPr>
          <w:rFonts w:hint="cs"/>
          <w:rtl/>
        </w:rPr>
        <w:t>ח</w:t>
      </w:r>
      <w:r w:rsidR="00ED5C2F">
        <w:rPr>
          <w:rFonts w:hint="cs"/>
          <w:rtl/>
        </w:rPr>
        <w:t xml:space="preserve">זרנו ל"חוט המשולש" </w:t>
      </w:r>
      <w:r w:rsidR="0062537D">
        <w:rPr>
          <w:rFonts w:hint="cs"/>
          <w:rtl/>
        </w:rPr>
        <w:t>ו</w:t>
      </w:r>
      <w:r>
        <w:rPr>
          <w:rFonts w:hint="cs"/>
          <w:rtl/>
        </w:rPr>
        <w:t xml:space="preserve">כאן אולי המקום </w:t>
      </w:r>
      <w:r w:rsidR="00A824D8">
        <w:rPr>
          <w:rFonts w:hint="cs"/>
          <w:rtl/>
        </w:rPr>
        <w:t>לעצור ו</w:t>
      </w:r>
      <w:r>
        <w:rPr>
          <w:rFonts w:hint="cs"/>
          <w:rtl/>
        </w:rPr>
        <w:t xml:space="preserve">להסביר מהו </w:t>
      </w:r>
      <w:r w:rsidR="008D5816">
        <w:rPr>
          <w:rFonts w:hint="cs"/>
          <w:rtl/>
        </w:rPr>
        <w:t>ה</w:t>
      </w:r>
      <w:r>
        <w:rPr>
          <w:rFonts w:hint="cs"/>
          <w:rtl/>
        </w:rPr>
        <w:t xml:space="preserve">פשט </w:t>
      </w:r>
      <w:r w:rsidR="008D5816">
        <w:rPr>
          <w:rFonts w:hint="cs"/>
          <w:rtl/>
        </w:rPr>
        <w:t xml:space="preserve">של </w:t>
      </w:r>
      <w:r>
        <w:rPr>
          <w:rFonts w:hint="cs"/>
          <w:rtl/>
        </w:rPr>
        <w:t xml:space="preserve">"חוט משולש"? </w:t>
      </w:r>
      <w:r w:rsidR="0062537D">
        <w:rPr>
          <w:rFonts w:hint="cs"/>
          <w:rtl/>
        </w:rPr>
        <w:t xml:space="preserve">התשובה: </w:t>
      </w:r>
      <w:r>
        <w:rPr>
          <w:rFonts w:hint="cs"/>
          <w:rtl/>
        </w:rPr>
        <w:t xml:space="preserve">חבל שמורכב משלושה חוטים השזורים יחד לחבל עבה וחזק שנקרא גם "עבות" (ראה ישעיהו ה יח: "עבות העגלה"). ראה </w:t>
      </w:r>
      <w:r>
        <w:rPr>
          <w:rtl/>
        </w:rPr>
        <w:t xml:space="preserve">הכתב והקבלה </w:t>
      </w:r>
      <w:r>
        <w:rPr>
          <w:rFonts w:hint="cs"/>
          <w:rtl/>
        </w:rPr>
        <w:t xml:space="preserve">על הפסוק בברית בין הבתרים, </w:t>
      </w:r>
      <w:r>
        <w:rPr>
          <w:rtl/>
        </w:rPr>
        <w:t xml:space="preserve">בראשית טו </w:t>
      </w:r>
      <w:r>
        <w:rPr>
          <w:rFonts w:hint="cs"/>
          <w:rtl/>
        </w:rPr>
        <w:t>ט: "קח לי עגלה משולשת ועז משולשת ואיל משולש"</w:t>
      </w:r>
      <w:r w:rsidR="00A824D8">
        <w:rPr>
          <w:rFonts w:hint="cs"/>
          <w:rtl/>
        </w:rPr>
        <w:t xml:space="preserve">. </w:t>
      </w:r>
      <w:r w:rsidR="00A824D8">
        <w:rPr>
          <w:rtl/>
        </w:rPr>
        <w:t xml:space="preserve">רש"י </w:t>
      </w:r>
      <w:r w:rsidR="00A824D8">
        <w:rPr>
          <w:rFonts w:hint="cs"/>
          <w:rtl/>
        </w:rPr>
        <w:t>מפרש פסוק זה: "</w:t>
      </w:r>
      <w:r w:rsidR="00A824D8">
        <w:rPr>
          <w:rtl/>
        </w:rPr>
        <w:t>עגלה מש</w:t>
      </w:r>
      <w:r w:rsidR="00A824D8">
        <w:rPr>
          <w:rFonts w:hint="cs"/>
          <w:rtl/>
        </w:rPr>
        <w:t>ו</w:t>
      </w:r>
      <w:r w:rsidR="00A824D8">
        <w:rPr>
          <w:rtl/>
        </w:rPr>
        <w:t>לשת - שלשה עגלים</w:t>
      </w:r>
      <w:r w:rsidR="00A824D8">
        <w:rPr>
          <w:rFonts w:hint="cs"/>
          <w:rtl/>
        </w:rPr>
        <w:t>". מוסיף בעל הכתב והקבלה ומסביר: "</w:t>
      </w:r>
      <w:r w:rsidR="00A824D8">
        <w:rPr>
          <w:rtl/>
        </w:rPr>
        <w:t>ויתואר הדבר בשם משולש ומרובע כשמספר של</w:t>
      </w:r>
      <w:r w:rsidR="00A824D8">
        <w:rPr>
          <w:rFonts w:hint="cs"/>
          <w:rtl/>
        </w:rPr>
        <w:t>ו</w:t>
      </w:r>
      <w:r w:rsidR="00A824D8">
        <w:rPr>
          <w:rtl/>
        </w:rPr>
        <w:t>שה וארבעה בו בעצמו, כמו שולחן משולש כשיש בו ג' צלעות, ומרובה בעל ארבע צלעות</w:t>
      </w:r>
      <w:r w:rsidR="00A824D8">
        <w:rPr>
          <w:rFonts w:hint="cs"/>
          <w:rtl/>
        </w:rPr>
        <w:t>.</w:t>
      </w:r>
      <w:r w:rsidR="00A824D8">
        <w:rPr>
          <w:rtl/>
        </w:rPr>
        <w:t xml:space="preserve"> וכן והחוט המשולש (קהלת ד') כפול של</w:t>
      </w:r>
      <w:r w:rsidR="00A824D8">
        <w:rPr>
          <w:rFonts w:hint="cs"/>
          <w:rtl/>
        </w:rPr>
        <w:t>ו</w:t>
      </w:r>
      <w:r w:rsidR="00A824D8">
        <w:rPr>
          <w:rtl/>
        </w:rPr>
        <w:t>ש</w:t>
      </w:r>
      <w:r w:rsidR="00A824D8">
        <w:rPr>
          <w:rFonts w:hint="cs"/>
          <w:rtl/>
        </w:rPr>
        <w:t xml:space="preserve">, רוצה לומר: </w:t>
      </w:r>
      <w:r w:rsidR="00A824D8">
        <w:rPr>
          <w:rtl/>
        </w:rPr>
        <w:t>בעל ג' חוטין</w:t>
      </w:r>
      <w:r w:rsidR="00A824D8">
        <w:rPr>
          <w:rFonts w:hint="cs"/>
          <w:rtl/>
        </w:rPr>
        <w:t>". ראה פירושו המלא שם.</w:t>
      </w:r>
    </w:p>
  </w:footnote>
  <w:footnote w:id="9">
    <w:p w14:paraId="0E165673" w14:textId="77777777" w:rsidR="007518DD" w:rsidRDefault="007518DD">
      <w:pPr>
        <w:pStyle w:val="a3"/>
        <w:rPr>
          <w:rFonts w:hint="cs"/>
        </w:rPr>
      </w:pPr>
      <w:r>
        <w:rPr>
          <w:rStyle w:val="a5"/>
        </w:rPr>
        <w:footnoteRef/>
      </w:r>
      <w:r>
        <w:rPr>
          <w:rtl/>
        </w:rPr>
        <w:t xml:space="preserve"> </w:t>
      </w:r>
      <w:r>
        <w:rPr>
          <w:rFonts w:hint="cs"/>
          <w:rtl/>
        </w:rPr>
        <w:t>שאברהם היה יחיד באמונתו וסבל בשל כך ונאלץ לנדוד.</w:t>
      </w:r>
    </w:p>
  </w:footnote>
  <w:footnote w:id="10">
    <w:p w14:paraId="09FF2936" w14:textId="77777777" w:rsidR="007518DD" w:rsidRDefault="007518DD">
      <w:pPr>
        <w:pStyle w:val="a3"/>
        <w:rPr>
          <w:rFonts w:hint="cs"/>
          <w:rtl/>
        </w:rPr>
      </w:pPr>
      <w:r>
        <w:rPr>
          <w:rStyle w:val="a5"/>
        </w:rPr>
        <w:footnoteRef/>
      </w:r>
      <w:r>
        <w:rPr>
          <w:rtl/>
        </w:rPr>
        <w:t xml:space="preserve"> </w:t>
      </w:r>
      <w:r>
        <w:rPr>
          <w:rFonts w:hint="cs"/>
          <w:rtl/>
        </w:rPr>
        <w:t xml:space="preserve">להלן נראה (קהלת רבה) </w:t>
      </w:r>
      <w:r w:rsidR="00553C88">
        <w:rPr>
          <w:rFonts w:hint="cs"/>
          <w:rtl/>
        </w:rPr>
        <w:t xml:space="preserve">דעה אחרת, </w:t>
      </w:r>
      <w:r>
        <w:rPr>
          <w:rFonts w:hint="cs"/>
          <w:rtl/>
        </w:rPr>
        <w:t>שאברהם ושרה כבר היו "טובים השניים מן האחד" ויצחק הוא החוט המשולש.</w:t>
      </w:r>
    </w:p>
  </w:footnote>
  <w:footnote w:id="11">
    <w:p w14:paraId="1CDCAF45" w14:textId="77777777" w:rsidR="007518DD" w:rsidRDefault="007518DD" w:rsidP="0062537D">
      <w:pPr>
        <w:pStyle w:val="a3"/>
        <w:rPr>
          <w:rFonts w:hint="cs"/>
          <w:rtl/>
        </w:rPr>
      </w:pPr>
      <w:r>
        <w:rPr>
          <w:rStyle w:val="a5"/>
        </w:rPr>
        <w:footnoteRef/>
      </w:r>
      <w:r>
        <w:rPr>
          <w:rtl/>
        </w:rPr>
        <w:t xml:space="preserve"> </w:t>
      </w:r>
      <w:r>
        <w:rPr>
          <w:rFonts w:hint="cs"/>
          <w:rtl/>
        </w:rPr>
        <w:t>הרי לנו "חוט משולש"</w:t>
      </w:r>
      <w:r w:rsidR="0062537D">
        <w:rPr>
          <w:rFonts w:hint="cs"/>
          <w:rtl/>
        </w:rPr>
        <w:t xml:space="preserve"> - ה</w:t>
      </w:r>
      <w:r>
        <w:rPr>
          <w:rFonts w:hint="cs"/>
          <w:rtl/>
        </w:rPr>
        <w:t xml:space="preserve">חוט </w:t>
      </w:r>
      <w:r w:rsidR="0062537D">
        <w:rPr>
          <w:rFonts w:hint="cs"/>
          <w:rtl/>
        </w:rPr>
        <w:t>ה</w:t>
      </w:r>
      <w:r>
        <w:rPr>
          <w:rFonts w:hint="cs"/>
          <w:rtl/>
        </w:rPr>
        <w:t xml:space="preserve">שלישי שיצר חבל עבות משולש, </w:t>
      </w:r>
      <w:r w:rsidR="008D5816">
        <w:rPr>
          <w:rFonts w:hint="cs"/>
          <w:rtl/>
        </w:rPr>
        <w:t>מ</w:t>
      </w:r>
      <w:r>
        <w:rPr>
          <w:rFonts w:hint="cs"/>
          <w:rtl/>
        </w:rPr>
        <w:t>שלושת אבות האומה. ממשולש זה נוצרו "משולשים" ושילשים רבים כפי שמאריך ומפרט מדרש תנחומא ב</w:t>
      </w:r>
      <w:r>
        <w:rPr>
          <w:rtl/>
        </w:rPr>
        <w:t>פרשת יתרו סימן י</w:t>
      </w:r>
      <w:r>
        <w:rPr>
          <w:rFonts w:hint="cs"/>
          <w:rtl/>
        </w:rPr>
        <w:t xml:space="preserve">: "בחודש השלישי ... תורה משולשת ... משנה משולשת ... שליח משולש (משה אהרון ומרים) וכו' ". וכמובן תפילה משולשת </w:t>
      </w:r>
      <w:hyperlink r:id="rId4" w:history="1">
        <w:r w:rsidRPr="00A34446">
          <w:rPr>
            <w:rStyle w:val="Hyperlink"/>
            <w:rFonts w:hint="cs"/>
            <w:rtl/>
          </w:rPr>
          <w:t>שהאבות תקנו</w:t>
        </w:r>
      </w:hyperlink>
      <w:r w:rsidR="008D5816">
        <w:rPr>
          <w:rFonts w:hint="cs"/>
          <w:rtl/>
        </w:rPr>
        <w:t xml:space="preserve"> </w:t>
      </w:r>
      <w:r>
        <w:rPr>
          <w:rFonts w:hint="cs"/>
          <w:rtl/>
        </w:rPr>
        <w:t xml:space="preserve">ועוד ועוד. על חלק מהם נתעכב להלן, לא על כולם כמובן. כאן, רק נשוב ונציין את הדומיננטיות של יעקב שנקרא "בחיר האבות" או "הבחור שבאבות" (בראשית רבה א, שכל טוב בראשית לג יז). יעקב הוא החוט השלישי שהשלים את עבות עגלת אבות האומה. ראה דברינו </w:t>
      </w:r>
      <w:hyperlink r:id="rId5" w:history="1">
        <w:r w:rsidRPr="008D0346">
          <w:rPr>
            <w:rStyle w:val="Hyperlink"/>
            <w:rFonts w:hint="cs"/>
            <w:rtl/>
          </w:rPr>
          <w:t>ואלה תולדות – אברהם יצחק ויעקב</w:t>
        </w:r>
      </w:hyperlink>
      <w:r>
        <w:rPr>
          <w:rFonts w:hint="cs"/>
          <w:rtl/>
        </w:rPr>
        <w:t xml:space="preserve"> בפרשת תולדות.</w:t>
      </w:r>
    </w:p>
  </w:footnote>
  <w:footnote w:id="12">
    <w:p w14:paraId="593CBBD0" w14:textId="77777777" w:rsidR="00B2041E" w:rsidRDefault="00B2041E" w:rsidP="009B2EC3">
      <w:pPr>
        <w:pStyle w:val="a3"/>
        <w:rPr>
          <w:rFonts w:hint="cs"/>
          <w:rtl/>
        </w:rPr>
      </w:pPr>
      <w:r>
        <w:rPr>
          <w:rStyle w:val="a5"/>
        </w:rPr>
        <w:footnoteRef/>
      </w:r>
      <w:r>
        <w:rPr>
          <w:rtl/>
        </w:rPr>
        <w:t xml:space="preserve"> </w:t>
      </w:r>
      <w:r>
        <w:rPr>
          <w:rFonts w:hint="cs"/>
          <w:rtl/>
        </w:rPr>
        <w:t xml:space="preserve">מדובר בלקיחת יהושע </w:t>
      </w:r>
      <w:r w:rsidR="00736DAF">
        <w:rPr>
          <w:rFonts w:hint="cs"/>
          <w:rtl/>
        </w:rPr>
        <w:t xml:space="preserve">ומינויו </w:t>
      </w:r>
      <w:r>
        <w:rPr>
          <w:rFonts w:hint="cs"/>
          <w:rtl/>
        </w:rPr>
        <w:t xml:space="preserve">כממשיך דרכו של משה, ככתוב בספר </w:t>
      </w:r>
      <w:r>
        <w:rPr>
          <w:rtl/>
        </w:rPr>
        <w:t>במדבר כז</w:t>
      </w:r>
      <w:r>
        <w:rPr>
          <w:rFonts w:hint="cs"/>
          <w:rtl/>
        </w:rPr>
        <w:t xml:space="preserve"> </w:t>
      </w:r>
      <w:r>
        <w:rPr>
          <w:rtl/>
        </w:rPr>
        <w:t>יח</w:t>
      </w:r>
      <w:r>
        <w:rPr>
          <w:rFonts w:hint="cs"/>
          <w:rtl/>
        </w:rPr>
        <w:t>: "</w:t>
      </w:r>
      <w:r>
        <w:rPr>
          <w:rtl/>
        </w:rPr>
        <w:t xml:space="preserve">וַיֹּאמֶר </w:t>
      </w:r>
      <w:r>
        <w:rPr>
          <w:rFonts w:hint="cs"/>
          <w:rtl/>
        </w:rPr>
        <w:t>ה'</w:t>
      </w:r>
      <w:r>
        <w:rPr>
          <w:rtl/>
        </w:rPr>
        <w:t xml:space="preserve"> אֶל־מֹשֶׁה קַח־לְךָ אֶת־יְהוֹשֻׁעַ בִּן־נוּן אִישׁ אֲשֶׁר־רוּחַ בּוֹ וְסָמַכְתָּ אֶת־יָדְךָ עָלָיו</w:t>
      </w:r>
      <w:r>
        <w:rPr>
          <w:rFonts w:hint="cs"/>
          <w:rtl/>
        </w:rPr>
        <w:t xml:space="preserve">". </w:t>
      </w:r>
      <w:r w:rsidR="00A34446">
        <w:rPr>
          <w:rFonts w:hint="cs"/>
          <w:rtl/>
        </w:rPr>
        <w:t>ב</w:t>
      </w:r>
      <w:r>
        <w:rPr>
          <w:rFonts w:hint="cs"/>
          <w:rtl/>
        </w:rPr>
        <w:t xml:space="preserve">נושא </w:t>
      </w:r>
      <w:r w:rsidR="008D5816">
        <w:rPr>
          <w:rFonts w:hint="cs"/>
          <w:rtl/>
        </w:rPr>
        <w:t xml:space="preserve">העברת ההנהגה ממשה ליהושע </w:t>
      </w:r>
      <w:r>
        <w:rPr>
          <w:rFonts w:hint="cs"/>
          <w:rtl/>
        </w:rPr>
        <w:t>עסקנו כבר מספר פעמים</w:t>
      </w:r>
      <w:r w:rsidR="00A34446">
        <w:rPr>
          <w:rFonts w:hint="cs"/>
          <w:rtl/>
        </w:rPr>
        <w:t xml:space="preserve">, ראה למשל דברינו </w:t>
      </w:r>
      <w:hyperlink r:id="rId6" w:history="1">
        <w:r w:rsidR="00A34446" w:rsidRPr="00010902">
          <w:rPr>
            <w:rStyle w:val="Hyperlink"/>
            <w:rFonts w:hint="cs"/>
            <w:rtl/>
          </w:rPr>
          <w:t>יפקוד ה' איש על העדה</w:t>
        </w:r>
      </w:hyperlink>
      <w:r w:rsidR="00A34446">
        <w:rPr>
          <w:rFonts w:hint="cs"/>
          <w:rtl/>
        </w:rPr>
        <w:t xml:space="preserve"> בפרשת </w:t>
      </w:r>
      <w:r w:rsidR="00010902">
        <w:rPr>
          <w:rFonts w:hint="cs"/>
          <w:rtl/>
        </w:rPr>
        <w:t>פנחס</w:t>
      </w:r>
      <w:r>
        <w:rPr>
          <w:rFonts w:hint="cs"/>
          <w:rtl/>
        </w:rPr>
        <w:t xml:space="preserve">. וכאן, ממשיך המדרש </w:t>
      </w:r>
      <w:r w:rsidR="008D5816">
        <w:rPr>
          <w:rFonts w:hint="cs"/>
          <w:rtl/>
        </w:rPr>
        <w:t>ל</w:t>
      </w:r>
      <w:r>
        <w:rPr>
          <w:rFonts w:hint="cs"/>
          <w:rtl/>
        </w:rPr>
        <w:t>נושא "קנה לך חבר".</w:t>
      </w:r>
      <w:r w:rsidR="008D5816">
        <w:rPr>
          <w:rFonts w:hint="cs"/>
          <w:rtl/>
        </w:rPr>
        <w:t xml:space="preserve"> </w:t>
      </w:r>
      <w:r w:rsidR="00CB60D6">
        <w:rPr>
          <w:rFonts w:hint="cs"/>
          <w:rtl/>
        </w:rPr>
        <w:t>אבל איפה כאן טובים השניים? יהושע הרי מחליף את משה ואין שניהם מכהנים ביחד כמו אהרון ומשה למשל, אי</w:t>
      </w:r>
      <w:r w:rsidR="009B2EC3">
        <w:rPr>
          <w:rFonts w:hint="cs"/>
          <w:rtl/>
        </w:rPr>
        <w:t>ך</w:t>
      </w:r>
      <w:r w:rsidR="00CB60D6">
        <w:rPr>
          <w:rFonts w:hint="cs"/>
          <w:rtl/>
        </w:rPr>
        <w:t xml:space="preserve"> הם חברים? התשובה כבר במדרש הקודם במעבר מאברהם ליצחק. מינוי מנהיג שני וממשיך (או בן יורש) הוא ה"שניים". שתי נקודות על הקו. המשכיות.</w:t>
      </w:r>
    </w:p>
  </w:footnote>
  <w:footnote w:id="13">
    <w:p w14:paraId="09FDFAED" w14:textId="77777777" w:rsidR="007518DD" w:rsidRDefault="007518DD">
      <w:pPr>
        <w:pStyle w:val="a3"/>
        <w:rPr>
          <w:rFonts w:hint="cs"/>
          <w:rtl/>
        </w:rPr>
      </w:pPr>
      <w:r>
        <w:rPr>
          <w:rStyle w:val="a5"/>
        </w:rPr>
        <w:footnoteRef/>
      </w:r>
      <w:r>
        <w:rPr>
          <w:rtl/>
        </w:rPr>
        <w:t xml:space="preserve"> </w:t>
      </w:r>
      <w:r>
        <w:rPr>
          <w:rFonts w:hint="cs"/>
          <w:rtl/>
        </w:rPr>
        <w:t>בקשיים רבים. וכמו שאומרים: "עשה לך רב וקנה לך חבר". רב עושים (בוחרים), אבל חבר טוב צריך לקנות בדמים מרובים.</w:t>
      </w:r>
    </w:p>
  </w:footnote>
  <w:footnote w:id="14">
    <w:p w14:paraId="6F8FF9D6" w14:textId="77777777" w:rsidR="00450244" w:rsidRDefault="00450244" w:rsidP="001E2A33">
      <w:pPr>
        <w:pStyle w:val="a3"/>
        <w:rPr>
          <w:rFonts w:hint="cs"/>
          <w:rtl/>
        </w:rPr>
      </w:pPr>
      <w:r>
        <w:rPr>
          <w:rStyle w:val="a5"/>
        </w:rPr>
        <w:footnoteRef/>
      </w:r>
      <w:r>
        <w:rPr>
          <w:rtl/>
        </w:rPr>
        <w:t xml:space="preserve"> </w:t>
      </w:r>
      <w:r>
        <w:rPr>
          <w:rFonts w:hint="cs"/>
          <w:rtl/>
        </w:rPr>
        <w:t xml:space="preserve">הדגש </w:t>
      </w:r>
      <w:r w:rsidR="00C37FA6">
        <w:rPr>
          <w:rFonts w:hint="cs"/>
          <w:rtl/>
        </w:rPr>
        <w:t xml:space="preserve">כאן </w:t>
      </w:r>
      <w:r>
        <w:rPr>
          <w:rFonts w:hint="cs"/>
          <w:rtl/>
        </w:rPr>
        <w:t>הוא על מוטיב החברותא שעיקרו בשניים: "</w:t>
      </w:r>
      <w:r>
        <w:rPr>
          <w:rtl/>
        </w:rPr>
        <w:t>טובים השנים מן האחד</w:t>
      </w:r>
      <w:r>
        <w:rPr>
          <w:rFonts w:hint="cs"/>
          <w:rtl/>
        </w:rPr>
        <w:t>", ועדיף עוד יותר לימוד בשלושה: "</w:t>
      </w:r>
      <w:r>
        <w:rPr>
          <w:rtl/>
        </w:rPr>
        <w:t>והחוט המשולש לא במהרה ינתק</w:t>
      </w:r>
      <w:r>
        <w:rPr>
          <w:rFonts w:hint="cs"/>
          <w:rtl/>
        </w:rPr>
        <w:t>". שהרי "דיבוק חברים ופלפול התלמידים" הם מארבעים ושמונה דרכים בהם התורה נקנית (מסכת אבות פרק ו משנה ו). ובגמרא ת</w:t>
      </w:r>
      <w:r>
        <w:rPr>
          <w:rtl/>
        </w:rPr>
        <w:t>ענית כג ע</w:t>
      </w:r>
      <w:r>
        <w:rPr>
          <w:rFonts w:hint="cs"/>
          <w:rtl/>
        </w:rPr>
        <w:t>"א (על סופו הקשה של חוני המעגל): "</w:t>
      </w:r>
      <w:r>
        <w:rPr>
          <w:rtl/>
        </w:rPr>
        <w:t>אמר רבא, היינו דאמרי אינשי: או חברותא או מיתותא</w:t>
      </w:r>
      <w:r>
        <w:rPr>
          <w:rFonts w:hint="cs"/>
          <w:rtl/>
        </w:rPr>
        <w:t>". וב</w:t>
      </w:r>
      <w:r>
        <w:rPr>
          <w:rtl/>
        </w:rPr>
        <w:t>מסכת ברכות סג ע</w:t>
      </w:r>
      <w:r>
        <w:rPr>
          <w:rFonts w:hint="cs"/>
          <w:rtl/>
        </w:rPr>
        <w:t>"ב: "</w:t>
      </w:r>
      <w:r>
        <w:rPr>
          <w:rtl/>
        </w:rPr>
        <w:t>הסכת - עשו כתות כתות ועסקו בתורה, לפי שאין התורה נקנית אלא בחבורה</w:t>
      </w:r>
      <w:r>
        <w:rPr>
          <w:rFonts w:hint="cs"/>
          <w:rtl/>
        </w:rPr>
        <w:t>"</w:t>
      </w:r>
      <w:r>
        <w:rPr>
          <w:rtl/>
        </w:rPr>
        <w:t>.</w:t>
      </w:r>
      <w:r w:rsidR="003A6663">
        <w:rPr>
          <w:rFonts w:hint="cs"/>
          <w:rtl/>
        </w:rPr>
        <w:t xml:space="preserve"> </w:t>
      </w:r>
      <w:r w:rsidR="00C37FA6">
        <w:rPr>
          <w:rFonts w:hint="cs"/>
          <w:rtl/>
        </w:rPr>
        <w:t>עוד הרבה במדרשים על מאמר חכמים: "וקנה לך חבר", כגון ב</w:t>
      </w:r>
      <w:r w:rsidR="00C37FA6">
        <w:rPr>
          <w:rtl/>
        </w:rPr>
        <w:t>אבות דרבי נתן נוסח א פרק ח</w:t>
      </w:r>
      <w:r w:rsidR="00C37FA6">
        <w:rPr>
          <w:rFonts w:hint="cs"/>
          <w:rtl/>
        </w:rPr>
        <w:t xml:space="preserve"> שמרחיב את ספרי לעיל</w:t>
      </w:r>
      <w:r w:rsidR="001E2A33">
        <w:rPr>
          <w:rFonts w:hint="cs"/>
          <w:rtl/>
        </w:rPr>
        <w:t>, ראה שם.</w:t>
      </w:r>
      <w:r w:rsidR="00C37FA6">
        <w:rPr>
          <w:rtl/>
        </w:rPr>
        <w:t xml:space="preserve"> </w:t>
      </w:r>
      <w:r w:rsidR="003A6663">
        <w:rPr>
          <w:rFonts w:hint="cs"/>
          <w:rtl/>
        </w:rPr>
        <w:t xml:space="preserve">אבל במעשה בראשית ומרכבה </w:t>
      </w:r>
      <w:r w:rsidR="00C37FA6">
        <w:rPr>
          <w:rFonts w:hint="cs"/>
          <w:rtl/>
        </w:rPr>
        <w:t xml:space="preserve">שנראה עוד להלן, </w:t>
      </w:r>
      <w:r w:rsidR="003A6663">
        <w:rPr>
          <w:rFonts w:hint="cs"/>
          <w:rtl/>
        </w:rPr>
        <w:t xml:space="preserve">רק ביחיד: הוא והרב, או אפילו בשני תלמידים, אבל לא בשלושה. </w:t>
      </w:r>
    </w:p>
  </w:footnote>
  <w:footnote w:id="15">
    <w:p w14:paraId="0170793D" w14:textId="77777777" w:rsidR="00553C88" w:rsidRDefault="00553C88" w:rsidP="003A6663">
      <w:pPr>
        <w:pStyle w:val="a3"/>
        <w:rPr>
          <w:rFonts w:hint="cs"/>
          <w:rtl/>
        </w:rPr>
      </w:pPr>
      <w:r>
        <w:rPr>
          <w:rStyle w:val="a5"/>
        </w:rPr>
        <w:footnoteRef/>
      </w:r>
      <w:r>
        <w:rPr>
          <w:rtl/>
        </w:rPr>
        <w:t xml:space="preserve"> </w:t>
      </w:r>
      <w:r>
        <w:rPr>
          <w:rFonts w:hint="cs"/>
          <w:rtl/>
        </w:rPr>
        <w:t xml:space="preserve">על מנת לאושש את "טובים השניים" </w:t>
      </w:r>
      <w:r>
        <w:rPr>
          <w:rtl/>
        </w:rPr>
        <w:t>–</w:t>
      </w:r>
      <w:r>
        <w:rPr>
          <w:rFonts w:hint="cs"/>
          <w:rtl/>
        </w:rPr>
        <w:t xml:space="preserve"> את משה שמעביר את התפקיד ליהושע, יש להוסיף את הצלע השלישית, את התורגמן (דמות מבית המדרש של חז"ל שהמדרש מעתיק למשה ויהושע), מי שעומד לשירותו של החכם ומשמיע את דברו לקהל הרחב, בקול ובשפה שהם מבינים. רק כך, כאשר יהושע עומד ודורש והמתורגמן עומד לפניו ומשה לצדו, רק אז הופכים "טובים השניים מן האחד", ל"חוט המשולש" שיחבר בין הדורות ויעביר את ההנהגה ממשה ליהושע, בתוקף ובחוזק "כעבותות העגלה". כל זה הוא עפ"י פיסוק המדרש כהבנתנו ואפשר </w:t>
      </w:r>
      <w:r w:rsidR="003A6663">
        <w:rPr>
          <w:rFonts w:hint="cs"/>
          <w:rtl/>
        </w:rPr>
        <w:t xml:space="preserve">גם </w:t>
      </w:r>
      <w:r>
        <w:rPr>
          <w:rFonts w:hint="cs"/>
          <w:rtl/>
        </w:rPr>
        <w:t xml:space="preserve">לפסק אחרת. </w:t>
      </w:r>
      <w:r w:rsidR="003A6663">
        <w:rPr>
          <w:rFonts w:hint="cs"/>
          <w:rtl/>
        </w:rPr>
        <w:t xml:space="preserve">כך או כך, </w:t>
      </w:r>
      <w:r>
        <w:rPr>
          <w:rFonts w:hint="cs"/>
          <w:rtl/>
        </w:rPr>
        <w:t xml:space="preserve">ראה דברינו </w:t>
      </w:r>
      <w:hyperlink r:id="rId7" w:history="1">
        <w:r w:rsidRPr="00982C70">
          <w:rPr>
            <w:rStyle w:val="Hyperlink"/>
            <w:rFonts w:hint="cs"/>
            <w:rtl/>
          </w:rPr>
          <w:t>עזה כמות אהבה קשה כשאול קנאה</w:t>
        </w:r>
      </w:hyperlink>
      <w:r>
        <w:rPr>
          <w:rFonts w:hint="cs"/>
          <w:rtl/>
        </w:rPr>
        <w:t xml:space="preserve"> בפרשת וילך, שם משתמע שהעברת ההנהגה לא הייתה כה פשוטה והחוט המשולש וגם הכפול, לא כל כך חיבר והתחבר. ראה גם דברינו </w:t>
      </w:r>
      <w:hyperlink r:id="rId8" w:history="1">
        <w:r w:rsidRPr="00982C70">
          <w:rPr>
            <w:rStyle w:val="Hyperlink"/>
            <w:rFonts w:hint="cs"/>
            <w:rtl/>
          </w:rPr>
          <w:t>חילופי דורות ומשמרות</w:t>
        </w:r>
      </w:hyperlink>
      <w:r>
        <w:rPr>
          <w:rFonts w:hint="cs"/>
          <w:rtl/>
        </w:rPr>
        <w:t xml:space="preserve"> בפרשת פנחס.</w:t>
      </w:r>
    </w:p>
  </w:footnote>
  <w:footnote w:id="16">
    <w:p w14:paraId="52E7BB40" w14:textId="77777777" w:rsidR="00010902" w:rsidRDefault="00010902" w:rsidP="00553C88">
      <w:pPr>
        <w:pStyle w:val="a3"/>
        <w:rPr>
          <w:rFonts w:hint="cs"/>
          <w:rtl/>
        </w:rPr>
      </w:pPr>
      <w:r>
        <w:rPr>
          <w:rStyle w:val="a5"/>
        </w:rPr>
        <w:footnoteRef/>
      </w:r>
      <w:r>
        <w:rPr>
          <w:rtl/>
        </w:rPr>
        <w:t xml:space="preserve"> </w:t>
      </w:r>
      <w:r>
        <w:rPr>
          <w:rFonts w:hint="cs"/>
          <w:rtl/>
        </w:rPr>
        <w:t xml:space="preserve">לפני הכל, מזכיר לנו רש"י את פשט הפסוק </w:t>
      </w:r>
      <w:r w:rsidR="00553C88">
        <w:rPr>
          <w:rFonts w:hint="cs"/>
          <w:rtl/>
        </w:rPr>
        <w:t>שמדבר ב</w:t>
      </w:r>
      <w:r>
        <w:rPr>
          <w:rFonts w:hint="cs"/>
          <w:rtl/>
        </w:rPr>
        <w:t>הגנה פיסית</w:t>
      </w:r>
      <w:r w:rsidR="00553C88">
        <w:rPr>
          <w:rFonts w:hint="cs"/>
          <w:rtl/>
        </w:rPr>
        <w:t xml:space="preserve"> במובן הבסיסי ביותר</w:t>
      </w:r>
      <w:r>
        <w:rPr>
          <w:rFonts w:hint="cs"/>
          <w:rtl/>
        </w:rPr>
        <w:t>. הפסוקים מסבירים היטב את עצמם.</w:t>
      </w:r>
    </w:p>
  </w:footnote>
  <w:footnote w:id="17">
    <w:p w14:paraId="1F0778E5" w14:textId="77777777" w:rsidR="00994C73" w:rsidRDefault="00994C73" w:rsidP="00553C88">
      <w:pPr>
        <w:pStyle w:val="a3"/>
        <w:rPr>
          <w:rFonts w:hint="cs"/>
          <w:rtl/>
        </w:rPr>
      </w:pPr>
      <w:r>
        <w:rPr>
          <w:rStyle w:val="a5"/>
        </w:rPr>
        <w:footnoteRef/>
      </w:r>
      <w:r>
        <w:rPr>
          <w:rtl/>
        </w:rPr>
        <w:t xml:space="preserve"> </w:t>
      </w:r>
      <w:r w:rsidR="00010902">
        <w:rPr>
          <w:rFonts w:hint="cs"/>
          <w:rtl/>
        </w:rPr>
        <w:t xml:space="preserve">בפירוש האחר, </w:t>
      </w:r>
      <w:r>
        <w:rPr>
          <w:rFonts w:hint="cs"/>
          <w:rtl/>
        </w:rPr>
        <w:t xml:space="preserve">מוסיף </w:t>
      </w:r>
      <w:r w:rsidR="00010902">
        <w:rPr>
          <w:rFonts w:hint="cs"/>
          <w:rtl/>
        </w:rPr>
        <w:t xml:space="preserve">רש"י </w:t>
      </w:r>
      <w:r>
        <w:rPr>
          <w:rFonts w:hint="cs"/>
          <w:rtl/>
        </w:rPr>
        <w:t xml:space="preserve">את הקישור לגמרא </w:t>
      </w:r>
      <w:r>
        <w:rPr>
          <w:rtl/>
        </w:rPr>
        <w:t>בבא מציעא פה ע</w:t>
      </w:r>
      <w:r>
        <w:rPr>
          <w:rFonts w:hint="cs"/>
          <w:rtl/>
        </w:rPr>
        <w:t>"א: "</w:t>
      </w:r>
      <w:r>
        <w:rPr>
          <w:rtl/>
        </w:rPr>
        <w:t>אמר רבי פרנך אמר רבי יוחנן: כל שהוא תלמיד חכם, ובנו תלמיד חכם, ובן בנו תלמיד חכם, - שוב אין תורה פוסקת מזרעו לעולם, שנאמר</w:t>
      </w:r>
      <w:r w:rsidR="008D5816">
        <w:rPr>
          <w:rFonts w:hint="cs"/>
          <w:rtl/>
        </w:rPr>
        <w:t>:</w:t>
      </w:r>
      <w:r>
        <w:rPr>
          <w:rtl/>
        </w:rPr>
        <w:t xml:space="preserve"> ואני זאת בריתי וגו' לא ימושו מפיך ומפי זרעך ומפי זרע זרעך אמר ה' מעתה ועד עולם</w:t>
      </w:r>
      <w:r>
        <w:rPr>
          <w:rFonts w:hint="cs"/>
          <w:rtl/>
        </w:rPr>
        <w:t>"</w:t>
      </w:r>
      <w:r>
        <w:rPr>
          <w:rtl/>
        </w:rPr>
        <w:t>.</w:t>
      </w:r>
      <w:r>
        <w:rPr>
          <w:rFonts w:hint="cs"/>
          <w:rtl/>
        </w:rPr>
        <w:t xml:space="preserve"> זהו חוט משולש בין-דורי, של שרשרת לימוד תורה שעובר מאב לבן ומבן לבנו וכו'.</w:t>
      </w:r>
      <w:r w:rsidR="003A6663">
        <w:rPr>
          <w:rFonts w:hint="cs"/>
          <w:rtl/>
        </w:rPr>
        <w:t xml:space="preserve"> ראה דברינו </w:t>
      </w:r>
      <w:hyperlink r:id="rId9" w:history="1">
        <w:r w:rsidR="003A6663" w:rsidRPr="0036311B">
          <w:rPr>
            <w:rStyle w:val="Hyperlink"/>
            <w:rFonts w:hint="cs"/>
            <w:rtl/>
          </w:rPr>
          <w:t>והודעתם לבניך ובני בניך</w:t>
        </w:r>
      </w:hyperlink>
      <w:r w:rsidR="003A6663">
        <w:rPr>
          <w:rFonts w:hint="cs"/>
          <w:rtl/>
        </w:rPr>
        <w:t xml:space="preserve"> בפרשת ואתחנן.</w:t>
      </w:r>
      <w:r>
        <w:rPr>
          <w:rFonts w:hint="cs"/>
          <w:rtl/>
        </w:rPr>
        <w:t xml:space="preserve"> </w:t>
      </w:r>
      <w:hyperlink r:id="rId10" w:history="1">
        <w:r w:rsidRPr="00D23DF2">
          <w:rPr>
            <w:rStyle w:val="Hyperlink"/>
            <w:rFonts w:hint="cs"/>
            <w:rtl/>
          </w:rPr>
          <w:t>רש"י אישית</w:t>
        </w:r>
      </w:hyperlink>
      <w:r>
        <w:rPr>
          <w:rFonts w:hint="cs"/>
          <w:rtl/>
        </w:rPr>
        <w:t xml:space="preserve"> זכה לכך, אבל גם על כך אפשר </w:t>
      </w:r>
      <w:r w:rsidR="00553C88">
        <w:rPr>
          <w:rFonts w:hint="cs"/>
          <w:rtl/>
        </w:rPr>
        <w:t>להחיל</w:t>
      </w:r>
      <w:r>
        <w:rPr>
          <w:rFonts w:hint="cs"/>
          <w:rtl/>
        </w:rPr>
        <w:t xml:space="preserve"> את דברי הירושלמי לעיל: "</w:t>
      </w:r>
      <w:r>
        <w:rPr>
          <w:rtl/>
        </w:rPr>
        <w:t>והחוט המשולש לא לעולם ינתק</w:t>
      </w:r>
      <w:r>
        <w:rPr>
          <w:rFonts w:hint="cs"/>
          <w:rtl/>
        </w:rPr>
        <w:t xml:space="preserve"> -</w:t>
      </w:r>
      <w:r>
        <w:rPr>
          <w:rtl/>
        </w:rPr>
        <w:t xml:space="preserve"> אין כתיב כאן</w:t>
      </w:r>
      <w:r>
        <w:rPr>
          <w:rFonts w:hint="cs"/>
          <w:rtl/>
        </w:rPr>
        <w:t>,</w:t>
      </w:r>
      <w:r>
        <w:rPr>
          <w:rtl/>
        </w:rPr>
        <w:t xml:space="preserve"> אלא</w:t>
      </w:r>
      <w:r>
        <w:rPr>
          <w:rFonts w:hint="cs"/>
          <w:rtl/>
        </w:rPr>
        <w:t>:</w:t>
      </w:r>
      <w:r>
        <w:rPr>
          <w:rtl/>
        </w:rPr>
        <w:t xml:space="preserve"> לא במהרה ינתק</w:t>
      </w:r>
      <w:r>
        <w:rPr>
          <w:rFonts w:hint="cs"/>
          <w:rtl/>
        </w:rPr>
        <w:t xml:space="preserve">". והיו לא מעט שושלות מפוארות של תלמידי חכמים </w:t>
      </w:r>
      <w:r w:rsidR="00123DE3">
        <w:rPr>
          <w:rFonts w:hint="cs"/>
          <w:rtl/>
        </w:rPr>
        <w:t xml:space="preserve">בתולדות עם ישראל </w:t>
      </w:r>
      <w:r>
        <w:rPr>
          <w:rFonts w:hint="cs"/>
          <w:rtl/>
        </w:rPr>
        <w:t xml:space="preserve">שפסקה מהם תורה ועברה לאכסניה אחרת. (שוב ראינו שדברי רש"י אלה </w:t>
      </w:r>
      <w:r w:rsidR="0036311B">
        <w:rPr>
          <w:rFonts w:hint="cs"/>
          <w:rtl/>
        </w:rPr>
        <w:t xml:space="preserve">על שני חלקיהם </w:t>
      </w:r>
      <w:r>
        <w:rPr>
          <w:rFonts w:hint="cs"/>
          <w:rtl/>
        </w:rPr>
        <w:t>מבוססים על מדרש תהלים מזמור נט</w:t>
      </w:r>
      <w:r w:rsidR="0036311B">
        <w:rPr>
          <w:rFonts w:hint="cs"/>
          <w:rtl/>
        </w:rPr>
        <w:t>, עיין שם</w:t>
      </w:r>
      <w:r>
        <w:rPr>
          <w:rFonts w:hint="cs"/>
          <w:rtl/>
        </w:rPr>
        <w:t>). כך או כך, נמשיך בחוט המשולש הבין-דורי</w:t>
      </w:r>
      <w:r w:rsidR="00123DE3">
        <w:rPr>
          <w:rFonts w:hint="cs"/>
          <w:rtl/>
        </w:rPr>
        <w:t xml:space="preserve"> שטוו לנו רש"י ומדרש תהלים</w:t>
      </w:r>
      <w:r>
        <w:rPr>
          <w:rFonts w:hint="cs"/>
          <w:rtl/>
        </w:rPr>
        <w:t>.</w:t>
      </w:r>
    </w:p>
  </w:footnote>
  <w:footnote w:id="18">
    <w:p w14:paraId="7CB5A4AE" w14:textId="77777777" w:rsidR="007518DD" w:rsidRDefault="007518DD" w:rsidP="0036311B">
      <w:pPr>
        <w:pStyle w:val="a3"/>
        <w:rPr>
          <w:rFonts w:hint="cs"/>
        </w:rPr>
      </w:pPr>
      <w:r>
        <w:rPr>
          <w:rStyle w:val="a5"/>
        </w:rPr>
        <w:footnoteRef/>
      </w:r>
      <w:r>
        <w:rPr>
          <w:rtl/>
        </w:rPr>
        <w:t xml:space="preserve"> </w:t>
      </w:r>
      <w:r w:rsidR="0036311B" w:rsidRPr="008B1CA0">
        <w:rPr>
          <w:rtl/>
        </w:rPr>
        <w:t>רבי חמא בר ביסא</w:t>
      </w:r>
      <w:r w:rsidR="0036311B">
        <w:rPr>
          <w:rtl/>
        </w:rPr>
        <w:t xml:space="preserve"> </w:t>
      </w:r>
      <w:r w:rsidR="0036311B">
        <w:rPr>
          <w:rFonts w:hint="cs"/>
          <w:rtl/>
        </w:rPr>
        <w:t xml:space="preserve">יש שתים עשרה שנה בבית המדרש, אמר: </w:t>
      </w:r>
      <w:r>
        <w:rPr>
          <w:rFonts w:hint="cs"/>
          <w:rtl/>
        </w:rPr>
        <w:t>לא אעשה כמו שעשה בן חכינאי. הגמרא בכתובות שם מספרת על חכמים שגלו למקום תורה לפרקי זמן ארוכים</w:t>
      </w:r>
      <w:r w:rsidR="0036311B">
        <w:rPr>
          <w:rFonts w:hint="cs"/>
          <w:rtl/>
        </w:rPr>
        <w:t xml:space="preserve"> </w:t>
      </w:r>
      <w:r>
        <w:rPr>
          <w:rFonts w:hint="cs"/>
          <w:rtl/>
        </w:rPr>
        <w:t>של שנים, ומה קרה להם או לבני משפחתם עקב ריחוק גדול זה, או ברגע המפגש המהמם. ראה שם גם הסיפור על רבי עקיבא ורחל. אחד הסיפורים הקשים שם הוא על רבי חנניה בן חכינאי שמגיע לעירו לאחר שתים עשרה שנה של ניתוק גמור בהם גם לא שלח והתעניין מה קורה בביתו (בניגוד לאחרים שכן עשו זאת)</w:t>
      </w:r>
      <w:r w:rsidR="00553C88">
        <w:rPr>
          <w:rFonts w:hint="cs"/>
          <w:rtl/>
        </w:rPr>
        <w:t>. וכשהוא סןף סוף בא לביתו ועירו</w:t>
      </w:r>
      <w:r>
        <w:rPr>
          <w:rFonts w:hint="cs"/>
          <w:rtl/>
        </w:rPr>
        <w:t xml:space="preserve">, </w:t>
      </w:r>
      <w:r w:rsidR="00553C88">
        <w:rPr>
          <w:rFonts w:hint="cs"/>
          <w:rtl/>
        </w:rPr>
        <w:t xml:space="preserve">הוא </w:t>
      </w:r>
      <w:r>
        <w:rPr>
          <w:rFonts w:hint="cs"/>
          <w:rtl/>
        </w:rPr>
        <w:t>לא מכיר את בתו, הולך אחריה מהמעיין בו שאבה מים, נכנס לביתו בפתע ופרחה נשמתה של אשתו (ראה סיפור זה גם בויקרא רבה כא ח). רבי חמא בר ביסא לומד לקח מהמקרה הטראגי של רבי חנניה ומגיע לביתו באופן מסודר יותר. אבל כאן מתרחש מפגש מיוחד עם בנו שלא הכיר אותו. וכבר רכזנו סיפורים אלה בדף מיוחד</w:t>
      </w:r>
      <w:r w:rsidR="00010902">
        <w:rPr>
          <w:rFonts w:hint="cs"/>
          <w:rtl/>
        </w:rPr>
        <w:t xml:space="preserve"> בשם</w:t>
      </w:r>
      <w:r>
        <w:rPr>
          <w:rFonts w:hint="cs"/>
          <w:rtl/>
        </w:rPr>
        <w:t xml:space="preserve"> </w:t>
      </w:r>
      <w:hyperlink r:id="rId11" w:history="1">
        <w:r w:rsidRPr="00010902">
          <w:rPr>
            <w:rStyle w:val="Hyperlink"/>
            <w:rFonts w:hint="cs"/>
            <w:rtl/>
          </w:rPr>
          <w:t>הנשים הממתינות</w:t>
        </w:r>
      </w:hyperlink>
      <w:r>
        <w:rPr>
          <w:rFonts w:hint="cs"/>
          <w:rtl/>
        </w:rPr>
        <w:t>.</w:t>
      </w:r>
    </w:p>
  </w:footnote>
  <w:footnote w:id="19">
    <w:p w14:paraId="5F7BAFF4" w14:textId="77777777" w:rsidR="007518DD" w:rsidRDefault="007518DD" w:rsidP="008F1F27">
      <w:pPr>
        <w:pStyle w:val="a3"/>
        <w:rPr>
          <w:rFonts w:hint="cs"/>
        </w:rPr>
      </w:pPr>
      <w:r>
        <w:rPr>
          <w:rStyle w:val="a5"/>
        </w:rPr>
        <w:footnoteRef/>
      </w:r>
      <w:r>
        <w:rPr>
          <w:rtl/>
        </w:rPr>
        <w:t xml:space="preserve"> </w:t>
      </w:r>
      <w:r>
        <w:rPr>
          <w:rFonts w:hint="cs"/>
          <w:rtl/>
        </w:rPr>
        <w:t>ולא ידע ר' חמא שמי ששואל אותו הוא הושעיה בנו.</w:t>
      </w:r>
    </w:p>
  </w:footnote>
  <w:footnote w:id="20">
    <w:p w14:paraId="271A1083" w14:textId="77777777" w:rsidR="007518DD" w:rsidRDefault="007518DD" w:rsidP="0036311B">
      <w:pPr>
        <w:pStyle w:val="a3"/>
        <w:rPr>
          <w:rFonts w:hint="cs"/>
          <w:rtl/>
        </w:rPr>
      </w:pPr>
      <w:r>
        <w:rPr>
          <w:rStyle w:val="a5"/>
        </w:rPr>
        <w:footnoteRef/>
      </w:r>
      <w:r>
        <w:rPr>
          <w:rtl/>
        </w:rPr>
        <w:t xml:space="preserve"> </w:t>
      </w:r>
      <w:r>
        <w:rPr>
          <w:rFonts w:hint="cs"/>
          <w:rtl/>
        </w:rPr>
        <w:t xml:space="preserve">כאן לכאורה הכל טוב ויפה, אף אחד לא נפגע או מת ויש לנו "חוט משולש": דור שלישי של תלמידי חכמים, שהנכד הוא רבי אושעיא המכונה רבה </w:t>
      </w:r>
      <w:r w:rsidR="008D5816">
        <w:rPr>
          <w:rFonts w:hint="cs"/>
          <w:rtl/>
        </w:rPr>
        <w:t xml:space="preserve">(הגדול) ומפתיחתו </w:t>
      </w:r>
      <w:r w:rsidR="0036311B">
        <w:rPr>
          <w:rFonts w:hint="cs"/>
          <w:rtl/>
        </w:rPr>
        <w:t>במדרש ב</w:t>
      </w:r>
      <w:r w:rsidR="008D5816">
        <w:rPr>
          <w:rFonts w:hint="cs"/>
          <w:rtl/>
        </w:rPr>
        <w:t xml:space="preserve">ראשית רבה </w:t>
      </w:r>
      <w:r>
        <w:rPr>
          <w:rFonts w:hint="cs"/>
          <w:rtl/>
        </w:rPr>
        <w:t>התגלגל השם רבה ל</w:t>
      </w:r>
      <w:r w:rsidR="008D5816">
        <w:rPr>
          <w:rFonts w:hint="cs"/>
          <w:rtl/>
        </w:rPr>
        <w:t>כל מדרשי התורה והמגילות (לפי השערה אחת</w:t>
      </w:r>
      <w:r>
        <w:rPr>
          <w:rFonts w:hint="cs"/>
          <w:rtl/>
        </w:rPr>
        <w:t xml:space="preserve">). אבל נראה שיש כאן עקיצה חריפה לאלה שהולכים ללמוד תורה במקומות מרוחקים וזונחים לא רק את ביתם ופרנסתם, לא רק את נשותיהם, אלא גם את חינוך בניהם. האבא גולה למקום תורה ואילו הבן לומד היטב במקומו ובעירו עד ששמועותיו מחודדות </w:t>
      </w:r>
      <w:r>
        <w:rPr>
          <w:rtl/>
        </w:rPr>
        <w:t>–</w:t>
      </w:r>
      <w:r>
        <w:rPr>
          <w:rFonts w:hint="cs"/>
          <w:rtl/>
        </w:rPr>
        <w:t xml:space="preserve"> ביטוי השמור לתלמידי חכמים מובהקים. אפשר היה לקיים את החוט המשולש גם בדרכים נעימות יותר. ראה ניתוח סיפור זה (וסיפור רב חנניא בן חניכאי) בספרה של רות קלדרון: השוק הבית הלב, הוצאת כתר, 2001, ירושלים, עמוד 58.</w:t>
      </w:r>
      <w:r>
        <w:rPr>
          <w:rtl/>
        </w:rPr>
        <w:t xml:space="preserve"> </w:t>
      </w:r>
      <w:r>
        <w:rPr>
          <w:rFonts w:hint="cs"/>
          <w:rtl/>
        </w:rPr>
        <w:t xml:space="preserve">  </w:t>
      </w:r>
    </w:p>
  </w:footnote>
  <w:footnote w:id="21">
    <w:p w14:paraId="2DF84882" w14:textId="77777777" w:rsidR="007518DD" w:rsidRDefault="007518DD" w:rsidP="00197C7E">
      <w:pPr>
        <w:pStyle w:val="a3"/>
        <w:rPr>
          <w:rFonts w:hint="cs"/>
        </w:rPr>
      </w:pPr>
      <w:r>
        <w:rPr>
          <w:rStyle w:val="a5"/>
        </w:rPr>
        <w:footnoteRef/>
      </w:r>
      <w:r>
        <w:rPr>
          <w:rtl/>
        </w:rPr>
        <w:t xml:space="preserve"> </w:t>
      </w:r>
      <w:r>
        <w:rPr>
          <w:rFonts w:hint="cs"/>
          <w:rtl/>
        </w:rPr>
        <w:t>בטענה: שכמו שכשקניתי את החצר היה לי ברור שמים (עודפים) ירדו מהגג שלך לחצר שלי, כך כעת, כשאני מעוניין במים שיורדים במרזב מגגך לחצרי (שזה היה המצב כל העת), אינך יכול לסתום את המרזב (כנראה במטרה לאגור את המים במקום אחר).</w:t>
      </w:r>
    </w:p>
  </w:footnote>
  <w:footnote w:id="22">
    <w:p w14:paraId="290271AE" w14:textId="77777777" w:rsidR="007518DD" w:rsidRDefault="007518DD" w:rsidP="00CB60D6">
      <w:pPr>
        <w:pStyle w:val="a3"/>
        <w:rPr>
          <w:rFonts w:hint="cs"/>
          <w:rtl/>
        </w:rPr>
      </w:pPr>
      <w:r>
        <w:rPr>
          <w:rStyle w:val="a5"/>
        </w:rPr>
        <w:footnoteRef/>
      </w:r>
      <w:r>
        <w:rPr>
          <w:rtl/>
        </w:rPr>
        <w:t xml:space="preserve"> </w:t>
      </w:r>
      <w:r>
        <w:rPr>
          <w:rFonts w:hint="cs"/>
          <w:rtl/>
        </w:rPr>
        <w:t xml:space="preserve">סיפור זה משלים יפה את הסיפור בגמרא כתובות לעיל ולפיכך סטינו קצת מהנושא הכללי שלנו והבאנו אותו. נראה שיש כאן עקיצה נוספת לרבי חמא. בזמן שהאבא, רבי חמא גלה למקום תורה לזמן כה רב והזניח את בני ביתו, הנכד למד תורה מסבו, היה לעזר לאמו ולבני המשפחה (כולל תיקון מרזבים כשצריך) וגם צמח והיה לגדול בתורה. לא ברור מי בדיוק הלך לשאול את רבי ביסא, אחרי שרבי חמא אמר את דעתו, ראה פירוש </w:t>
      </w:r>
      <w:r>
        <w:rPr>
          <w:rtl/>
        </w:rPr>
        <w:t xml:space="preserve">רשב"ם </w:t>
      </w:r>
      <w:r>
        <w:rPr>
          <w:rFonts w:hint="cs"/>
          <w:rtl/>
        </w:rPr>
        <w:t>בגמרא שם שמשנה קצת את הלשון בגמרא: "</w:t>
      </w:r>
      <w:r>
        <w:rPr>
          <w:rtl/>
        </w:rPr>
        <w:t>אזול שיילוה לרבי ביסא - אביו של ר' חמא וזקנו של רבי אושעיא</w:t>
      </w:r>
      <w:r>
        <w:rPr>
          <w:rFonts w:hint="cs"/>
          <w:rtl/>
        </w:rPr>
        <w:t>"</w:t>
      </w:r>
      <w:r>
        <w:rPr>
          <w:rtl/>
        </w:rPr>
        <w:t>.</w:t>
      </w:r>
      <w:r>
        <w:rPr>
          <w:rFonts w:hint="cs"/>
          <w:rtl/>
        </w:rPr>
        <w:t xml:space="preserve"> כך או כך, נוצר </w:t>
      </w:r>
      <w:r w:rsidR="0036311B">
        <w:rPr>
          <w:rFonts w:hint="cs"/>
          <w:rtl/>
        </w:rPr>
        <w:t xml:space="preserve">כאן </w:t>
      </w:r>
      <w:r>
        <w:rPr>
          <w:rFonts w:hint="cs"/>
          <w:rtl/>
        </w:rPr>
        <w:t>החוט המשולש. סיפור זה מוקדש לכל ה</w:t>
      </w:r>
      <w:r w:rsidR="00CB60D6">
        <w:rPr>
          <w:rFonts w:hint="eastAsia"/>
          <w:rtl/>
        </w:rPr>
        <w:t>ַָ</w:t>
      </w:r>
      <w:r>
        <w:rPr>
          <w:rFonts w:hint="cs"/>
          <w:rtl/>
        </w:rPr>
        <w:t>ס</w:t>
      </w:r>
      <w:r w:rsidR="00CB60D6">
        <w:rPr>
          <w:rFonts w:hint="eastAsia"/>
          <w:rtl/>
        </w:rPr>
        <w:t>ַ</w:t>
      </w:r>
      <w:r>
        <w:rPr>
          <w:rFonts w:hint="cs"/>
          <w:rtl/>
        </w:rPr>
        <w:t>ב</w:t>
      </w:r>
      <w:r w:rsidR="00CB60D6">
        <w:rPr>
          <w:rFonts w:hint="eastAsia"/>
          <w:rtl/>
        </w:rPr>
        <w:t>ִּ</w:t>
      </w:r>
      <w:r>
        <w:rPr>
          <w:rFonts w:hint="cs"/>
          <w:rtl/>
        </w:rPr>
        <w:t xml:space="preserve">ים </w:t>
      </w:r>
      <w:r w:rsidR="00CB60D6">
        <w:rPr>
          <w:rFonts w:hint="cs"/>
          <w:rtl/>
        </w:rPr>
        <w:t xml:space="preserve">והסבתות </w:t>
      </w:r>
      <w:r>
        <w:rPr>
          <w:rFonts w:hint="cs"/>
          <w:rtl/>
        </w:rPr>
        <w:t xml:space="preserve">הלומדים תורה עם נכדיהם, בלי לפגוע חו"ח באבות ובאמהות המסורים. ראה דברינו </w:t>
      </w:r>
      <w:hyperlink r:id="rId12" w:history="1">
        <w:r w:rsidRPr="00A45728">
          <w:rPr>
            <w:rStyle w:val="Hyperlink"/>
            <w:rFonts w:hint="cs"/>
            <w:rtl/>
          </w:rPr>
          <w:t>והודעתם לבניך ולבני בניך</w:t>
        </w:r>
      </w:hyperlink>
      <w:r>
        <w:rPr>
          <w:rFonts w:hint="cs"/>
          <w:rtl/>
        </w:rPr>
        <w:t xml:space="preserve"> בפרשת ואתחנן. אשרי מי שזוכה לחוט משולש זה.</w:t>
      </w:r>
    </w:p>
  </w:footnote>
  <w:footnote w:id="23">
    <w:p w14:paraId="5DCFDA81" w14:textId="77777777" w:rsidR="007518DD" w:rsidRDefault="007518DD" w:rsidP="00C37FA6">
      <w:pPr>
        <w:pStyle w:val="a3"/>
        <w:rPr>
          <w:rFonts w:hint="cs"/>
          <w:rtl/>
        </w:rPr>
      </w:pPr>
      <w:r>
        <w:rPr>
          <w:rStyle w:val="a5"/>
        </w:rPr>
        <w:footnoteRef/>
      </w:r>
      <w:r>
        <w:rPr>
          <w:rtl/>
        </w:rPr>
        <w:t xml:space="preserve"> וליוסי הכהן קרא לו חסיד שבדור. ולשמעון בן נתנאל </w:t>
      </w:r>
      <w:r>
        <w:rPr>
          <w:rFonts w:hint="cs"/>
          <w:rtl/>
        </w:rPr>
        <w:t xml:space="preserve">... </w:t>
      </w:r>
      <w:r>
        <w:rPr>
          <w:rtl/>
        </w:rPr>
        <w:t>אשרי תלמיד שרבו מודה לו ומעיד עליו. ואלעזר בן ערך קרא לו נחל שוטף ומעין המתגבר</w:t>
      </w:r>
      <w:r w:rsidR="008D5816">
        <w:rPr>
          <w:rFonts w:hint="cs"/>
          <w:rtl/>
        </w:rPr>
        <w:t>"</w:t>
      </w:r>
      <w:r>
        <w:rPr>
          <w:rFonts w:hint="cs"/>
          <w:rtl/>
        </w:rPr>
        <w:t>.</w:t>
      </w:r>
      <w:r>
        <w:rPr>
          <w:rtl/>
        </w:rPr>
        <w:t xml:space="preserve"> </w:t>
      </w:r>
      <w:r>
        <w:rPr>
          <w:rFonts w:hint="cs"/>
          <w:rtl/>
        </w:rPr>
        <w:t xml:space="preserve">השווה </w:t>
      </w:r>
      <w:r w:rsidR="00B2041E">
        <w:rPr>
          <w:rFonts w:hint="cs"/>
          <w:rtl/>
        </w:rPr>
        <w:t xml:space="preserve">מקור זה </w:t>
      </w:r>
      <w:r>
        <w:rPr>
          <w:rFonts w:hint="cs"/>
          <w:rtl/>
        </w:rPr>
        <w:t xml:space="preserve">עם </w:t>
      </w:r>
      <w:r>
        <w:rPr>
          <w:rFonts w:hint="cs"/>
          <w:rtl/>
          <w:lang w:val="he-IL"/>
        </w:rPr>
        <w:t>מסכת אבות פרק ב משנה ח: "</w:t>
      </w:r>
      <w:r>
        <w:rPr>
          <w:rFonts w:hint="cs"/>
          <w:sz w:val="24"/>
          <w:rtl/>
        </w:rPr>
        <w:t>חמישה</w:t>
      </w:r>
      <w:r>
        <w:rPr>
          <w:rFonts w:hint="cs"/>
          <w:rtl/>
          <w:lang w:val="he-IL"/>
        </w:rPr>
        <w:t xml:space="preserve"> תלמידים היו לרבן יוחנן בן זכאי ... הוא היה מונה שבחן: רבי אליעזר בן הורקנוס - בור סיד שאינו מאבד טיפה. רבי יהושע - אשרי יולדתו. רבי יוסי </w:t>
      </w:r>
      <w:r>
        <w:rPr>
          <w:rtl/>
          <w:lang w:val="he-IL"/>
        </w:rPr>
        <w:t>–</w:t>
      </w:r>
      <w:r>
        <w:rPr>
          <w:rFonts w:hint="cs"/>
          <w:rtl/>
          <w:lang w:val="he-IL"/>
        </w:rPr>
        <w:t xml:space="preserve"> חסיד. רבי שמעון בן נתנאל - ירא חטא ורבי אלעזר בן ערך - מעין המתגבר". שם ר' יהושע הוא "אשרי יולדתו" (תואר שרבים התקשו מה שבחו ופתרונו כך נראה בסיפור בירושלמי יבמות פרק א הלכה ו </w:t>
      </w:r>
      <w:r w:rsidR="008D5816">
        <w:rPr>
          <w:rFonts w:hint="cs"/>
          <w:rtl/>
          <w:lang w:val="he-IL"/>
        </w:rPr>
        <w:t xml:space="preserve">על </w:t>
      </w:r>
      <w:r>
        <w:rPr>
          <w:rFonts w:hint="cs"/>
          <w:rtl/>
          <w:lang w:val="he-IL"/>
        </w:rPr>
        <w:t xml:space="preserve">אמו </w:t>
      </w:r>
      <w:r w:rsidR="008D5816">
        <w:rPr>
          <w:rFonts w:hint="cs"/>
          <w:rtl/>
          <w:lang w:val="he-IL"/>
        </w:rPr>
        <w:t>ש</w:t>
      </w:r>
      <w:r>
        <w:rPr>
          <w:rFonts w:hint="cs"/>
          <w:rtl/>
          <w:lang w:val="he-IL"/>
        </w:rPr>
        <w:t>הביאה את עריסתו לבית המדרש בינקותו</w:t>
      </w:r>
      <w:r w:rsidR="00CB60D6">
        <w:rPr>
          <w:rFonts w:hint="cs"/>
          <w:rtl/>
          <w:lang w:val="he-IL"/>
        </w:rPr>
        <w:t xml:space="preserve">, ראה דברינו </w:t>
      </w:r>
      <w:hyperlink r:id="rId13" w:history="1">
        <w:r w:rsidR="00CB60D6" w:rsidRPr="00CB60D6">
          <w:rPr>
            <w:rStyle w:val="Hyperlink"/>
            <w:rFonts w:hint="cs"/>
            <w:rtl/>
            <w:lang w:val="he-IL"/>
          </w:rPr>
          <w:t>אשרי ילוד אשה – אשרי יולדתו</w:t>
        </w:r>
      </w:hyperlink>
      <w:r w:rsidR="00CB60D6">
        <w:rPr>
          <w:rFonts w:hint="cs"/>
          <w:rtl/>
          <w:lang w:val="he-IL"/>
        </w:rPr>
        <w:t xml:space="preserve"> בפרשת בהעלותך</w:t>
      </w:r>
      <w:r>
        <w:rPr>
          <w:rFonts w:hint="cs"/>
          <w:rtl/>
          <w:lang w:val="he-IL"/>
        </w:rPr>
        <w:t>)</w:t>
      </w:r>
      <w:r w:rsidR="00CB60D6">
        <w:rPr>
          <w:rFonts w:hint="cs"/>
          <w:rtl/>
          <w:lang w:val="he-IL"/>
        </w:rPr>
        <w:t>;</w:t>
      </w:r>
      <w:r>
        <w:rPr>
          <w:rFonts w:hint="cs"/>
          <w:rtl/>
          <w:lang w:val="he-IL"/>
        </w:rPr>
        <w:t xml:space="preserve"> ואילו כאן</w:t>
      </w:r>
      <w:r w:rsidR="008D5816">
        <w:rPr>
          <w:rFonts w:hint="cs"/>
          <w:rtl/>
          <w:lang w:val="he-IL"/>
        </w:rPr>
        <w:t xml:space="preserve"> מכונה ר' יהושע:</w:t>
      </w:r>
      <w:r>
        <w:rPr>
          <w:rFonts w:hint="cs"/>
          <w:rtl/>
          <w:lang w:val="he-IL"/>
        </w:rPr>
        <w:t xml:space="preserve"> "החוט המשולש". נראה שתואר זה ניתן לאדם יוצא דופן, </w:t>
      </w:r>
      <w:r>
        <w:rPr>
          <w:rFonts w:hint="cs"/>
          <w:rtl/>
        </w:rPr>
        <w:t>תלמיד חכם</w:t>
      </w:r>
      <w:r w:rsidR="008D5816">
        <w:rPr>
          <w:rFonts w:hint="cs"/>
          <w:rtl/>
        </w:rPr>
        <w:t xml:space="preserve"> משכמו ומעלה</w:t>
      </w:r>
      <w:r>
        <w:rPr>
          <w:rFonts w:hint="cs"/>
          <w:rtl/>
        </w:rPr>
        <w:t>, איש בעל השכלה כללית רחבה, מתפרנס מיגיע כפיו ובעל שיעור קומה כר' יהושע שמצליח לגלם באישיות אחת את החוט המשולש.</w:t>
      </w:r>
      <w:r w:rsidR="00C37FA6">
        <w:rPr>
          <w:rFonts w:hint="cs"/>
          <w:rtl/>
        </w:rPr>
        <w:t xml:space="preserve"> הצעתנו היא המשולש של תלמיד חכם מהשורה הראשונה (אב בית הדין), בעל חכמה כללית (הוריות י ע"א) שידוע בוויכוחיו עם חכמי אתונה (בכורות ח ע"א) ומי שכל חייו התפרנס מהמלאכה (פחמי היה, ברכות כח ע"א). ונראה שאי אפשר שלא להוסיף גם את נעם הליכותיו (בראשית רבה ע ה, בבא בתרא דף ס). ואם כך, יתקיים בנו: "שלושה נפלאו ממני וארבעה לא ידעתים".</w:t>
      </w:r>
    </w:p>
  </w:footnote>
  <w:footnote w:id="24">
    <w:p w14:paraId="09FE6CD8" w14:textId="77777777" w:rsidR="007518DD" w:rsidRDefault="007518DD" w:rsidP="008D5816">
      <w:pPr>
        <w:pStyle w:val="a3"/>
        <w:rPr>
          <w:rFonts w:hint="cs"/>
          <w:rtl/>
        </w:rPr>
      </w:pPr>
      <w:r>
        <w:rPr>
          <w:rStyle w:val="a5"/>
        </w:rPr>
        <w:footnoteRef/>
      </w:r>
      <w:r>
        <w:rPr>
          <w:rtl/>
        </w:rPr>
        <w:t xml:space="preserve"> </w:t>
      </w:r>
      <w:r>
        <w:rPr>
          <w:rFonts w:hint="cs"/>
          <w:rtl/>
        </w:rPr>
        <w:t xml:space="preserve">ללימוד בחברותא שכבר ראינו לעיל, מצטרף כאן הרב כגורם שלישי וכמו שנראה להלן </w:t>
      </w:r>
      <w:r w:rsidR="008D5816">
        <w:rPr>
          <w:rFonts w:hint="cs"/>
          <w:rtl/>
        </w:rPr>
        <w:t xml:space="preserve">גם </w:t>
      </w:r>
      <w:r>
        <w:rPr>
          <w:rFonts w:hint="cs"/>
          <w:rtl/>
        </w:rPr>
        <w:t>באדם שיוצא לדרך.</w:t>
      </w:r>
      <w:r w:rsidR="00994C73">
        <w:rPr>
          <w:rFonts w:hint="cs"/>
          <w:rtl/>
        </w:rPr>
        <w:t xml:space="preserve"> בכך מקבל הפסוק בקהלת משמעות חדשה. הקפיצה משניים לשלושה איננה הוספת עוד חוט שווה ערך לשני החוטים הקיימים</w:t>
      </w:r>
      <w:r w:rsidR="008D5816">
        <w:rPr>
          <w:rFonts w:hint="cs"/>
          <w:rtl/>
        </w:rPr>
        <w:t xml:space="preserve">; </w:t>
      </w:r>
      <w:r w:rsidR="00994C73">
        <w:rPr>
          <w:rFonts w:hint="cs"/>
          <w:rtl/>
        </w:rPr>
        <w:t>איננה תוספת ביטחון והמשך בלימוד של חבורה מוגברת, אלא הוספת חוט שלישי</w:t>
      </w:r>
      <w:r w:rsidR="00123DE3">
        <w:rPr>
          <w:rFonts w:hint="cs"/>
          <w:rtl/>
        </w:rPr>
        <w:t xml:space="preserve"> מסוג וממין אחר שעשויה גם להגביל את מספר החוטים שניתן לשזור ביחד, היינו את מספר התלמידים שראוי שישבו לפני הרב. ראה דברינו </w:t>
      </w:r>
      <w:hyperlink r:id="rId14" w:history="1">
        <w:r w:rsidR="00123DE3" w:rsidRPr="00123DE3">
          <w:rPr>
            <w:rStyle w:val="Hyperlink"/>
            <w:rFonts w:hint="cs"/>
            <w:rtl/>
          </w:rPr>
          <w:t>דורשים או לא דורשים במעשה בראשית</w:t>
        </w:r>
      </w:hyperlink>
      <w:r w:rsidR="00123DE3">
        <w:rPr>
          <w:rFonts w:hint="cs"/>
          <w:rtl/>
        </w:rPr>
        <w:t xml:space="preserve"> שבנושאים מסוימים, כמו בעריות רב לא ילמד את פרשת עריות לשלושה תלמידים ויותר רק לשניים או יחיד. ובמעשה בראשית גם </w:t>
      </w:r>
      <w:r w:rsidR="00CB60D6">
        <w:rPr>
          <w:rFonts w:hint="cs"/>
          <w:rtl/>
        </w:rPr>
        <w:t xml:space="preserve">לא </w:t>
      </w:r>
      <w:r w:rsidR="00123DE3">
        <w:rPr>
          <w:rFonts w:hint="cs"/>
          <w:rtl/>
        </w:rPr>
        <w:t>לפני שני תלמידים ויותר</w:t>
      </w:r>
      <w:r w:rsidR="00CB60D6">
        <w:rPr>
          <w:rFonts w:hint="cs"/>
          <w:rtl/>
        </w:rPr>
        <w:t>, אלא רק ליחיד ומיוחד</w:t>
      </w:r>
      <w:r w:rsidR="00123DE3">
        <w:rPr>
          <w:rFonts w:hint="cs"/>
          <w:rtl/>
        </w:rPr>
        <w:t xml:space="preserve">. </w:t>
      </w:r>
    </w:p>
  </w:footnote>
  <w:footnote w:id="25">
    <w:p w14:paraId="00A2561E" w14:textId="77777777" w:rsidR="007518DD" w:rsidRDefault="007518DD" w:rsidP="00C659CA">
      <w:pPr>
        <w:pStyle w:val="a3"/>
        <w:rPr>
          <w:rFonts w:hint="cs"/>
          <w:rtl/>
        </w:rPr>
      </w:pPr>
      <w:r>
        <w:rPr>
          <w:rStyle w:val="a5"/>
        </w:rPr>
        <w:footnoteRef/>
      </w:r>
      <w:r>
        <w:rPr>
          <w:rtl/>
        </w:rPr>
        <w:t xml:space="preserve"> </w:t>
      </w:r>
      <w:r>
        <w:rPr>
          <w:rFonts w:hint="cs"/>
          <w:rtl/>
        </w:rPr>
        <w:t xml:space="preserve">מה שנכון ללימוד תורה, נכון גם בחיי המסחר ו"יישובו של עולם". ראה גם </w:t>
      </w:r>
      <w:r>
        <w:rPr>
          <w:rtl/>
        </w:rPr>
        <w:t>בבא מציעא מב ע</w:t>
      </w:r>
      <w:r>
        <w:rPr>
          <w:rFonts w:hint="cs"/>
          <w:rtl/>
        </w:rPr>
        <w:t>"א: "</w:t>
      </w:r>
      <w:r>
        <w:rPr>
          <w:rtl/>
        </w:rPr>
        <w:t>לעולם ישליש אדם את מעותיו, שליש בקרקע ושליש בפרקמטיא ושליש תחת ידו</w:t>
      </w:r>
      <w:r>
        <w:rPr>
          <w:rFonts w:hint="cs"/>
          <w:rtl/>
        </w:rPr>
        <w:t>"</w:t>
      </w:r>
      <w:r>
        <w:rPr>
          <w:rtl/>
        </w:rPr>
        <w:t xml:space="preserve">. </w:t>
      </w:r>
      <w:r>
        <w:rPr>
          <w:rFonts w:hint="cs"/>
          <w:rtl/>
        </w:rPr>
        <w:t>ואם נחזור למשנה במסכת קידושין בה פתחנו, נקבל שלוש על שלוש של שלוש. לימוד מקרא בשלושה, לימוד משנה בשלושה, דרך ארץ בשלושה ובפיזור סיכונים של שלושה. ושלושתם משלימים זה את זה.</w:t>
      </w:r>
    </w:p>
  </w:footnote>
  <w:footnote w:id="26">
    <w:p w14:paraId="6ECE607D" w14:textId="77777777" w:rsidR="007518DD" w:rsidRDefault="007518DD" w:rsidP="00DC545B">
      <w:pPr>
        <w:pStyle w:val="a3"/>
        <w:rPr>
          <w:rFonts w:hint="cs"/>
          <w:rtl/>
        </w:rPr>
      </w:pPr>
      <w:r>
        <w:rPr>
          <w:rStyle w:val="a5"/>
        </w:rPr>
        <w:footnoteRef/>
      </w:r>
      <w:r>
        <w:rPr>
          <w:rtl/>
        </w:rPr>
        <w:t xml:space="preserve"> </w:t>
      </w:r>
      <w:r>
        <w:rPr>
          <w:rFonts w:hint="cs"/>
          <w:rtl/>
        </w:rPr>
        <w:t xml:space="preserve">ראה </w:t>
      </w:r>
      <w:r>
        <w:rPr>
          <w:rtl/>
        </w:rPr>
        <w:t>מסכת אבות פרק ג</w:t>
      </w:r>
      <w:r>
        <w:rPr>
          <w:rFonts w:hint="cs"/>
          <w:rtl/>
        </w:rPr>
        <w:t xml:space="preserve"> </w:t>
      </w:r>
      <w:r>
        <w:rPr>
          <w:rtl/>
        </w:rPr>
        <w:t>משנה ד</w:t>
      </w:r>
      <w:r>
        <w:rPr>
          <w:rFonts w:hint="cs"/>
          <w:rtl/>
        </w:rPr>
        <w:t xml:space="preserve">: " ... </w:t>
      </w:r>
      <w:r>
        <w:rPr>
          <w:rtl/>
        </w:rPr>
        <w:t xml:space="preserve">והמהלך בדרך יחידי </w:t>
      </w:r>
      <w:r>
        <w:rPr>
          <w:rFonts w:hint="cs"/>
          <w:rtl/>
        </w:rPr>
        <w:t xml:space="preserve">... </w:t>
      </w:r>
      <w:r>
        <w:rPr>
          <w:rtl/>
        </w:rPr>
        <w:t>הרי זה מתחייב בנפשו</w:t>
      </w:r>
      <w:r>
        <w:rPr>
          <w:rFonts w:hint="cs"/>
          <w:rtl/>
        </w:rPr>
        <w:t xml:space="preserve">". </w:t>
      </w:r>
      <w:r>
        <w:rPr>
          <w:rtl/>
        </w:rPr>
        <w:t>רש"י מסכת יומא דף כא עמוד א</w:t>
      </w:r>
      <w:r>
        <w:rPr>
          <w:rFonts w:hint="cs"/>
          <w:rtl/>
        </w:rPr>
        <w:t>:</w:t>
      </w:r>
      <w:r>
        <w:rPr>
          <w:rtl/>
        </w:rPr>
        <w:t xml:space="preserve"> </w:t>
      </w:r>
      <w:r>
        <w:rPr>
          <w:rFonts w:hint="cs"/>
          <w:rtl/>
        </w:rPr>
        <w:t>"</w:t>
      </w:r>
      <w:r>
        <w:rPr>
          <w:rtl/>
        </w:rPr>
        <w:t>היוצא יחידי לדרך</w:t>
      </w:r>
      <w:r w:rsidR="00CB60D6">
        <w:rPr>
          <w:rFonts w:hint="cs"/>
          <w:rtl/>
        </w:rPr>
        <w:t>,</w:t>
      </w:r>
      <w:r>
        <w:rPr>
          <w:rtl/>
        </w:rPr>
        <w:t xml:space="preserve"> דמו בראשו - מפני המזיקין</w:t>
      </w:r>
      <w:r>
        <w:rPr>
          <w:rFonts w:hint="cs"/>
          <w:rtl/>
        </w:rPr>
        <w:t>"</w:t>
      </w:r>
      <w:r>
        <w:rPr>
          <w:rtl/>
        </w:rPr>
        <w:t>.</w:t>
      </w:r>
      <w:r>
        <w:rPr>
          <w:rFonts w:hint="cs"/>
          <w:rtl/>
        </w:rPr>
        <w:t xml:space="preserve"> ואפרופו ר' מאיר ראה הסיפור המשעשע איך היתל בפונדקאי שניסה להתנכל אליו, בראשית רבה צב ו על הפסוק: "הבוקר אור והאנשים שולחו המה וחמוריהם" (בראשית מד ג).</w:t>
      </w:r>
    </w:p>
  </w:footnote>
  <w:footnote w:id="27">
    <w:p w14:paraId="7E587FF6" w14:textId="77777777" w:rsidR="000553BA" w:rsidRDefault="000553BA" w:rsidP="00254D22">
      <w:pPr>
        <w:pStyle w:val="a3"/>
        <w:rPr>
          <w:rFonts w:hint="cs"/>
          <w:rtl/>
        </w:rPr>
      </w:pPr>
      <w:r>
        <w:rPr>
          <w:rStyle w:val="a5"/>
        </w:rPr>
        <w:footnoteRef/>
      </w:r>
      <w:r>
        <w:rPr>
          <w:rtl/>
        </w:rPr>
        <w:t xml:space="preserve"> </w:t>
      </w:r>
      <w:r>
        <w:rPr>
          <w:rFonts w:hint="cs"/>
          <w:rtl/>
        </w:rPr>
        <w:t xml:space="preserve">מהיכן לקח ר' מאיר דעה זו והאם יש לה מקבילות? אולי מקין והבל שכיוון שהיו לבד אין מי שיעיד על מה שאירע או שינסה לפשר ולהפריד. ראה </w:t>
      </w:r>
      <w:r>
        <w:rPr>
          <w:rtl/>
        </w:rPr>
        <w:t>מדרש תנחומא</w:t>
      </w:r>
      <w:r>
        <w:rPr>
          <w:rFonts w:hint="cs"/>
          <w:rtl/>
        </w:rPr>
        <w:t xml:space="preserve"> </w:t>
      </w:r>
      <w:r>
        <w:rPr>
          <w:rtl/>
        </w:rPr>
        <w:t>בראשית סימן ט</w:t>
      </w:r>
      <w:r>
        <w:rPr>
          <w:rFonts w:hint="cs"/>
          <w:rtl/>
        </w:rPr>
        <w:t>: "</w:t>
      </w:r>
      <w:r>
        <w:rPr>
          <w:rtl/>
        </w:rPr>
        <w:t>משל לשנים שעשו מריבה הרג אחד מהן את חבירו</w:t>
      </w:r>
      <w:r>
        <w:rPr>
          <w:rFonts w:hint="cs"/>
          <w:rtl/>
        </w:rPr>
        <w:t>.</w:t>
      </w:r>
      <w:r>
        <w:rPr>
          <w:rtl/>
        </w:rPr>
        <w:t xml:space="preserve"> היה בהן שליש ולא הפריש ביניהם</w:t>
      </w:r>
      <w:r>
        <w:rPr>
          <w:rFonts w:hint="cs"/>
          <w:rtl/>
        </w:rPr>
        <w:t xml:space="preserve">". והשליש או השלישי שם הוא הקב"ה שלא מנע כביכול את הרצח, </w:t>
      </w:r>
      <w:r w:rsidR="00254D22">
        <w:rPr>
          <w:rFonts w:hint="cs"/>
          <w:rtl/>
        </w:rPr>
        <w:t xml:space="preserve">ראה דברינו </w:t>
      </w:r>
      <w:hyperlink r:id="rId15" w:history="1">
        <w:r w:rsidR="00254D22" w:rsidRPr="00254D22">
          <w:rPr>
            <w:rStyle w:val="Hyperlink"/>
            <w:rFonts w:hint="cs"/>
            <w:rtl/>
          </w:rPr>
          <w:t>קין והבל – הרצח הראשון</w:t>
        </w:r>
      </w:hyperlink>
      <w:r w:rsidR="00254D22">
        <w:rPr>
          <w:rFonts w:hint="cs"/>
          <w:rtl/>
        </w:rPr>
        <w:t xml:space="preserve"> בפרשת בראשית.</w:t>
      </w:r>
    </w:p>
  </w:footnote>
  <w:footnote w:id="28">
    <w:p w14:paraId="243202F8" w14:textId="77777777" w:rsidR="007518DD" w:rsidRDefault="007518DD" w:rsidP="001A13E3">
      <w:pPr>
        <w:pStyle w:val="a3"/>
        <w:rPr>
          <w:rFonts w:hint="cs"/>
          <w:rtl/>
        </w:rPr>
      </w:pPr>
      <w:r>
        <w:rPr>
          <w:rStyle w:val="a5"/>
        </w:rPr>
        <w:footnoteRef/>
      </w:r>
      <w:r>
        <w:rPr>
          <w:rtl/>
        </w:rPr>
        <w:t xml:space="preserve"> </w:t>
      </w:r>
      <w:r>
        <w:rPr>
          <w:rFonts w:hint="cs"/>
          <w:rtl/>
        </w:rPr>
        <w:t xml:space="preserve">ראה בדומה </w:t>
      </w:r>
      <w:r>
        <w:rPr>
          <w:rtl/>
        </w:rPr>
        <w:t>מדרש תהלים (בובר) מזמור נט</w:t>
      </w:r>
      <w:r w:rsidR="00CB60D6">
        <w:rPr>
          <w:rFonts w:hint="cs"/>
          <w:rtl/>
        </w:rPr>
        <w:t>,</w:t>
      </w:r>
      <w:r>
        <w:rPr>
          <w:rtl/>
        </w:rPr>
        <w:t xml:space="preserve"> </w:t>
      </w:r>
      <w:r>
        <w:rPr>
          <w:rFonts w:hint="cs"/>
          <w:rtl/>
        </w:rPr>
        <w:t>שאולי הכי קרוב לפשט הפסוק: "</w:t>
      </w:r>
      <w:r>
        <w:rPr>
          <w:rtl/>
        </w:rPr>
        <w:t xml:space="preserve">טובים השנים שיוצאים לדרך, מן האחד שיוצא יחיד. כי אם יפלו האחד יקים את חברו וגו' </w:t>
      </w:r>
      <w:r>
        <w:rPr>
          <w:rFonts w:hint="cs"/>
          <w:rtl/>
        </w:rPr>
        <w:t xml:space="preserve">- </w:t>
      </w:r>
      <w:r>
        <w:rPr>
          <w:rtl/>
        </w:rPr>
        <w:t>אם יפול האחד חברו מעמידו, ואם יתקפו האחד</w:t>
      </w:r>
      <w:r>
        <w:rPr>
          <w:rFonts w:hint="cs"/>
          <w:rtl/>
        </w:rPr>
        <w:t>,</w:t>
      </w:r>
      <w:r>
        <w:rPr>
          <w:rtl/>
        </w:rPr>
        <w:t xml:space="preserve"> השנים יעמדו נגדו</w:t>
      </w:r>
      <w:r>
        <w:rPr>
          <w:rFonts w:hint="cs"/>
          <w:rtl/>
        </w:rPr>
        <w:t xml:space="preserve">, </w:t>
      </w:r>
      <w:r>
        <w:rPr>
          <w:rtl/>
        </w:rPr>
        <w:t>שאם יב</w:t>
      </w:r>
      <w:r>
        <w:rPr>
          <w:rFonts w:hint="cs"/>
          <w:rtl/>
        </w:rPr>
        <w:t>ו</w:t>
      </w:r>
      <w:r>
        <w:rPr>
          <w:rtl/>
        </w:rPr>
        <w:t>א אדם רע נגדו, השנים יעמדו נגדו. ואם שלשה הרי יפה, שנאמר</w:t>
      </w:r>
      <w:r>
        <w:rPr>
          <w:rFonts w:hint="cs"/>
          <w:rtl/>
        </w:rPr>
        <w:t>:</w:t>
      </w:r>
      <w:r>
        <w:rPr>
          <w:rtl/>
        </w:rPr>
        <w:t xml:space="preserve"> והחוט המשולש לא במהרה ינתק</w:t>
      </w:r>
      <w:r>
        <w:rPr>
          <w:rFonts w:hint="cs"/>
          <w:rtl/>
        </w:rPr>
        <w:t>".</w:t>
      </w:r>
      <w:r w:rsidRPr="001A13E3">
        <w:rPr>
          <w:rFonts w:hint="cs"/>
          <w:rtl/>
        </w:rPr>
        <w:t xml:space="preserve"> </w:t>
      </w:r>
      <w:r>
        <w:rPr>
          <w:rFonts w:hint="cs"/>
          <w:rtl/>
        </w:rPr>
        <w:t>ו</w:t>
      </w:r>
      <w:r>
        <w:rPr>
          <w:rtl/>
        </w:rPr>
        <w:t>מדרש אגדה (בובר) במדבר פרשת בלק פרק כב</w:t>
      </w:r>
      <w:r>
        <w:rPr>
          <w:rFonts w:hint="cs"/>
          <w:rtl/>
        </w:rPr>
        <w:t xml:space="preserve"> מסביר מדוע אדם חשוב יוצא עם שני נערים: " ... </w:t>
      </w:r>
      <w:r>
        <w:rPr>
          <w:rtl/>
        </w:rPr>
        <w:t>שלא ילך האחד למקום אחר וי</w:t>
      </w:r>
      <w:r w:rsidR="00CB60D6">
        <w:rPr>
          <w:rFonts w:hint="cs"/>
          <w:rtl/>
        </w:rPr>
        <w:t>י</w:t>
      </w:r>
      <w:r>
        <w:rPr>
          <w:rtl/>
        </w:rPr>
        <w:t>שאר הוא יחידי</w:t>
      </w:r>
      <w:r>
        <w:rPr>
          <w:rFonts w:hint="cs"/>
          <w:rtl/>
        </w:rPr>
        <w:t>.</w:t>
      </w:r>
      <w:r>
        <w:rPr>
          <w:rtl/>
        </w:rPr>
        <w:t xml:space="preserve"> ועוד שאם יעשו השנים מריבה, יעמוד השלישי וישים שלום ביניהם</w:t>
      </w:r>
      <w:r>
        <w:rPr>
          <w:rFonts w:hint="cs"/>
          <w:rtl/>
        </w:rPr>
        <w:t xml:space="preserve">". "ובלכתך בדרך" </w:t>
      </w:r>
      <w:r>
        <w:rPr>
          <w:rtl/>
        </w:rPr>
        <w:t>–</w:t>
      </w:r>
      <w:r>
        <w:rPr>
          <w:rFonts w:hint="cs"/>
          <w:rtl/>
        </w:rPr>
        <w:t xml:space="preserve"> מה שנכון ללימוד תורה, נכון </w:t>
      </w:r>
      <w:r w:rsidR="00CB60D6">
        <w:rPr>
          <w:rFonts w:hint="cs"/>
          <w:rtl/>
        </w:rPr>
        <w:t xml:space="preserve">גם </w:t>
      </w:r>
      <w:r>
        <w:rPr>
          <w:rFonts w:hint="cs"/>
          <w:rtl/>
        </w:rPr>
        <w:t>ליציאה בדרכים.</w:t>
      </w:r>
    </w:p>
  </w:footnote>
  <w:footnote w:id="29">
    <w:p w14:paraId="2DA8AEA6" w14:textId="77777777" w:rsidR="007518DD" w:rsidRDefault="007518DD" w:rsidP="00CB60D6">
      <w:pPr>
        <w:pStyle w:val="a3"/>
        <w:rPr>
          <w:rFonts w:hint="cs"/>
          <w:rtl/>
        </w:rPr>
      </w:pPr>
      <w:r>
        <w:rPr>
          <w:rStyle w:val="a5"/>
        </w:rPr>
        <w:footnoteRef/>
      </w:r>
      <w:r>
        <w:rPr>
          <w:rtl/>
        </w:rPr>
        <w:t xml:space="preserve"> </w:t>
      </w:r>
      <w:r w:rsidR="00CB60D6">
        <w:rPr>
          <w:rFonts w:hint="cs"/>
          <w:rtl/>
        </w:rPr>
        <w:t xml:space="preserve">עזר כנגדו. </w:t>
      </w:r>
      <w:r>
        <w:rPr>
          <w:rFonts w:hint="cs"/>
          <w:rtl/>
        </w:rPr>
        <w:t>אולי זה גם הפשט הפשוט בפסוק יא</w:t>
      </w:r>
      <w:r w:rsidR="00CB60D6">
        <w:rPr>
          <w:rFonts w:hint="cs"/>
          <w:rtl/>
        </w:rPr>
        <w:t>: "</w:t>
      </w:r>
      <w:r w:rsidR="00CB60D6" w:rsidRPr="00CB60D6">
        <w:rPr>
          <w:rtl/>
          <w:lang w:val="he-IL"/>
        </w:rPr>
        <w:t>גַּם אִם־יִשְׁכְּבוּ שְׁנַיִם וְחַם לָהֶם וּלְאֶחָד אֵיךְ יֵחָם</w:t>
      </w:r>
      <w:r w:rsidR="00CB60D6">
        <w:rPr>
          <w:rFonts w:hint="cs"/>
          <w:rtl/>
          <w:lang w:val="he-IL"/>
        </w:rPr>
        <w:t xml:space="preserve">". </w:t>
      </w:r>
    </w:p>
  </w:footnote>
  <w:footnote w:id="30">
    <w:p w14:paraId="3B40E5E1" w14:textId="77777777" w:rsidR="007518DD" w:rsidRDefault="007518DD" w:rsidP="00CB60D6">
      <w:pPr>
        <w:pStyle w:val="a3"/>
        <w:rPr>
          <w:rFonts w:hint="cs"/>
          <w:rtl/>
        </w:rPr>
      </w:pPr>
      <w:r>
        <w:rPr>
          <w:rStyle w:val="a5"/>
        </w:rPr>
        <w:footnoteRef/>
      </w:r>
      <w:r>
        <w:rPr>
          <w:rtl/>
        </w:rPr>
        <w:t xml:space="preserve"> </w:t>
      </w:r>
      <w:r>
        <w:rPr>
          <w:rFonts w:hint="cs"/>
          <w:rtl/>
        </w:rPr>
        <w:t xml:space="preserve">ראה מדרש </w:t>
      </w:r>
      <w:r>
        <w:rPr>
          <w:rtl/>
        </w:rPr>
        <w:t>שמות רבה כ א</w:t>
      </w:r>
      <w:r>
        <w:rPr>
          <w:rFonts w:hint="cs"/>
          <w:rtl/>
        </w:rPr>
        <w:t xml:space="preserve"> שאברהם ושרה הם בבחינת "</w:t>
      </w:r>
      <w:r>
        <w:rPr>
          <w:rtl/>
        </w:rPr>
        <w:t>טובים השנים מן האחד</w:t>
      </w:r>
      <w:r>
        <w:rPr>
          <w:rFonts w:hint="cs"/>
          <w:rtl/>
        </w:rPr>
        <w:t>"</w:t>
      </w:r>
      <w:r>
        <w:rPr>
          <w:rtl/>
        </w:rPr>
        <w:t xml:space="preserve">, </w:t>
      </w:r>
      <w:r>
        <w:rPr>
          <w:rFonts w:hint="cs"/>
          <w:rtl/>
        </w:rPr>
        <w:t>אבל רק כאשר נפקדה שרה בבנים התקיים החוט המשולש (פסיקתא רבתי מב וה' פקד את שרה). לידת ילד ראשון היא אירוע מרכזי בחיי איש ואשה, אשר יוצר את המבנה הגיאומטרי הראשוני, המצולע ואת התיחום המשפחתי הבסיסי (הערה 1 לעיל באנלוגיה לגיאומטריה). הילדים הבאים מוסיפים ומגדילים את תחום המשפחה לריבוע, מחומש, משושה, משובע</w:t>
      </w:r>
      <w:r w:rsidR="00CB60D6">
        <w:rPr>
          <w:rFonts w:hint="cs"/>
          <w:rtl/>
        </w:rPr>
        <w:t xml:space="preserve"> </w:t>
      </w:r>
      <w:r>
        <w:rPr>
          <w:rFonts w:hint="cs"/>
          <w:rtl/>
        </w:rPr>
        <w:t>וכו' - כן ירבו</w:t>
      </w:r>
      <w:r w:rsidR="00CB60D6">
        <w:rPr>
          <w:rFonts w:hint="cs"/>
          <w:rtl/>
        </w:rPr>
        <w:t>, אבל לבכור זכות המשולש</w:t>
      </w:r>
      <w:r>
        <w:rPr>
          <w:rFonts w:hint="cs"/>
          <w:rtl/>
        </w:rPr>
        <w:t>. ויש בקהלת רבה שם, סוף סוף הוא המדרש על ה</w:t>
      </w:r>
      <w:r w:rsidR="008D5816">
        <w:rPr>
          <w:rFonts w:hint="cs"/>
          <w:rtl/>
        </w:rPr>
        <w:t>מגילה</w:t>
      </w:r>
      <w:r>
        <w:rPr>
          <w:rFonts w:hint="cs"/>
          <w:rtl/>
        </w:rPr>
        <w:t>, עוד משולשים רבים, הדסים כשרים לתפארת, ולא נוכל לפרט את כולם.</w:t>
      </w:r>
    </w:p>
  </w:footnote>
  <w:footnote w:id="31">
    <w:p w14:paraId="43BFBED5" w14:textId="77777777" w:rsidR="002C4F53" w:rsidRDefault="002C4F53" w:rsidP="00254D22">
      <w:pPr>
        <w:pStyle w:val="a3"/>
        <w:rPr>
          <w:rFonts w:hint="cs"/>
          <w:rtl/>
        </w:rPr>
      </w:pPr>
      <w:r>
        <w:rPr>
          <w:rStyle w:val="a5"/>
        </w:rPr>
        <w:footnoteRef/>
      </w:r>
      <w:r>
        <w:rPr>
          <w:rtl/>
        </w:rPr>
        <w:t xml:space="preserve"> </w:t>
      </w:r>
      <w:r>
        <w:rPr>
          <w:rFonts w:hint="cs"/>
          <w:rtl/>
        </w:rPr>
        <w:t>כל פרשה ומידע שנמסרים לציבור, עדיף שיימסרו מראש למספר רב של אנשים! ולפי זה עדיף הדיבור שנאמר למשה ואהרון על קידוש החודש, מדברים שנמסרו אח"כ למשה בלבד והוא שבא ולימד את אהרון ומשם לכל ישראל (ראה עירובין נד ע"ב: כיצד סדר משנה</w:t>
      </w:r>
      <w:r w:rsidR="00241D16">
        <w:rPr>
          <w:rFonts w:hint="cs"/>
          <w:rtl/>
        </w:rPr>
        <w:t>, מובא בהקדמת הרמב"ם למשנה</w:t>
      </w:r>
      <w:r>
        <w:rPr>
          <w:rFonts w:hint="cs"/>
          <w:rtl/>
        </w:rPr>
        <w:t xml:space="preserve">). מדרש זה נשמע קצת </w:t>
      </w:r>
      <w:r w:rsidR="008D5816">
        <w:rPr>
          <w:rFonts w:hint="cs"/>
          <w:rtl/>
        </w:rPr>
        <w:t xml:space="preserve">חריג </w:t>
      </w:r>
      <w:r>
        <w:rPr>
          <w:rFonts w:hint="cs"/>
          <w:rtl/>
        </w:rPr>
        <w:t xml:space="preserve">מפתיע ואולי בשל כך מפרש אותו בעל </w:t>
      </w:r>
      <w:r>
        <w:rPr>
          <w:rtl/>
        </w:rPr>
        <w:t xml:space="preserve">תורה תמימה </w:t>
      </w:r>
      <w:r>
        <w:rPr>
          <w:rFonts w:hint="cs"/>
          <w:rtl/>
        </w:rPr>
        <w:t>ב</w:t>
      </w:r>
      <w:r>
        <w:rPr>
          <w:rtl/>
        </w:rPr>
        <w:t xml:space="preserve">הערות </w:t>
      </w:r>
      <w:r>
        <w:rPr>
          <w:rFonts w:hint="cs"/>
          <w:rtl/>
        </w:rPr>
        <w:t>ל</w:t>
      </w:r>
      <w:r>
        <w:rPr>
          <w:rtl/>
        </w:rPr>
        <w:t>קהלת פרק ד הערה מה</w:t>
      </w:r>
      <w:r w:rsidR="008D5816">
        <w:rPr>
          <w:rFonts w:hint="cs"/>
          <w:rtl/>
        </w:rPr>
        <w:t xml:space="preserve"> באופן קצת רך יותר</w:t>
      </w:r>
      <w:r>
        <w:rPr>
          <w:rFonts w:hint="cs"/>
          <w:rtl/>
        </w:rPr>
        <w:t>: "</w:t>
      </w:r>
      <w:r>
        <w:rPr>
          <w:rtl/>
        </w:rPr>
        <w:t>מאי טיבותא בזה</w:t>
      </w:r>
      <w:r>
        <w:rPr>
          <w:rFonts w:hint="cs"/>
          <w:rtl/>
        </w:rPr>
        <w:t>?</w:t>
      </w:r>
      <w:r>
        <w:rPr>
          <w:rtl/>
        </w:rPr>
        <w:t xml:space="preserve"> ואולי יתפרש מפני שאינו דומה דבר וענין הנמסר לרבים ע"י אחד לדבר הנמסר ע"י שנים ושל</w:t>
      </w:r>
      <w:r>
        <w:rPr>
          <w:rFonts w:hint="cs"/>
          <w:rtl/>
        </w:rPr>
        <w:t>ו</w:t>
      </w:r>
      <w:r>
        <w:rPr>
          <w:rtl/>
        </w:rPr>
        <w:t>שה אנשים</w:t>
      </w:r>
      <w:r>
        <w:rPr>
          <w:rFonts w:hint="cs"/>
          <w:rtl/>
        </w:rPr>
        <w:t>.</w:t>
      </w:r>
      <w:r>
        <w:rPr>
          <w:rtl/>
        </w:rPr>
        <w:t xml:space="preserve"> כי שנים ושל</w:t>
      </w:r>
      <w:r>
        <w:rPr>
          <w:rFonts w:hint="cs"/>
          <w:rtl/>
        </w:rPr>
        <w:t>ו</w:t>
      </w:r>
      <w:r>
        <w:rPr>
          <w:rtl/>
        </w:rPr>
        <w:t>שה אנשים בכ</w:t>
      </w:r>
      <w:r>
        <w:rPr>
          <w:rFonts w:hint="cs"/>
          <w:rtl/>
        </w:rPr>
        <w:t>ו</w:t>
      </w:r>
      <w:r>
        <w:rPr>
          <w:rtl/>
        </w:rPr>
        <w:t>חם להסביר הדבר יותר מאשר איש אחד המוסר</w:t>
      </w:r>
      <w:r>
        <w:rPr>
          <w:rFonts w:hint="cs"/>
          <w:rtl/>
        </w:rPr>
        <w:t>.</w:t>
      </w:r>
      <w:r>
        <w:rPr>
          <w:rtl/>
        </w:rPr>
        <w:t xml:space="preserve"> ולכן אם גם כששנים מסבירים טוב מאשר אחד מסביר</w:t>
      </w:r>
      <w:r>
        <w:rPr>
          <w:rFonts w:hint="cs"/>
          <w:rtl/>
        </w:rPr>
        <w:t>.</w:t>
      </w:r>
      <w:r>
        <w:rPr>
          <w:rtl/>
        </w:rPr>
        <w:t xml:space="preserve"> אבל של</w:t>
      </w:r>
      <w:r>
        <w:rPr>
          <w:rFonts w:hint="cs"/>
          <w:rtl/>
        </w:rPr>
        <w:t>ו</w:t>
      </w:r>
      <w:r>
        <w:rPr>
          <w:rtl/>
        </w:rPr>
        <w:t>שה המסבירים בודאי יובן הדבר ויתקבל לשומען</w:t>
      </w:r>
      <w:r>
        <w:rPr>
          <w:rFonts w:hint="cs"/>
          <w:rtl/>
        </w:rPr>
        <w:t>.</w:t>
      </w:r>
      <w:r>
        <w:rPr>
          <w:rtl/>
        </w:rPr>
        <w:t xml:space="preserve"> ולכן יומלץ על הסבר שמסבירים שלשה אנשים הלשון והחוט המשולש לא במהרה ינתק, והמפרשים לא פירשו מאומה במאמר זה</w:t>
      </w:r>
      <w:r>
        <w:rPr>
          <w:rFonts w:hint="cs"/>
          <w:rtl/>
        </w:rPr>
        <w:t>".</w:t>
      </w:r>
      <w:r w:rsidR="00254D22">
        <w:rPr>
          <w:rFonts w:hint="cs"/>
          <w:rtl/>
        </w:rPr>
        <w:t xml:space="preserve"> ואפשר שכאן גלשנו לנושא של לימוד מרב אחד או מכמה רבים - לו הקדשנו את הגיליון </w:t>
      </w:r>
      <w:hyperlink r:id="rId16" w:history="1">
        <w:r w:rsidR="00254D22" w:rsidRPr="00254D22">
          <w:rPr>
            <w:rStyle w:val="Hyperlink"/>
            <w:rFonts w:hint="cs"/>
            <w:rtl/>
          </w:rPr>
          <w:t>לימוד מרב אחד או מרבים</w:t>
        </w:r>
      </w:hyperlink>
      <w:r w:rsidR="00254D22">
        <w:rPr>
          <w:rFonts w:hint="cs"/>
          <w:rtl/>
        </w:rPr>
        <w:t xml:space="preserve"> בדפים המיוחדים. </w:t>
      </w:r>
    </w:p>
  </w:footnote>
  <w:footnote w:id="32">
    <w:p w14:paraId="2E08BFE8" w14:textId="77777777" w:rsidR="007518DD" w:rsidRDefault="007518DD">
      <w:pPr>
        <w:pStyle w:val="a3"/>
        <w:rPr>
          <w:rFonts w:hint="cs"/>
        </w:rPr>
      </w:pPr>
      <w:r>
        <w:rPr>
          <w:rStyle w:val="a5"/>
        </w:rPr>
        <w:footnoteRef/>
      </w:r>
      <w:r>
        <w:rPr>
          <w:rtl/>
        </w:rPr>
        <w:t xml:space="preserve"> </w:t>
      </w:r>
      <w:r>
        <w:rPr>
          <w:rFonts w:hint="cs"/>
          <w:rtl/>
        </w:rPr>
        <w:t>נתקנאו במשה ובקשו להוסיף על ברכתו ואולי גם להקדימו.</w:t>
      </w:r>
    </w:p>
  </w:footnote>
  <w:footnote w:id="33">
    <w:p w14:paraId="20B6E88C" w14:textId="77777777" w:rsidR="007518DD" w:rsidRDefault="007518DD">
      <w:pPr>
        <w:pStyle w:val="a3"/>
        <w:rPr>
          <w:rFonts w:hint="cs"/>
          <w:rtl/>
        </w:rPr>
      </w:pPr>
      <w:r>
        <w:rPr>
          <w:rStyle w:val="a5"/>
        </w:rPr>
        <w:footnoteRef/>
      </w:r>
      <w:r>
        <w:rPr>
          <w:rtl/>
        </w:rPr>
        <w:t xml:space="preserve"> </w:t>
      </w:r>
      <w:r>
        <w:rPr>
          <w:rFonts w:hint="cs"/>
          <w:rtl/>
        </w:rPr>
        <w:t xml:space="preserve">ראה דברינו </w:t>
      </w:r>
      <w:hyperlink r:id="rId17" w:history="1">
        <w:r w:rsidRPr="000633B9">
          <w:rPr>
            <w:rStyle w:val="Hyperlink"/>
            <w:rFonts w:hint="cs"/>
            <w:rtl/>
          </w:rPr>
          <w:t>משה איש האלהים</w:t>
        </w:r>
      </w:hyperlink>
      <w:r>
        <w:rPr>
          <w:rFonts w:hint="cs"/>
          <w:rtl/>
        </w:rPr>
        <w:t xml:space="preserve"> בפרשת וזאת הברכה.</w:t>
      </w:r>
    </w:p>
  </w:footnote>
  <w:footnote w:id="34">
    <w:p w14:paraId="2403FE5B" w14:textId="77777777" w:rsidR="007518DD" w:rsidRDefault="007518DD">
      <w:pPr>
        <w:pStyle w:val="a3"/>
        <w:rPr>
          <w:rFonts w:hint="cs"/>
        </w:rPr>
      </w:pPr>
      <w:r>
        <w:rPr>
          <w:rStyle w:val="a5"/>
        </w:rPr>
        <w:footnoteRef/>
      </w:r>
      <w:r>
        <w:rPr>
          <w:rtl/>
        </w:rPr>
        <w:t xml:space="preserve"> </w:t>
      </w:r>
      <w:r>
        <w:rPr>
          <w:rFonts w:hint="cs"/>
          <w:rtl/>
        </w:rPr>
        <w:t xml:space="preserve">ומכאן אנו מוכנים ומזומנים לקריאת פרשת וזאת הברכה בשמיני עצרת הקרוב, בשמחה </w:t>
      </w:r>
      <w:hyperlink r:id="rId18" w:history="1">
        <w:r w:rsidRPr="000633B9">
          <w:rPr>
            <w:rStyle w:val="Hyperlink"/>
            <w:rFonts w:hint="cs"/>
            <w:rtl/>
          </w:rPr>
          <w:t>לגומרה של תורה</w:t>
        </w:r>
      </w:hyperlink>
      <w:r>
        <w:rPr>
          <w:rFonts w:hint="cs"/>
          <w:rtl/>
        </w:rPr>
        <w:t xml:space="preserve"> </w:t>
      </w:r>
      <w:r>
        <w:rPr>
          <w:rtl/>
        </w:rPr>
        <w:t>–</w:t>
      </w:r>
      <w:r>
        <w:rPr>
          <w:rFonts w:hint="cs"/>
          <w:rtl/>
        </w:rPr>
        <w:t xml:space="preserve"> היא התורה המשולשת, שנית</w:t>
      </w:r>
      <w:r w:rsidR="00254D22">
        <w:rPr>
          <w:rFonts w:hint="cs"/>
          <w:rtl/>
        </w:rPr>
        <w:t>נ</w:t>
      </w:r>
      <w:r>
        <w:rPr>
          <w:rFonts w:hint="cs"/>
          <w:rtl/>
        </w:rPr>
        <w:t xml:space="preserve">ה בחודש השלישי, לבני האבות המשולשים, ע"י משה האח השלישי, בן לשבט השלישי שנצפן לשלושה (פסיקתא דרב כהנא פיסקא יב בחודש השלישי, תנחומא יתרו סימן ח). והחוט המשולש של שבת המועד סוכות שבה נקרא בתורה מספר שמות (ובמדבר), בנביאים מספר יחזקאל (מלחמת גוג ומגוג) ובכתובים מספר קהלת, </w:t>
      </w:r>
      <w:r w:rsidR="00241D16">
        <w:rPr>
          <w:rFonts w:hint="cs"/>
          <w:rtl/>
        </w:rPr>
        <w:t>לא יינתק ו</w:t>
      </w:r>
      <w:r>
        <w:rPr>
          <w:rFonts w:hint="cs"/>
          <w:rtl/>
        </w:rPr>
        <w:t>יחזור וילווה אותנו לשנים רבות ונעימות.</w:t>
      </w:r>
    </w:p>
  </w:footnote>
  <w:footnote w:id="35">
    <w:p w14:paraId="4841A513" w14:textId="77777777" w:rsidR="007518DD" w:rsidRDefault="007518DD" w:rsidP="00FA0A89">
      <w:pPr>
        <w:pStyle w:val="a3"/>
        <w:rPr>
          <w:rFonts w:hint="cs"/>
          <w:rtl/>
        </w:rPr>
      </w:pPr>
      <w:r>
        <w:rPr>
          <w:rStyle w:val="a5"/>
        </w:rPr>
        <w:footnoteRef/>
      </w:r>
      <w:r>
        <w:rPr>
          <w:rtl/>
        </w:rPr>
        <w:t xml:space="preserve"> </w:t>
      </w:r>
      <w:r>
        <w:rPr>
          <w:rFonts w:hint="cs"/>
          <w:rtl/>
        </w:rPr>
        <w:t>ניסוך המים נהג במקדש גם בשבת המועד. ראה סוכה פרק ד משנה א: "סוכה וניסוך המים שבעה".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E5D3" w14:textId="77777777" w:rsidR="007518DD" w:rsidRDefault="007518DD" w:rsidP="0020049F">
    <w:pPr>
      <w:pStyle w:val="1"/>
      <w:tabs>
        <w:tab w:val="clear" w:pos="9469"/>
        <w:tab w:val="right" w:pos="9299"/>
      </w:tabs>
      <w:rPr>
        <w:rFonts w:hint="cs"/>
        <w:rtl/>
      </w:rPr>
    </w:pPr>
    <w:fldSimple w:instr=" SUBJECT  \* MERGEFORMAT ">
      <w:r w:rsidR="00DE754D">
        <w:rPr>
          <w:rtl/>
        </w:rPr>
        <w:t>מגילת קהלת</w:t>
      </w:r>
    </w:fldSimple>
    <w:r>
      <w:rPr>
        <w:rtl/>
      </w:rPr>
      <w:tab/>
      <w:t>תש</w:t>
    </w:r>
    <w:r>
      <w:rPr>
        <w:rFonts w:hint="cs"/>
        <w:rtl/>
      </w:rPr>
      <w:t>ע"ו</w:t>
    </w:r>
  </w:p>
  <w:p w14:paraId="52C7B075" w14:textId="77777777" w:rsidR="007518DD" w:rsidRDefault="007518D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B4F4" w14:textId="77777777" w:rsidR="007518DD" w:rsidRDefault="007518D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E754D">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486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NrcwMjA3Mbc0NzRU0lEKTi0uzszPAykwrAUAsmIetCwAAAA="/>
  </w:docVars>
  <w:rsids>
    <w:rsidRoot w:val="00B473E2"/>
    <w:rsid w:val="0000512C"/>
    <w:rsid w:val="00010902"/>
    <w:rsid w:val="00011DBB"/>
    <w:rsid w:val="0001649C"/>
    <w:rsid w:val="00025075"/>
    <w:rsid w:val="0003096C"/>
    <w:rsid w:val="000348F8"/>
    <w:rsid w:val="0003623A"/>
    <w:rsid w:val="00036295"/>
    <w:rsid w:val="00041A14"/>
    <w:rsid w:val="00043AD0"/>
    <w:rsid w:val="00050473"/>
    <w:rsid w:val="000514F5"/>
    <w:rsid w:val="00053913"/>
    <w:rsid w:val="000553BA"/>
    <w:rsid w:val="00056840"/>
    <w:rsid w:val="00057C03"/>
    <w:rsid w:val="000629AE"/>
    <w:rsid w:val="000633B9"/>
    <w:rsid w:val="0006545F"/>
    <w:rsid w:val="0007201C"/>
    <w:rsid w:val="00072350"/>
    <w:rsid w:val="000802D2"/>
    <w:rsid w:val="00083E46"/>
    <w:rsid w:val="00084D28"/>
    <w:rsid w:val="00090432"/>
    <w:rsid w:val="00091918"/>
    <w:rsid w:val="000945EF"/>
    <w:rsid w:val="00095C61"/>
    <w:rsid w:val="000A027D"/>
    <w:rsid w:val="000A2A1E"/>
    <w:rsid w:val="000A3775"/>
    <w:rsid w:val="000A4ABD"/>
    <w:rsid w:val="000C2B2A"/>
    <w:rsid w:val="000C5EA4"/>
    <w:rsid w:val="000C72C4"/>
    <w:rsid w:val="000D01C6"/>
    <w:rsid w:val="000D12FB"/>
    <w:rsid w:val="000E384C"/>
    <w:rsid w:val="000F10ED"/>
    <w:rsid w:val="000F17AA"/>
    <w:rsid w:val="000F2FD0"/>
    <w:rsid w:val="000F497A"/>
    <w:rsid w:val="000F4B68"/>
    <w:rsid w:val="00102907"/>
    <w:rsid w:val="0011046C"/>
    <w:rsid w:val="001201D6"/>
    <w:rsid w:val="0012182B"/>
    <w:rsid w:val="00123DE3"/>
    <w:rsid w:val="00135223"/>
    <w:rsid w:val="00137990"/>
    <w:rsid w:val="0014352A"/>
    <w:rsid w:val="00144734"/>
    <w:rsid w:val="001546A2"/>
    <w:rsid w:val="001635A5"/>
    <w:rsid w:val="00163F9A"/>
    <w:rsid w:val="00166CBA"/>
    <w:rsid w:val="00170162"/>
    <w:rsid w:val="00171C91"/>
    <w:rsid w:val="00173856"/>
    <w:rsid w:val="00173D68"/>
    <w:rsid w:val="00182434"/>
    <w:rsid w:val="00187EFC"/>
    <w:rsid w:val="0019636A"/>
    <w:rsid w:val="0019768A"/>
    <w:rsid w:val="001977DB"/>
    <w:rsid w:val="00197C7E"/>
    <w:rsid w:val="001A13E3"/>
    <w:rsid w:val="001A19D3"/>
    <w:rsid w:val="001A1EA1"/>
    <w:rsid w:val="001A4FA4"/>
    <w:rsid w:val="001A56F4"/>
    <w:rsid w:val="001A7330"/>
    <w:rsid w:val="001A7ED7"/>
    <w:rsid w:val="001B24F9"/>
    <w:rsid w:val="001B3B47"/>
    <w:rsid w:val="001B7905"/>
    <w:rsid w:val="001C01BB"/>
    <w:rsid w:val="001C0989"/>
    <w:rsid w:val="001C5D7C"/>
    <w:rsid w:val="001D1188"/>
    <w:rsid w:val="001D2089"/>
    <w:rsid w:val="001D2B72"/>
    <w:rsid w:val="001D5173"/>
    <w:rsid w:val="001E0113"/>
    <w:rsid w:val="001E0B37"/>
    <w:rsid w:val="001E1D85"/>
    <w:rsid w:val="001E2711"/>
    <w:rsid w:val="001E2A33"/>
    <w:rsid w:val="001E4B07"/>
    <w:rsid w:val="001E4D5F"/>
    <w:rsid w:val="001E7055"/>
    <w:rsid w:val="001E76C5"/>
    <w:rsid w:val="001F0979"/>
    <w:rsid w:val="001F128F"/>
    <w:rsid w:val="001F21B0"/>
    <w:rsid w:val="001F5D8F"/>
    <w:rsid w:val="0020049F"/>
    <w:rsid w:val="002008CC"/>
    <w:rsid w:val="00203619"/>
    <w:rsid w:val="00204B12"/>
    <w:rsid w:val="00207A07"/>
    <w:rsid w:val="00211030"/>
    <w:rsid w:val="00214B65"/>
    <w:rsid w:val="0021623A"/>
    <w:rsid w:val="00224077"/>
    <w:rsid w:val="0022610F"/>
    <w:rsid w:val="00233E9F"/>
    <w:rsid w:val="002355A1"/>
    <w:rsid w:val="00241D16"/>
    <w:rsid w:val="00252617"/>
    <w:rsid w:val="00254D22"/>
    <w:rsid w:val="00255C98"/>
    <w:rsid w:val="00262289"/>
    <w:rsid w:val="0026477A"/>
    <w:rsid w:val="00265D96"/>
    <w:rsid w:val="00276359"/>
    <w:rsid w:val="002809B6"/>
    <w:rsid w:val="00291D8D"/>
    <w:rsid w:val="00293F0D"/>
    <w:rsid w:val="00294946"/>
    <w:rsid w:val="0029725E"/>
    <w:rsid w:val="002A16B0"/>
    <w:rsid w:val="002A39CC"/>
    <w:rsid w:val="002A7E32"/>
    <w:rsid w:val="002B0F8E"/>
    <w:rsid w:val="002C4F53"/>
    <w:rsid w:val="002E3D91"/>
    <w:rsid w:val="002E4CE5"/>
    <w:rsid w:val="002E762B"/>
    <w:rsid w:val="002F1A91"/>
    <w:rsid w:val="002F6305"/>
    <w:rsid w:val="00304D4D"/>
    <w:rsid w:val="00305ABC"/>
    <w:rsid w:val="00307465"/>
    <w:rsid w:val="0031239F"/>
    <w:rsid w:val="00314969"/>
    <w:rsid w:val="00316D3C"/>
    <w:rsid w:val="0032034D"/>
    <w:rsid w:val="00321E2C"/>
    <w:rsid w:val="00331837"/>
    <w:rsid w:val="00331A33"/>
    <w:rsid w:val="00333558"/>
    <w:rsid w:val="003347E8"/>
    <w:rsid w:val="00345071"/>
    <w:rsid w:val="0034787A"/>
    <w:rsid w:val="00350294"/>
    <w:rsid w:val="0036311B"/>
    <w:rsid w:val="003720EB"/>
    <w:rsid w:val="0037502C"/>
    <w:rsid w:val="00377583"/>
    <w:rsid w:val="0038007B"/>
    <w:rsid w:val="003803F2"/>
    <w:rsid w:val="00392A53"/>
    <w:rsid w:val="0039474B"/>
    <w:rsid w:val="00395740"/>
    <w:rsid w:val="003A6663"/>
    <w:rsid w:val="003B16F3"/>
    <w:rsid w:val="003B4EEA"/>
    <w:rsid w:val="003C0056"/>
    <w:rsid w:val="003C126C"/>
    <w:rsid w:val="003C1875"/>
    <w:rsid w:val="003C4CE2"/>
    <w:rsid w:val="003C7EDA"/>
    <w:rsid w:val="003E00F3"/>
    <w:rsid w:val="003E45A1"/>
    <w:rsid w:val="003E6858"/>
    <w:rsid w:val="003E78AA"/>
    <w:rsid w:val="003F5C8A"/>
    <w:rsid w:val="003F5E79"/>
    <w:rsid w:val="003F63A4"/>
    <w:rsid w:val="00410A68"/>
    <w:rsid w:val="00415A03"/>
    <w:rsid w:val="00425AD8"/>
    <w:rsid w:val="00431432"/>
    <w:rsid w:val="00434653"/>
    <w:rsid w:val="00435E26"/>
    <w:rsid w:val="0043728E"/>
    <w:rsid w:val="00443679"/>
    <w:rsid w:val="0044675D"/>
    <w:rsid w:val="00450244"/>
    <w:rsid w:val="0045211D"/>
    <w:rsid w:val="004554A6"/>
    <w:rsid w:val="00464D18"/>
    <w:rsid w:val="004658CF"/>
    <w:rsid w:val="00472DCB"/>
    <w:rsid w:val="00472F59"/>
    <w:rsid w:val="00473997"/>
    <w:rsid w:val="00473E5D"/>
    <w:rsid w:val="004764C5"/>
    <w:rsid w:val="0047791D"/>
    <w:rsid w:val="004820DA"/>
    <w:rsid w:val="00493709"/>
    <w:rsid w:val="00493A73"/>
    <w:rsid w:val="004946DB"/>
    <w:rsid w:val="004A0932"/>
    <w:rsid w:val="004A31AC"/>
    <w:rsid w:val="004A3A3F"/>
    <w:rsid w:val="004B1B98"/>
    <w:rsid w:val="004B56F7"/>
    <w:rsid w:val="004C327E"/>
    <w:rsid w:val="004C3FA7"/>
    <w:rsid w:val="004C4075"/>
    <w:rsid w:val="004D1919"/>
    <w:rsid w:val="004E15CE"/>
    <w:rsid w:val="004E3A00"/>
    <w:rsid w:val="004E61CE"/>
    <w:rsid w:val="004F5AE8"/>
    <w:rsid w:val="00500579"/>
    <w:rsid w:val="005041D7"/>
    <w:rsid w:val="0050652A"/>
    <w:rsid w:val="00506C96"/>
    <w:rsid w:val="00507D57"/>
    <w:rsid w:val="00511EC4"/>
    <w:rsid w:val="00513F74"/>
    <w:rsid w:val="005168B1"/>
    <w:rsid w:val="0052088D"/>
    <w:rsid w:val="005232ED"/>
    <w:rsid w:val="005240C5"/>
    <w:rsid w:val="00527521"/>
    <w:rsid w:val="0053478B"/>
    <w:rsid w:val="0053579C"/>
    <w:rsid w:val="005449F4"/>
    <w:rsid w:val="00550D2D"/>
    <w:rsid w:val="00553C88"/>
    <w:rsid w:val="0055732B"/>
    <w:rsid w:val="0056036E"/>
    <w:rsid w:val="00572C0C"/>
    <w:rsid w:val="00582C8F"/>
    <w:rsid w:val="00582E78"/>
    <w:rsid w:val="0058437C"/>
    <w:rsid w:val="005865E0"/>
    <w:rsid w:val="00593774"/>
    <w:rsid w:val="00595046"/>
    <w:rsid w:val="0059575F"/>
    <w:rsid w:val="00595BFB"/>
    <w:rsid w:val="005960B1"/>
    <w:rsid w:val="005A320A"/>
    <w:rsid w:val="005A5C00"/>
    <w:rsid w:val="005A6B41"/>
    <w:rsid w:val="005A6FDE"/>
    <w:rsid w:val="005B32C9"/>
    <w:rsid w:val="005C11C9"/>
    <w:rsid w:val="005C4BBF"/>
    <w:rsid w:val="005C722F"/>
    <w:rsid w:val="005D16D5"/>
    <w:rsid w:val="005D2F9C"/>
    <w:rsid w:val="005E149C"/>
    <w:rsid w:val="005E5B23"/>
    <w:rsid w:val="005E5C55"/>
    <w:rsid w:val="005E6095"/>
    <w:rsid w:val="005F0736"/>
    <w:rsid w:val="005F23A2"/>
    <w:rsid w:val="005F6B87"/>
    <w:rsid w:val="006000E8"/>
    <w:rsid w:val="00600C86"/>
    <w:rsid w:val="00603FBD"/>
    <w:rsid w:val="00604C8F"/>
    <w:rsid w:val="006104E8"/>
    <w:rsid w:val="00621F70"/>
    <w:rsid w:val="006239D3"/>
    <w:rsid w:val="00624B71"/>
    <w:rsid w:val="0062537D"/>
    <w:rsid w:val="00626F0F"/>
    <w:rsid w:val="00631FE1"/>
    <w:rsid w:val="006327C1"/>
    <w:rsid w:val="00642744"/>
    <w:rsid w:val="00643F02"/>
    <w:rsid w:val="006456A0"/>
    <w:rsid w:val="00646DB1"/>
    <w:rsid w:val="00651F47"/>
    <w:rsid w:val="0065594F"/>
    <w:rsid w:val="00660453"/>
    <w:rsid w:val="00661642"/>
    <w:rsid w:val="00676271"/>
    <w:rsid w:val="006820C3"/>
    <w:rsid w:val="006847DB"/>
    <w:rsid w:val="00685FBF"/>
    <w:rsid w:val="00694D21"/>
    <w:rsid w:val="006A7541"/>
    <w:rsid w:val="006B11B0"/>
    <w:rsid w:val="006B130D"/>
    <w:rsid w:val="006B2AEA"/>
    <w:rsid w:val="006B315D"/>
    <w:rsid w:val="006D1676"/>
    <w:rsid w:val="006D39C6"/>
    <w:rsid w:val="006D3D85"/>
    <w:rsid w:val="006D5CBD"/>
    <w:rsid w:val="006D7A73"/>
    <w:rsid w:val="006E01B2"/>
    <w:rsid w:val="006E38EA"/>
    <w:rsid w:val="006E4F56"/>
    <w:rsid w:val="006E709C"/>
    <w:rsid w:val="006F3E57"/>
    <w:rsid w:val="006F4E92"/>
    <w:rsid w:val="006F54DE"/>
    <w:rsid w:val="00700C9B"/>
    <w:rsid w:val="007072E8"/>
    <w:rsid w:val="00736DAF"/>
    <w:rsid w:val="007377AB"/>
    <w:rsid w:val="00742CBD"/>
    <w:rsid w:val="00750933"/>
    <w:rsid w:val="00750FC2"/>
    <w:rsid w:val="007518DD"/>
    <w:rsid w:val="00752371"/>
    <w:rsid w:val="00753E26"/>
    <w:rsid w:val="007570A5"/>
    <w:rsid w:val="00767A9D"/>
    <w:rsid w:val="00767FF3"/>
    <w:rsid w:val="007729A4"/>
    <w:rsid w:val="0077474F"/>
    <w:rsid w:val="007804B3"/>
    <w:rsid w:val="00781C1B"/>
    <w:rsid w:val="00784559"/>
    <w:rsid w:val="007958BC"/>
    <w:rsid w:val="007966F2"/>
    <w:rsid w:val="007A44F6"/>
    <w:rsid w:val="007A4E89"/>
    <w:rsid w:val="007A68AD"/>
    <w:rsid w:val="007B0E61"/>
    <w:rsid w:val="007B505F"/>
    <w:rsid w:val="007C3956"/>
    <w:rsid w:val="007D722E"/>
    <w:rsid w:val="007D723F"/>
    <w:rsid w:val="007E00DE"/>
    <w:rsid w:val="007F4611"/>
    <w:rsid w:val="007F4FF2"/>
    <w:rsid w:val="00800967"/>
    <w:rsid w:val="00810B14"/>
    <w:rsid w:val="00812A95"/>
    <w:rsid w:val="00817363"/>
    <w:rsid w:val="008277AF"/>
    <w:rsid w:val="008308D0"/>
    <w:rsid w:val="008454AD"/>
    <w:rsid w:val="008470A3"/>
    <w:rsid w:val="0085765E"/>
    <w:rsid w:val="00865600"/>
    <w:rsid w:val="008656E0"/>
    <w:rsid w:val="00881035"/>
    <w:rsid w:val="008839FB"/>
    <w:rsid w:val="00894F1A"/>
    <w:rsid w:val="008A3A40"/>
    <w:rsid w:val="008A5F36"/>
    <w:rsid w:val="008B1033"/>
    <w:rsid w:val="008B1AA0"/>
    <w:rsid w:val="008B1CA0"/>
    <w:rsid w:val="008B4606"/>
    <w:rsid w:val="008C1BF0"/>
    <w:rsid w:val="008C1D21"/>
    <w:rsid w:val="008C78E4"/>
    <w:rsid w:val="008D0346"/>
    <w:rsid w:val="008D334B"/>
    <w:rsid w:val="008D5816"/>
    <w:rsid w:val="008E05D4"/>
    <w:rsid w:val="008E1183"/>
    <w:rsid w:val="008E3074"/>
    <w:rsid w:val="008F015E"/>
    <w:rsid w:val="008F1F27"/>
    <w:rsid w:val="008F389E"/>
    <w:rsid w:val="0090403D"/>
    <w:rsid w:val="009122C0"/>
    <w:rsid w:val="00913BDB"/>
    <w:rsid w:val="00914D29"/>
    <w:rsid w:val="00924117"/>
    <w:rsid w:val="00926C94"/>
    <w:rsid w:val="0093603A"/>
    <w:rsid w:val="009377F4"/>
    <w:rsid w:val="00937D7A"/>
    <w:rsid w:val="0094005E"/>
    <w:rsid w:val="009434DF"/>
    <w:rsid w:val="0094381D"/>
    <w:rsid w:val="00944188"/>
    <w:rsid w:val="0095123A"/>
    <w:rsid w:val="00960E51"/>
    <w:rsid w:val="009673C5"/>
    <w:rsid w:val="00973FDF"/>
    <w:rsid w:val="009758C2"/>
    <w:rsid w:val="00982C70"/>
    <w:rsid w:val="00987350"/>
    <w:rsid w:val="00992959"/>
    <w:rsid w:val="00993CCC"/>
    <w:rsid w:val="00994C73"/>
    <w:rsid w:val="009A30A0"/>
    <w:rsid w:val="009A4367"/>
    <w:rsid w:val="009A562B"/>
    <w:rsid w:val="009B2EC3"/>
    <w:rsid w:val="009B7942"/>
    <w:rsid w:val="009D0CEC"/>
    <w:rsid w:val="009D37B7"/>
    <w:rsid w:val="009D3C92"/>
    <w:rsid w:val="009D5AEE"/>
    <w:rsid w:val="009F11B0"/>
    <w:rsid w:val="009F3DF9"/>
    <w:rsid w:val="009F7560"/>
    <w:rsid w:val="00A019C8"/>
    <w:rsid w:val="00A048CA"/>
    <w:rsid w:val="00A10F2C"/>
    <w:rsid w:val="00A12404"/>
    <w:rsid w:val="00A12D42"/>
    <w:rsid w:val="00A20296"/>
    <w:rsid w:val="00A254C8"/>
    <w:rsid w:val="00A27658"/>
    <w:rsid w:val="00A27D90"/>
    <w:rsid w:val="00A27E34"/>
    <w:rsid w:val="00A32F01"/>
    <w:rsid w:val="00A33601"/>
    <w:rsid w:val="00A34446"/>
    <w:rsid w:val="00A42B3E"/>
    <w:rsid w:val="00A4517A"/>
    <w:rsid w:val="00A45728"/>
    <w:rsid w:val="00A506BE"/>
    <w:rsid w:val="00A51212"/>
    <w:rsid w:val="00A5260A"/>
    <w:rsid w:val="00A61D69"/>
    <w:rsid w:val="00A64B4F"/>
    <w:rsid w:val="00A650F5"/>
    <w:rsid w:val="00A750FB"/>
    <w:rsid w:val="00A76EBE"/>
    <w:rsid w:val="00A824D8"/>
    <w:rsid w:val="00A83B00"/>
    <w:rsid w:val="00A86BF2"/>
    <w:rsid w:val="00A9120B"/>
    <w:rsid w:val="00A91D63"/>
    <w:rsid w:val="00A93502"/>
    <w:rsid w:val="00AB626F"/>
    <w:rsid w:val="00AC109A"/>
    <w:rsid w:val="00AC3B8D"/>
    <w:rsid w:val="00AE0B54"/>
    <w:rsid w:val="00AE18EA"/>
    <w:rsid w:val="00AE2CA3"/>
    <w:rsid w:val="00AE4EE8"/>
    <w:rsid w:val="00AF4E66"/>
    <w:rsid w:val="00B021C1"/>
    <w:rsid w:val="00B04D0E"/>
    <w:rsid w:val="00B07221"/>
    <w:rsid w:val="00B14ECC"/>
    <w:rsid w:val="00B2041E"/>
    <w:rsid w:val="00B20758"/>
    <w:rsid w:val="00B2256B"/>
    <w:rsid w:val="00B3120A"/>
    <w:rsid w:val="00B31647"/>
    <w:rsid w:val="00B34C30"/>
    <w:rsid w:val="00B44473"/>
    <w:rsid w:val="00B4647C"/>
    <w:rsid w:val="00B473E2"/>
    <w:rsid w:val="00B50F56"/>
    <w:rsid w:val="00B51899"/>
    <w:rsid w:val="00B60CE6"/>
    <w:rsid w:val="00B623D9"/>
    <w:rsid w:val="00B638A9"/>
    <w:rsid w:val="00B6505C"/>
    <w:rsid w:val="00B760E0"/>
    <w:rsid w:val="00B77EF5"/>
    <w:rsid w:val="00B87EF5"/>
    <w:rsid w:val="00B97EB8"/>
    <w:rsid w:val="00BA2AD7"/>
    <w:rsid w:val="00BA3577"/>
    <w:rsid w:val="00BA3FA2"/>
    <w:rsid w:val="00BB5C12"/>
    <w:rsid w:val="00BB6322"/>
    <w:rsid w:val="00BB6B82"/>
    <w:rsid w:val="00BB77C5"/>
    <w:rsid w:val="00BB7970"/>
    <w:rsid w:val="00BC1769"/>
    <w:rsid w:val="00BE11AC"/>
    <w:rsid w:val="00BF63EA"/>
    <w:rsid w:val="00BF67B7"/>
    <w:rsid w:val="00C028E6"/>
    <w:rsid w:val="00C03840"/>
    <w:rsid w:val="00C14F25"/>
    <w:rsid w:val="00C15828"/>
    <w:rsid w:val="00C17F05"/>
    <w:rsid w:val="00C2087A"/>
    <w:rsid w:val="00C20A9F"/>
    <w:rsid w:val="00C21AB5"/>
    <w:rsid w:val="00C224AC"/>
    <w:rsid w:val="00C2375B"/>
    <w:rsid w:val="00C25643"/>
    <w:rsid w:val="00C27149"/>
    <w:rsid w:val="00C35728"/>
    <w:rsid w:val="00C37FA6"/>
    <w:rsid w:val="00C4621E"/>
    <w:rsid w:val="00C46BA2"/>
    <w:rsid w:val="00C51D11"/>
    <w:rsid w:val="00C61B2F"/>
    <w:rsid w:val="00C659CA"/>
    <w:rsid w:val="00C707F6"/>
    <w:rsid w:val="00C813C6"/>
    <w:rsid w:val="00C83211"/>
    <w:rsid w:val="00C8448B"/>
    <w:rsid w:val="00C9074C"/>
    <w:rsid w:val="00C91652"/>
    <w:rsid w:val="00C95A11"/>
    <w:rsid w:val="00C968E9"/>
    <w:rsid w:val="00CA3F74"/>
    <w:rsid w:val="00CB191B"/>
    <w:rsid w:val="00CB39A3"/>
    <w:rsid w:val="00CB60D6"/>
    <w:rsid w:val="00CC0290"/>
    <w:rsid w:val="00CC3F43"/>
    <w:rsid w:val="00CD5E62"/>
    <w:rsid w:val="00CE0CFD"/>
    <w:rsid w:val="00CE486E"/>
    <w:rsid w:val="00CF218F"/>
    <w:rsid w:val="00CF3738"/>
    <w:rsid w:val="00D0066C"/>
    <w:rsid w:val="00D01AD4"/>
    <w:rsid w:val="00D02A1D"/>
    <w:rsid w:val="00D073AA"/>
    <w:rsid w:val="00D076DC"/>
    <w:rsid w:val="00D10D75"/>
    <w:rsid w:val="00D1472D"/>
    <w:rsid w:val="00D16355"/>
    <w:rsid w:val="00D20C05"/>
    <w:rsid w:val="00D23DF2"/>
    <w:rsid w:val="00D368DA"/>
    <w:rsid w:val="00D37D90"/>
    <w:rsid w:val="00D407EA"/>
    <w:rsid w:val="00D44460"/>
    <w:rsid w:val="00D458ED"/>
    <w:rsid w:val="00D46B23"/>
    <w:rsid w:val="00D478C0"/>
    <w:rsid w:val="00D670E9"/>
    <w:rsid w:val="00D6788F"/>
    <w:rsid w:val="00D73CAC"/>
    <w:rsid w:val="00D75D0B"/>
    <w:rsid w:val="00D774D6"/>
    <w:rsid w:val="00D80371"/>
    <w:rsid w:val="00D80AE7"/>
    <w:rsid w:val="00D81FAA"/>
    <w:rsid w:val="00D8471C"/>
    <w:rsid w:val="00D93C45"/>
    <w:rsid w:val="00DA2469"/>
    <w:rsid w:val="00DB48E7"/>
    <w:rsid w:val="00DB56E1"/>
    <w:rsid w:val="00DB6D53"/>
    <w:rsid w:val="00DC545B"/>
    <w:rsid w:val="00DD6132"/>
    <w:rsid w:val="00DE437C"/>
    <w:rsid w:val="00DE5189"/>
    <w:rsid w:val="00DE6069"/>
    <w:rsid w:val="00DE754D"/>
    <w:rsid w:val="00DE76C6"/>
    <w:rsid w:val="00DF0959"/>
    <w:rsid w:val="00DF4A65"/>
    <w:rsid w:val="00E2110C"/>
    <w:rsid w:val="00E238D1"/>
    <w:rsid w:val="00E24C8F"/>
    <w:rsid w:val="00E271B2"/>
    <w:rsid w:val="00E36DBF"/>
    <w:rsid w:val="00E37F45"/>
    <w:rsid w:val="00E5164D"/>
    <w:rsid w:val="00E658C5"/>
    <w:rsid w:val="00E771FB"/>
    <w:rsid w:val="00E82F23"/>
    <w:rsid w:val="00E83F24"/>
    <w:rsid w:val="00E864ED"/>
    <w:rsid w:val="00E9391E"/>
    <w:rsid w:val="00E95161"/>
    <w:rsid w:val="00E96899"/>
    <w:rsid w:val="00EA0763"/>
    <w:rsid w:val="00EA2933"/>
    <w:rsid w:val="00EA3826"/>
    <w:rsid w:val="00EB2BE2"/>
    <w:rsid w:val="00EB2FBD"/>
    <w:rsid w:val="00EB3CBF"/>
    <w:rsid w:val="00EB4521"/>
    <w:rsid w:val="00EB5774"/>
    <w:rsid w:val="00ED5C2F"/>
    <w:rsid w:val="00F11A8F"/>
    <w:rsid w:val="00F24D5C"/>
    <w:rsid w:val="00F26C19"/>
    <w:rsid w:val="00F2736A"/>
    <w:rsid w:val="00F327CA"/>
    <w:rsid w:val="00F34528"/>
    <w:rsid w:val="00F35216"/>
    <w:rsid w:val="00F3550F"/>
    <w:rsid w:val="00F37F74"/>
    <w:rsid w:val="00F41247"/>
    <w:rsid w:val="00F460B9"/>
    <w:rsid w:val="00F47F76"/>
    <w:rsid w:val="00F5303E"/>
    <w:rsid w:val="00F5630C"/>
    <w:rsid w:val="00F756A8"/>
    <w:rsid w:val="00F7627C"/>
    <w:rsid w:val="00F76F19"/>
    <w:rsid w:val="00F866E4"/>
    <w:rsid w:val="00F87FF9"/>
    <w:rsid w:val="00F91AC6"/>
    <w:rsid w:val="00F932B6"/>
    <w:rsid w:val="00F96A16"/>
    <w:rsid w:val="00FA0A89"/>
    <w:rsid w:val="00FA7F65"/>
    <w:rsid w:val="00FB2371"/>
    <w:rsid w:val="00FB69AD"/>
    <w:rsid w:val="00FB708D"/>
    <w:rsid w:val="00FC138D"/>
    <w:rsid w:val="00FC1A0F"/>
    <w:rsid w:val="00FC50AF"/>
    <w:rsid w:val="00FD2A33"/>
    <w:rsid w:val="00FD69E8"/>
    <w:rsid w:val="00FE1D0D"/>
    <w:rsid w:val="00FE28A5"/>
    <w:rsid w:val="00FE362E"/>
    <w:rsid w:val="00FE3E4F"/>
    <w:rsid w:val="00FE5776"/>
    <w:rsid w:val="00FE7B8C"/>
    <w:rsid w:val="00FE7E92"/>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A70964"/>
  <w15:chartTrackingRefBased/>
  <w15:docId w15:val="{BD2AE27C-03FF-40D8-A11E-2D1819B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86E"/>
    <w:pPr>
      <w:bidi/>
    </w:pPr>
    <w:rPr>
      <w:rFonts w:cs="Narkisim"/>
      <w:sz w:val="22"/>
      <w:szCs w:val="22"/>
      <w:lang w:eastAsia="he-IL"/>
    </w:rPr>
  </w:style>
  <w:style w:type="paragraph" w:styleId="1">
    <w:name w:val="heading 1"/>
    <w:basedOn w:val="a"/>
    <w:next w:val="a"/>
    <w:link w:val="10"/>
    <w:qFormat/>
    <w:rsid w:val="00CE486E"/>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CE48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486E"/>
  </w:style>
  <w:style w:type="paragraph" w:styleId="a3">
    <w:name w:val="footnote text"/>
    <w:basedOn w:val="a"/>
    <w:link w:val="a4"/>
    <w:rsid w:val="00CE486E"/>
    <w:pPr>
      <w:ind w:left="170" w:hanging="170"/>
      <w:jc w:val="both"/>
    </w:pPr>
    <w:rPr>
      <w:sz w:val="20"/>
      <w:szCs w:val="20"/>
    </w:rPr>
  </w:style>
  <w:style w:type="character" w:styleId="a5">
    <w:name w:val="footnote reference"/>
    <w:semiHidden/>
    <w:rsid w:val="00CE486E"/>
    <w:rPr>
      <w:vertAlign w:val="superscript"/>
    </w:rPr>
  </w:style>
  <w:style w:type="paragraph" w:styleId="a6">
    <w:name w:val="header"/>
    <w:basedOn w:val="a"/>
    <w:link w:val="a7"/>
    <w:rsid w:val="00CE486E"/>
    <w:pPr>
      <w:tabs>
        <w:tab w:val="center" w:pos="4153"/>
        <w:tab w:val="right" w:pos="8306"/>
      </w:tabs>
    </w:pPr>
  </w:style>
  <w:style w:type="paragraph" w:styleId="a8">
    <w:name w:val="footer"/>
    <w:basedOn w:val="a"/>
    <w:link w:val="a9"/>
    <w:rsid w:val="00CE486E"/>
    <w:pPr>
      <w:tabs>
        <w:tab w:val="center" w:pos="4153"/>
        <w:tab w:val="right" w:pos="8306"/>
      </w:tabs>
    </w:pPr>
  </w:style>
  <w:style w:type="paragraph" w:customStyle="1" w:styleId="aa">
    <w:name w:val="כותרת"/>
    <w:basedOn w:val="a"/>
    <w:rsid w:val="00CE486E"/>
    <w:pPr>
      <w:spacing w:before="240" w:line="320" w:lineRule="atLeast"/>
      <w:jc w:val="center"/>
    </w:pPr>
    <w:rPr>
      <w:rFonts w:cs="David"/>
      <w:b/>
      <w:bCs/>
      <w:spacing w:val="20"/>
      <w:szCs w:val="32"/>
    </w:rPr>
  </w:style>
  <w:style w:type="paragraph" w:customStyle="1" w:styleId="ab">
    <w:name w:val="כותרת קטע"/>
    <w:basedOn w:val="a"/>
    <w:rsid w:val="00CE486E"/>
    <w:pPr>
      <w:spacing w:before="240" w:line="300" w:lineRule="atLeast"/>
    </w:pPr>
    <w:rPr>
      <w:rFonts w:cs="Arial"/>
      <w:b/>
      <w:bCs/>
      <w:szCs w:val="24"/>
    </w:rPr>
  </w:style>
  <w:style w:type="paragraph" w:customStyle="1" w:styleId="ac">
    <w:name w:val="מקור"/>
    <w:basedOn w:val="a"/>
    <w:rsid w:val="00CE486E"/>
    <w:pPr>
      <w:spacing w:line="320" w:lineRule="atLeast"/>
      <w:jc w:val="both"/>
    </w:pPr>
    <w:rPr>
      <w:rFonts w:cs="David"/>
      <w:szCs w:val="24"/>
    </w:rPr>
  </w:style>
  <w:style w:type="paragraph" w:customStyle="1" w:styleId="ad">
    <w:name w:val="מחלקי המים"/>
    <w:basedOn w:val="a"/>
    <w:rsid w:val="00CE486E"/>
    <w:pPr>
      <w:spacing w:line="320" w:lineRule="atLeast"/>
      <w:jc w:val="both"/>
    </w:pPr>
    <w:rPr>
      <w:b/>
      <w:bCs/>
      <w:szCs w:val="24"/>
    </w:rPr>
  </w:style>
  <w:style w:type="character" w:styleId="Hyperlink">
    <w:name w:val="Hyperlink"/>
    <w:rsid w:val="00CE486E"/>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CE486E"/>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CE486E"/>
    <w:rPr>
      <w:rFonts w:cs="Narkisim"/>
      <w:lang w:eastAsia="he-IL"/>
    </w:rPr>
  </w:style>
  <w:style w:type="character" w:customStyle="1" w:styleId="10">
    <w:name w:val="כותרת 1 תו"/>
    <w:link w:val="1"/>
    <w:rsid w:val="00CE486E"/>
    <w:rPr>
      <w:rFonts w:cs="David"/>
      <w:b/>
      <w:bCs/>
      <w:sz w:val="22"/>
      <w:szCs w:val="28"/>
      <w:lang w:eastAsia="he-IL"/>
    </w:rPr>
  </w:style>
  <w:style w:type="character" w:customStyle="1" w:styleId="a7">
    <w:name w:val="כותרת עליונה תו"/>
    <w:link w:val="a6"/>
    <w:rsid w:val="00CE486E"/>
    <w:rPr>
      <w:rFonts w:cs="Narkisim"/>
      <w:sz w:val="22"/>
      <w:szCs w:val="22"/>
      <w:lang w:eastAsia="he-IL"/>
    </w:rPr>
  </w:style>
  <w:style w:type="character" w:customStyle="1" w:styleId="a9">
    <w:name w:val="כותרת תחתונה תו"/>
    <w:link w:val="a8"/>
    <w:rsid w:val="00CE486E"/>
    <w:rPr>
      <w:rFonts w:cs="Narkisim"/>
      <w:sz w:val="22"/>
      <w:szCs w:val="22"/>
      <w:lang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CE486E"/>
    <w:rPr>
      <w:rFonts w:ascii="Tahoma" w:hAnsi="Tahoma" w:cs="Tahoma"/>
      <w:sz w:val="16"/>
      <w:szCs w:val="16"/>
      <w:lang w:eastAsia="he-IL"/>
    </w:rPr>
  </w:style>
  <w:style w:type="paragraph" w:customStyle="1" w:styleId="af1">
    <w:name w:val="פסוק"/>
    <w:basedOn w:val="ac"/>
    <w:qFormat/>
    <w:rsid w:val="00CE486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99%D7%9C%D7%95%D7%A4%D7%99-%D7%93%D7%95%D7%A8%D7%95%D7%AA-%D7%95%D7%9E%D7%A9%D7%9E%D7%A8%D7%95%D7%AA" TargetMode="External"/><Relationship Id="rId13" Type="http://schemas.openxmlformats.org/officeDocument/2006/relationships/hyperlink" Target="https://www.mayim.org.il/?parasha=%D7%90%D7%A9%D7%A8%D7%99-%D7%99%D7%9C%D7%95%D7%93-%D7%90%D7%A9%D7%94-%D7%90%D7%A9%D7%A8%D7%99-%D7%99%D7%95%D7%9C%D7%93%D7%AA%D7%95" TargetMode="External"/><Relationship Id="rId18" Type="http://schemas.openxmlformats.org/officeDocument/2006/relationships/hyperlink" Target="http://www.mayim.org.il/?holiday=%D7%92%D7%95%D7%9E%D7%A8%D7%94-%D7%A9%D7%9C-%D7%AA%D7%95%D7%A8%D7%94" TargetMode="External"/><Relationship Id="rId3" Type="http://schemas.openxmlformats.org/officeDocument/2006/relationships/hyperlink" Target="http://www.mayim.org.il/?parasha=%D7%9E%D7%95%D7%A8%D7%A9%D7%94-%D7%A7%D7%94%D7%99%D7%9C%D7%AA-%D7%99%D7%A2%D7%A7%D7%91" TargetMode="External"/><Relationship Id="rId7" Type="http://schemas.openxmlformats.org/officeDocument/2006/relationships/hyperlink" Target="https://www.mayim.org.il/?parasha=%D7%A2%D7%96%D7%94-%D7%9B%D7%9E%D7%95%D7%95%D7%AA-%D7%90%D7%94%D7%91%D7%94-%D7%A7%D7%A9%D7%94-%D7%9B%D7%A9%D7%90%D7%95%D7%9C-%D7%A7%D7%A0%D7%90%D7%94" TargetMode="External"/><Relationship Id="rId12" Type="http://schemas.openxmlformats.org/officeDocument/2006/relationships/hyperlink" Target="http://www.mayim.org.il/?parasha=%d7%95%d7%94%d7%95%d7%93%d7%a2%d7%aa%d7%9d-%d7%9c%d7%91%d7%a0%d7%99%d7%9a-%d7%95%d7%9c%d7%91%d7%a0%d7%99-%d7%91%d7%a0%d7%99%d7%9a" TargetMode="External"/><Relationship Id="rId17" Type="http://schemas.openxmlformats.org/officeDocument/2006/relationships/hyperlink" Target="http://www.mayim.org.il/?parasha=%D7%9E%D7%A9%D7%94-%D7%90%D7%99%D7%A9-%D7%94%D7%90-%D7%9C%D7%94%D7%99%D7%9D1" TargetMode="External"/><Relationship Id="rId2" Type="http://schemas.openxmlformats.org/officeDocument/2006/relationships/hyperlink" Target="http://www.mayim.org.il/?parasha=%d7%90%d7%99%d7%9f-%d7%94%d7%91%d7%98%d7%97%d7%94-%d7%9c%d7%a6%d7%93%d7%99%d7%a7-%d7%91%d7%a2%d7%95%d7%9c%d7%9d-%d7%94%d7%96%d7%94" TargetMode="External"/><Relationship Id="rId16" Type="http://schemas.openxmlformats.org/officeDocument/2006/relationships/hyperlink" Target="https://www.mayim.org.il/?meyuhadim=%D7%9C%D7%99%D7%9E%D7%95%D7%93-%D7%9E%D7%A8%D7%91-%D7%90%D7%97%D7%93-%D7%90%D7%95-%D7%9E%D7%A8%D7%91%D7%99%D7%9D" TargetMode="External"/><Relationship Id="rId1" Type="http://schemas.openxmlformats.org/officeDocument/2006/relationships/hyperlink" Target="https://www.mayim.org.il/?parasha=%D7%9E%D7%A6%D7%95%D7%95%D7%94-%D7%92%D7%95%D7%A8%D7%A8%D7%AA-%D7%9E%D7%A6%D7%95%D7%95%D7%94-%D7%95%D7%A2%D7%91%D7%99%D7%A8%D7%94-%D7%92%D7%95%D7%A8%D7%A8%D7%AA-%D7%A2%D7%91%D7%99%D7%A8%D7%94" TargetMode="External"/><Relationship Id="rId6" Type="http://schemas.openxmlformats.org/officeDocument/2006/relationships/hyperlink" Target="https://www.mayim.org.il/?parasha=%D7%99%D7%A4%D7%A7%D7%95%D7%93-%D7%94-%D7%90%D7%99%D7%A9-%D7%A2%D7%9C-%D7%94%D7%A2%D7%93%D7%94" TargetMode="External"/><Relationship Id="rId11"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www.mayim.org.il/?parasha=%d7%95%d7%90%d7%9c%d7%94-%d7%aa%d7%95%d7%9c%d7%93%d7%95%d7%aa-%d7%90%d7%91%d7%a8%d7%94%d7%9d-%d7%99%d7%a6%d7%97%d7%a7-%d7%95%d7%99%d7%a2%d7%a7%d7%91" TargetMode="External"/><Relationship Id="rId15" Type="http://schemas.openxmlformats.org/officeDocument/2006/relationships/hyperlink" Target="https://www.mayim.org.il/?parasha=%D7%A7%D7%99%D7%9F-%D7%95%D7%94%D7%91%D7%9C-%D7%94%D7%A8%D7%A6%D7%97-%D7%94%D7%A8%D7%90%D7%A9%D7%95%D7%9F" TargetMode="External"/><Relationship Id="rId10" Type="http://schemas.openxmlformats.org/officeDocument/2006/relationships/hyperlink" Target="https://he.wikipedia.org/wiki/%D7%A8%D7%A9%22%D7%99" TargetMode="External"/><Relationship Id="rId4" Type="http://schemas.openxmlformats.org/officeDocument/2006/relationships/hyperlink" Target="https://www.mayim.org.il/?parasha=%D7%AA%D7%A4%D7%99%D7%9C%D7%95%D7%AA-%D7%90%D7%91%D7%95%D7%AA-%D7%AA%D7%A7%D7%A0%D7%95%D7%9D" TargetMode="External"/><Relationship Id="rId9" Type="http://schemas.openxmlformats.org/officeDocument/2006/relationships/hyperlink" Target="https://www.mayim.org.il/?parasha=%D7%95%D7%94%D7%95%D7%93%D7%A2%D7%AA%D7%9D-%D7%9C%D7%91%D7%A0%D7%99%D7%9A-%D7%95%D7%9C%D7%91%D7%A0%D7%99-%D7%91%D7%A0%D7%99%D7%9A" TargetMode="External"/><Relationship Id="rId14" Type="http://schemas.openxmlformats.org/officeDocument/2006/relationships/hyperlink" Target="http://www.mayim.org.il/?parasha=%D7%93%D7%95%D7%A8%D7%A9%D7%99%D7%9D-%D7%90%D7%95-%D7%9C%D7%90-%D7%93%D7%95%D7%A8%D7%A9%D7%99%D7%9D-%D7%91%D7%9E%D7%A2%D7%A9%D7%94-%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A0E8-DAAA-4B8D-A049-4FD998D2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835</Words>
  <Characters>4176</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5001</CharactersWithSpaces>
  <SharedDoc>false</SharedDoc>
  <HLinks>
    <vt:vector size="108" baseType="variant">
      <vt:variant>
        <vt:i4>65557</vt:i4>
      </vt:variant>
      <vt:variant>
        <vt:i4>51</vt:i4>
      </vt:variant>
      <vt:variant>
        <vt:i4>0</vt:i4>
      </vt:variant>
      <vt:variant>
        <vt:i4>5</vt:i4>
      </vt:variant>
      <vt:variant>
        <vt:lpwstr>http://www.mayim.org.il/?holiday=%D7%92%D7%95%D7%9E%D7%A8%D7%94-%D7%A9%D7%9C-%D7%AA%D7%95%D7%A8%D7%94</vt:lpwstr>
      </vt:variant>
      <vt:variant>
        <vt:lpwstr/>
      </vt:variant>
      <vt:variant>
        <vt:i4>262239</vt:i4>
      </vt:variant>
      <vt:variant>
        <vt:i4>48</vt:i4>
      </vt:variant>
      <vt:variant>
        <vt:i4>0</vt:i4>
      </vt:variant>
      <vt:variant>
        <vt:i4>5</vt:i4>
      </vt:variant>
      <vt:variant>
        <vt:lpwstr>http://www.mayim.org.il/?parasha=%D7%9E%D7%A9%D7%94-%D7%90%D7%99%D7%A9-%D7%94%D7%90-%D7%9C%D7%94%D7%99%D7%9D1</vt:lpwstr>
      </vt:variant>
      <vt:variant>
        <vt:lpwstr/>
      </vt:variant>
      <vt:variant>
        <vt:i4>4849753</vt:i4>
      </vt:variant>
      <vt:variant>
        <vt:i4>45</vt:i4>
      </vt:variant>
      <vt:variant>
        <vt:i4>0</vt:i4>
      </vt:variant>
      <vt:variant>
        <vt:i4>5</vt:i4>
      </vt:variant>
      <vt:variant>
        <vt:lpwstr>https://www.mayim.org.il/?meyuhadim=%D7%9C%D7%99%D7%9E%D7%95%D7%93-%D7%9E%D7%A8%D7%91-%D7%90%D7%97%D7%93-%D7%90%D7%95-%D7%9E%D7%A8%D7%91%D7%99%D7%9D</vt:lpwstr>
      </vt:variant>
      <vt:variant>
        <vt:lpwstr/>
      </vt:variant>
      <vt:variant>
        <vt:i4>3997815</vt:i4>
      </vt:variant>
      <vt:variant>
        <vt:i4>42</vt:i4>
      </vt:variant>
      <vt:variant>
        <vt:i4>0</vt:i4>
      </vt:variant>
      <vt:variant>
        <vt:i4>5</vt:i4>
      </vt:variant>
      <vt:variant>
        <vt:lpwstr>https://www.mayim.org.il/?parasha=%D7%A7%D7%99%D7%9F-%D7%95%D7%94%D7%91%D7%9C-%D7%94%D7%A8%D7%A6%D7%97-%D7%94%D7%A8%D7%90%D7%A9%D7%95%D7%9F</vt:lpwstr>
      </vt:variant>
      <vt:variant>
        <vt:lpwstr/>
      </vt:variant>
      <vt:variant>
        <vt:i4>852055</vt:i4>
      </vt:variant>
      <vt:variant>
        <vt:i4>39</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4718616</vt:i4>
      </vt:variant>
      <vt:variant>
        <vt:i4>36</vt:i4>
      </vt:variant>
      <vt:variant>
        <vt:i4>0</vt:i4>
      </vt:variant>
      <vt:variant>
        <vt:i4>5</vt:i4>
      </vt:variant>
      <vt:variant>
        <vt:lpwstr>https://www.mayim.org.il/?parasha=%D7%90%D7%A9%D7%A8%D7%99-%D7%99%D7%9C%D7%95%D7%93-%D7%90%D7%A9%D7%94-%D7%90%D7%A9%D7%A8%D7%99-%D7%99%D7%95%D7%9C%D7%93%D7%AA%D7%95</vt:lpwstr>
      </vt:variant>
      <vt:variant>
        <vt:lpwstr/>
      </vt:variant>
      <vt:variant>
        <vt:i4>7733364</vt:i4>
      </vt:variant>
      <vt:variant>
        <vt:i4>33</vt:i4>
      </vt:variant>
      <vt:variant>
        <vt:i4>0</vt:i4>
      </vt:variant>
      <vt:variant>
        <vt:i4>5</vt:i4>
      </vt:variant>
      <vt:variant>
        <vt:lpwstr>http://www.mayim.org.il/?parasha=%d7%95%d7%94%d7%95%d7%93%d7%a2%d7%aa%d7%9d-%d7%9c%d7%91%d7%a0%d7%99%d7%9a-%d7%95%d7%9c%d7%91%d7%a0%d7%99-%d7%91%d7%a0%d7%99%d7%9a</vt:lpwstr>
      </vt:variant>
      <vt:variant>
        <vt:lpwstr/>
      </vt:variant>
      <vt:variant>
        <vt:i4>3997805</vt:i4>
      </vt:variant>
      <vt:variant>
        <vt:i4>30</vt:i4>
      </vt:variant>
      <vt:variant>
        <vt:i4>0</vt:i4>
      </vt:variant>
      <vt:variant>
        <vt:i4>5</vt:i4>
      </vt:variant>
      <vt:variant>
        <vt:lpwstr>https://www.mayim.org.il/?meyuhadim=%D7%94%D7%A0%D7%A9%D7%99%D7%9D-%D7%94%D7%9E%D7%9E%D7%AA%D7%99%D7%A0%D7%95%D7%AA</vt:lpwstr>
      </vt:variant>
      <vt:variant>
        <vt:lpwstr/>
      </vt:variant>
      <vt:variant>
        <vt:i4>4063279</vt:i4>
      </vt:variant>
      <vt:variant>
        <vt:i4>27</vt:i4>
      </vt:variant>
      <vt:variant>
        <vt:i4>0</vt:i4>
      </vt:variant>
      <vt:variant>
        <vt:i4>5</vt:i4>
      </vt:variant>
      <vt:variant>
        <vt:lpwstr>https://he.wikipedia.org/wiki/%D7%A8%D7%A9%22%D7%99</vt:lpwstr>
      </vt:variant>
      <vt:variant>
        <vt:lpwstr/>
      </vt:variant>
      <vt:variant>
        <vt:i4>7078012</vt:i4>
      </vt:variant>
      <vt:variant>
        <vt:i4>24</vt:i4>
      </vt:variant>
      <vt:variant>
        <vt:i4>0</vt:i4>
      </vt:variant>
      <vt:variant>
        <vt:i4>5</vt:i4>
      </vt:variant>
      <vt:variant>
        <vt:lpwstr>https://www.mayim.org.il/?parasha=%D7%95%D7%94%D7%95%D7%93%D7%A2%D7%AA%D7%9D-%D7%9C%D7%91%D7%A0%D7%99%D7%9A-%D7%95%D7%9C%D7%91%D7%A0%D7%99-%D7%91%D7%A0%D7%99%D7%9A</vt:lpwstr>
      </vt:variant>
      <vt:variant>
        <vt:lpwstr/>
      </vt:variant>
      <vt:variant>
        <vt:i4>4587594</vt:i4>
      </vt:variant>
      <vt:variant>
        <vt:i4>21</vt:i4>
      </vt:variant>
      <vt:variant>
        <vt:i4>0</vt:i4>
      </vt:variant>
      <vt:variant>
        <vt:i4>5</vt:i4>
      </vt:variant>
      <vt:variant>
        <vt:lpwstr>https://www.mayim.org.il/?parasha=%D7%97%D7%99%D7%9C%D7%95%D7%A4%D7%99-%D7%93%D7%95%D7%A8%D7%95%D7%AA-%D7%95%D7%9E%D7%A9%D7%9E%D7%A8%D7%95%D7%AA</vt:lpwstr>
      </vt:variant>
      <vt:variant>
        <vt:lpwstr/>
      </vt:variant>
      <vt:variant>
        <vt:i4>6291489</vt:i4>
      </vt:variant>
      <vt:variant>
        <vt:i4>18</vt:i4>
      </vt:variant>
      <vt:variant>
        <vt:i4>0</vt:i4>
      </vt:variant>
      <vt:variant>
        <vt:i4>5</vt:i4>
      </vt:variant>
      <vt:variant>
        <vt:lpwstr>https://www.mayim.org.il/?parasha=%D7%A2%D7%96%D7%94-%D7%9B%D7%9E%D7%95%D7%95%D7%AA-%D7%90%D7%94%D7%91%D7%94-%D7%A7%D7%A9%D7%94-%D7%9B%D7%A9%D7%90%D7%95%D7%9C-%D7%A7%D7%A0%D7%90%D7%94</vt:lpwstr>
      </vt:variant>
      <vt:variant>
        <vt:lpwstr/>
      </vt:variant>
      <vt:variant>
        <vt:i4>4849731</vt:i4>
      </vt:variant>
      <vt:variant>
        <vt:i4>15</vt:i4>
      </vt:variant>
      <vt:variant>
        <vt:i4>0</vt:i4>
      </vt:variant>
      <vt:variant>
        <vt:i4>5</vt:i4>
      </vt:variant>
      <vt:variant>
        <vt:lpwstr>https://www.mayim.org.il/?parasha=%D7%99%D7%A4%D7%A7%D7%95%D7%93-%D7%94-%D7%90%D7%99%D7%A9-%D7%A2%D7%9C-%D7%94%D7%A2%D7%93%D7%94</vt:lpwstr>
      </vt:variant>
      <vt:variant>
        <vt:lpwstr/>
      </vt:variant>
      <vt:variant>
        <vt:i4>720926</vt:i4>
      </vt:variant>
      <vt:variant>
        <vt:i4>12</vt:i4>
      </vt:variant>
      <vt:variant>
        <vt:i4>0</vt:i4>
      </vt:variant>
      <vt:variant>
        <vt:i4>5</vt:i4>
      </vt:variant>
      <vt:variant>
        <vt:lpwstr>http://www.mayim.org.il/?parasha=%d7%95%d7%90%d7%9c%d7%94-%d7%aa%d7%95%d7%9c%d7%93%d7%95%d7%aa-%d7%90%d7%91%d7%a8%d7%94%d7%9d-%d7%99%d7%a6%d7%97%d7%a7-%d7%95%d7%99%d7%a2%d7%a7%d7%91</vt:lpwstr>
      </vt:variant>
      <vt:variant>
        <vt:lpwstr/>
      </vt:variant>
      <vt:variant>
        <vt:i4>7077940</vt:i4>
      </vt:variant>
      <vt:variant>
        <vt:i4>9</vt:i4>
      </vt:variant>
      <vt:variant>
        <vt:i4>0</vt:i4>
      </vt:variant>
      <vt:variant>
        <vt:i4>5</vt:i4>
      </vt:variant>
      <vt:variant>
        <vt:lpwstr>https://www.mayim.org.il/?parasha=%D7%AA%D7%A4%D7%99%D7%9C%D7%95%D7%AA-%D7%90%D7%91%D7%95%D7%AA-%D7%AA%D7%A7%D7%A0%D7%95%D7%9D</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2621488</vt:i4>
      </vt:variant>
      <vt:variant>
        <vt:i4>3</vt:i4>
      </vt:variant>
      <vt:variant>
        <vt:i4>0</vt:i4>
      </vt:variant>
      <vt:variant>
        <vt:i4>5</vt:i4>
      </vt:variant>
      <vt:variant>
        <vt:lpwstr>http://www.mayim.org.il/?parasha=%d7%90%d7%99%d7%9f-%d7%94%d7%91%d7%98%d7%97%d7%94-%d7%9c%d7%a6%d7%93%d7%99%d7%a7-%d7%91%d7%a2%d7%95%d7%9c%d7%9d-%d7%94%d7%96%d7%94</vt:lpwstr>
      </vt:variant>
      <vt:variant>
        <vt:lpwstr/>
      </vt:variant>
      <vt:variant>
        <vt:i4>4915294</vt:i4>
      </vt:variant>
      <vt:variant>
        <vt:i4>0</vt:i4>
      </vt:variant>
      <vt:variant>
        <vt:i4>0</vt:i4>
      </vt:variant>
      <vt:variant>
        <vt:i4>5</vt:i4>
      </vt:variant>
      <vt:variant>
        <vt:lpwstr>https://www.mayim.org.il/?parasha=%D7%9E%D7%A6%D7%95%D7%95%D7%94-%D7%92%D7%95%D7%A8%D7%A8%D7%AA-%D7%9E%D7%A6%D7%95%D7%95%D7%94-%D7%95%D7%A2%D7%91%D7%99%D7%A8%D7%94-%D7%92%D7%95%D7%A8%D7%A8%D7%AA-%D7%A2%D7%91%D7%99%D7%A8%D7%94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החוט המשולש</dc:title>
  <dc:subject>מגילת קהלת</dc:subject>
  <dc:creator>אשר יובל</dc:creator>
  <cp:keywords/>
  <cp:lastModifiedBy>Shimon Afek</cp:lastModifiedBy>
  <cp:revision>2</cp:revision>
  <cp:lastPrinted>2017-10-03T05:02:00Z</cp:lastPrinted>
  <dcterms:created xsi:type="dcterms:W3CDTF">2021-04-25T06:21:00Z</dcterms:created>
  <dcterms:modified xsi:type="dcterms:W3CDTF">2021-04-25T06:21:00Z</dcterms:modified>
</cp:coreProperties>
</file>