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1996" w14:textId="77777777" w:rsidR="005A09C5" w:rsidRDefault="005A09C5" w:rsidP="00D06EDF">
      <w:pPr>
        <w:pStyle w:val="aa"/>
        <w:spacing w:line="360" w:lineRule="auto"/>
        <w:rPr>
          <w:rFonts w:hint="cs"/>
          <w:rtl/>
        </w:rPr>
      </w:pPr>
      <w:fldSimple w:instr=" TITLE  \* MERGEFORMAT ">
        <w:r w:rsidR="00DA6A90">
          <w:rPr>
            <w:rtl/>
          </w:rPr>
          <w:t>מת מצוה</w:t>
        </w:r>
      </w:fldSimple>
    </w:p>
    <w:p w14:paraId="03EC5F72" w14:textId="77777777" w:rsidR="00D06EDF" w:rsidRPr="00D06EDF" w:rsidRDefault="00D06EDF" w:rsidP="008C25C8">
      <w:pPr>
        <w:pStyle w:val="ac"/>
        <w:spacing w:before="240"/>
        <w:rPr>
          <w:rFonts w:cs="Narkisim"/>
          <w:szCs w:val="22"/>
          <w:rtl/>
        </w:rPr>
      </w:pPr>
      <w:r w:rsidRPr="00D06EDF">
        <w:rPr>
          <w:rFonts w:cs="Narkisim" w:hint="cs"/>
          <w:b/>
          <w:bCs/>
          <w:szCs w:val="22"/>
          <w:rtl/>
        </w:rPr>
        <w:t>מים ראשונים:</w:t>
      </w:r>
      <w:r w:rsidRPr="00D06EDF">
        <w:rPr>
          <w:rFonts w:cs="Narkisim" w:hint="cs"/>
          <w:szCs w:val="22"/>
          <w:rtl/>
        </w:rPr>
        <w:t xml:space="preserve"> איזהו מת מצווה? כל אדם מת שנמצא מוטל במקום כלשהוא ואין מי שמכיר אותו ויודע עליו ואין מי שדואג לקבורתו. וכלשון הגמרא ב</w:t>
      </w:r>
      <w:r w:rsidRPr="00D06EDF">
        <w:rPr>
          <w:rFonts w:cs="Narkisim"/>
          <w:szCs w:val="22"/>
          <w:rtl/>
        </w:rPr>
        <w:t>מסכת נזיר מג ע</w:t>
      </w:r>
      <w:r w:rsidRPr="00D06EDF">
        <w:rPr>
          <w:rFonts w:cs="Narkisim" w:hint="cs"/>
          <w:szCs w:val="22"/>
          <w:rtl/>
        </w:rPr>
        <w:t>"ב: "</w:t>
      </w:r>
      <w:r w:rsidRPr="00D06EDF">
        <w:rPr>
          <w:rFonts w:cs="Narkisim"/>
          <w:szCs w:val="22"/>
          <w:rtl/>
        </w:rPr>
        <w:t>איזהו מת מצוה? כל שאין לו קוברין</w:t>
      </w:r>
      <w:r w:rsidRPr="00D06EDF">
        <w:rPr>
          <w:rFonts w:cs="Narkisim" w:hint="cs"/>
          <w:szCs w:val="22"/>
          <w:rtl/>
        </w:rPr>
        <w:t xml:space="preserve">". </w:t>
      </w:r>
      <w:r w:rsidR="008C25C8">
        <w:rPr>
          <w:rFonts w:cs="Narkisim" w:hint="cs"/>
          <w:szCs w:val="22"/>
          <w:rtl/>
        </w:rPr>
        <w:t>ובמשנה נזיר ט ג: "</w:t>
      </w:r>
      <w:r w:rsidR="008C25C8" w:rsidRPr="008C25C8">
        <w:rPr>
          <w:rFonts w:cs="Narkisim"/>
          <w:szCs w:val="22"/>
          <w:rtl/>
        </w:rPr>
        <w:t>המוצא מת מתח</w:t>
      </w:r>
      <w:r w:rsidR="008C25C8">
        <w:rPr>
          <w:rFonts w:cs="Narkisim" w:hint="cs"/>
          <w:szCs w:val="22"/>
          <w:rtl/>
        </w:rPr>
        <w:t>י</w:t>
      </w:r>
      <w:r w:rsidR="008C25C8" w:rsidRPr="008C25C8">
        <w:rPr>
          <w:rFonts w:cs="Narkisim"/>
          <w:szCs w:val="22"/>
          <w:rtl/>
        </w:rPr>
        <w:t>לה</w:t>
      </w:r>
      <w:r w:rsidR="008C25C8">
        <w:rPr>
          <w:rFonts w:cs="Narkisim" w:hint="cs"/>
          <w:szCs w:val="22"/>
          <w:rtl/>
        </w:rPr>
        <w:t xml:space="preserve">" </w:t>
      </w:r>
      <w:r w:rsidR="008C25C8">
        <w:rPr>
          <w:rFonts w:cs="Narkisim"/>
          <w:szCs w:val="22"/>
          <w:rtl/>
        </w:rPr>
        <w:t>–</w:t>
      </w:r>
      <w:r w:rsidR="008C25C8" w:rsidRPr="008C25C8">
        <w:rPr>
          <w:rFonts w:cs="Narkisim"/>
          <w:szCs w:val="22"/>
          <w:rtl/>
        </w:rPr>
        <w:t xml:space="preserve"> </w:t>
      </w:r>
      <w:r w:rsidR="008C25C8">
        <w:rPr>
          <w:rFonts w:cs="Narkisim" w:hint="cs"/>
          <w:szCs w:val="22"/>
          <w:rtl/>
        </w:rPr>
        <w:t>"</w:t>
      </w:r>
      <w:r w:rsidR="008C25C8" w:rsidRPr="008C25C8">
        <w:rPr>
          <w:rFonts w:cs="Narkisim"/>
          <w:szCs w:val="22"/>
          <w:rtl/>
        </w:rPr>
        <w:t>שלא היה ידוע שהיה שם קבר. והיינו דאמרינן בגמרא המוצא ולא שהיה מצוי</w:t>
      </w:r>
      <w:r w:rsidR="008C25C8">
        <w:rPr>
          <w:rFonts w:cs="Narkisim" w:hint="cs"/>
          <w:szCs w:val="22"/>
          <w:rtl/>
        </w:rPr>
        <w:t>" (ברטנורא)</w:t>
      </w:r>
      <w:r w:rsidR="008C25C8" w:rsidRPr="008C25C8">
        <w:rPr>
          <w:rFonts w:cs="Narkisim"/>
          <w:szCs w:val="22"/>
          <w:rtl/>
        </w:rPr>
        <w:t xml:space="preserve">. </w:t>
      </w:r>
      <w:r w:rsidRPr="00D06EDF">
        <w:rPr>
          <w:rFonts w:cs="Narkisim" w:hint="cs"/>
          <w:szCs w:val="22"/>
          <w:rtl/>
        </w:rPr>
        <w:t>לא נוכל לסקור באופן מלא נושא זה</w:t>
      </w:r>
      <w:r w:rsidR="00B1135B">
        <w:rPr>
          <w:rFonts w:cs="Narkisim" w:hint="cs"/>
          <w:szCs w:val="22"/>
          <w:rtl/>
        </w:rPr>
        <w:t>,</w:t>
      </w:r>
      <w:r w:rsidRPr="00D06EDF">
        <w:rPr>
          <w:rFonts w:cs="Narkisim" w:hint="cs"/>
          <w:szCs w:val="22"/>
          <w:rtl/>
        </w:rPr>
        <w:t xml:space="preserve"> רק </w:t>
      </w:r>
      <w:r w:rsidR="008C25C8">
        <w:rPr>
          <w:rFonts w:cs="Narkisim" w:hint="cs"/>
          <w:szCs w:val="22"/>
          <w:rtl/>
        </w:rPr>
        <w:t>נ</w:t>
      </w:r>
      <w:r w:rsidRPr="00D06EDF">
        <w:rPr>
          <w:rFonts w:cs="Narkisim" w:hint="cs"/>
          <w:szCs w:val="22"/>
          <w:rtl/>
        </w:rPr>
        <w:t>ביא מספר מקורות.</w:t>
      </w:r>
      <w:r w:rsidR="00B1135B" w:rsidRPr="00B1135B">
        <w:rPr>
          <w:rFonts w:cs="Narkisim" w:hint="cs"/>
          <w:szCs w:val="22"/>
          <w:rtl/>
        </w:rPr>
        <w:t xml:space="preserve"> </w:t>
      </w:r>
      <w:r w:rsidR="00B1135B" w:rsidRPr="00D06EDF">
        <w:rPr>
          <w:rFonts w:cs="Narkisim" w:hint="cs"/>
          <w:szCs w:val="22"/>
          <w:rtl/>
        </w:rPr>
        <w:t>(</w:t>
      </w:r>
      <w:r w:rsidR="00B1135B">
        <w:rPr>
          <w:rFonts w:cs="Narkisim" w:hint="cs"/>
          <w:szCs w:val="22"/>
          <w:rtl/>
        </w:rPr>
        <w:t xml:space="preserve">הנושא </w:t>
      </w:r>
      <w:r w:rsidR="00B1135B" w:rsidRPr="00D06EDF">
        <w:rPr>
          <w:rFonts w:cs="Narkisim" w:hint="cs"/>
          <w:szCs w:val="22"/>
          <w:rtl/>
        </w:rPr>
        <w:t>נ</w:t>
      </w:r>
      <w:r w:rsidR="00B1135B">
        <w:rPr>
          <w:rFonts w:cs="Narkisim" w:hint="cs"/>
          <w:szCs w:val="22"/>
          <w:rtl/>
        </w:rPr>
        <w:t xml:space="preserve">סקר חלקית </w:t>
      </w:r>
      <w:r w:rsidR="00B1135B" w:rsidRPr="00D06EDF">
        <w:rPr>
          <w:rFonts w:cs="Narkisim" w:hint="cs"/>
          <w:szCs w:val="22"/>
          <w:rtl/>
        </w:rPr>
        <w:t>באנציקלופדיה התלמודית</w:t>
      </w:r>
      <w:r w:rsidR="00B1135B">
        <w:rPr>
          <w:rFonts w:cs="Narkisim" w:hint="cs"/>
          <w:szCs w:val="22"/>
          <w:rtl/>
        </w:rPr>
        <w:t xml:space="preserve"> </w:t>
      </w:r>
      <w:hyperlink r:id="rId8" w:history="1">
        <w:r w:rsidR="00B1135B" w:rsidRPr="00B1135B">
          <w:rPr>
            <w:rStyle w:val="Hyperlink"/>
            <w:rFonts w:cs="Narkisim" w:hint="cs"/>
            <w:szCs w:val="22"/>
            <w:rtl/>
          </w:rPr>
          <w:t>ובויקיפדיה</w:t>
        </w:r>
      </w:hyperlink>
      <w:r w:rsidR="00B1135B" w:rsidRPr="00D06EDF">
        <w:rPr>
          <w:rFonts w:cs="Narkisim" w:hint="cs"/>
          <w:szCs w:val="22"/>
          <w:rtl/>
        </w:rPr>
        <w:t>)</w:t>
      </w:r>
      <w:r w:rsidR="00B1135B">
        <w:rPr>
          <w:rFonts w:cs="Narkisim" w:hint="cs"/>
          <w:szCs w:val="22"/>
          <w:rtl/>
        </w:rPr>
        <w:t>.</w:t>
      </w:r>
    </w:p>
    <w:p w14:paraId="1E1644A0" w14:textId="77777777" w:rsidR="00FC6903" w:rsidRDefault="00FC6903" w:rsidP="002E498D">
      <w:pPr>
        <w:pStyle w:val="ac"/>
        <w:spacing w:before="240"/>
        <w:rPr>
          <w:rFonts w:hint="cs"/>
          <w:b/>
          <w:bCs/>
          <w:rtl/>
          <w:lang w:eastAsia="en-US"/>
        </w:rPr>
      </w:pPr>
      <w:r w:rsidRPr="00FC6903">
        <w:rPr>
          <w:b/>
          <w:bCs/>
          <w:rtl/>
          <w:lang w:eastAsia="en-US"/>
        </w:rPr>
        <w:t xml:space="preserve">וַיֹּאמֶר </w:t>
      </w:r>
      <w:r>
        <w:rPr>
          <w:rFonts w:hint="cs"/>
          <w:b/>
          <w:bCs/>
          <w:rtl/>
          <w:lang w:eastAsia="en-US"/>
        </w:rPr>
        <w:t>ה'</w:t>
      </w:r>
      <w:r w:rsidRPr="00FC6903">
        <w:rPr>
          <w:b/>
          <w:bCs/>
          <w:rtl/>
          <w:lang w:eastAsia="en-US"/>
        </w:rPr>
        <w:t xml:space="preserve"> אֶל מֹשֶׁה אֱמֹר אֶל הַכֹּהֲנִים בְּנֵי אַהֲרֹן וְאָמַרְתָּ אֲלֵהֶם לְנֶפֶשׁ לֹא יִטַּמָּא בְּעַמָּיו:</w:t>
      </w:r>
      <w:r>
        <w:rPr>
          <w:rFonts w:hint="cs"/>
          <w:b/>
          <w:bCs/>
          <w:rtl/>
          <w:lang w:eastAsia="en-US"/>
        </w:rPr>
        <w:t xml:space="preserve"> </w:t>
      </w:r>
      <w:r w:rsidRPr="00FC6903">
        <w:rPr>
          <w:b/>
          <w:bCs/>
          <w:rtl/>
          <w:lang w:eastAsia="en-US"/>
        </w:rPr>
        <w:t>כִּי אִם לִשְׁאֵרוֹ הַקָּרֹב אֵלָיו לְאִמּוֹ וּלְאָבִיו וְלִבְנוֹ וּלְבִתּוֹ וּלְאָחִיו</w:t>
      </w:r>
      <w:r>
        <w:rPr>
          <w:rFonts w:hint="cs"/>
          <w:b/>
          <w:bCs/>
          <w:rtl/>
          <w:lang w:eastAsia="en-US"/>
        </w:rPr>
        <w:t xml:space="preserve"> ... </w:t>
      </w:r>
      <w:r w:rsidRPr="00FC6903">
        <w:rPr>
          <w:b/>
          <w:bCs/>
          <w:rtl/>
          <w:lang w:eastAsia="en-US"/>
        </w:rPr>
        <w:t>לֹא יִטַּמָּ</w:t>
      </w:r>
      <w:r w:rsidR="008611CA">
        <w:rPr>
          <w:b/>
          <w:bCs/>
          <w:rtl/>
          <w:lang w:eastAsia="en-US"/>
        </w:rPr>
        <w:t>א בַּעַל בְּעַמָּיו לְהֵחַלּוֹ</w:t>
      </w:r>
      <w:r w:rsidR="002E498D">
        <w:rPr>
          <w:rFonts w:hint="cs"/>
          <w:b/>
          <w:bCs/>
          <w:rtl/>
          <w:lang w:eastAsia="en-US"/>
        </w:rPr>
        <w:t>:</w:t>
      </w:r>
      <w:r>
        <w:rPr>
          <w:rFonts w:hint="cs"/>
          <w:b/>
          <w:bCs/>
          <w:rtl/>
          <w:lang w:eastAsia="en-US"/>
        </w:rPr>
        <w:t xml:space="preserve"> </w:t>
      </w:r>
      <w:r>
        <w:rPr>
          <w:rFonts w:cs="Narkisim" w:hint="cs"/>
          <w:szCs w:val="22"/>
          <w:rtl/>
          <w:lang w:eastAsia="en-US"/>
        </w:rPr>
        <w:t>(ויקרא כא א, ב, ד)</w:t>
      </w:r>
      <w:r>
        <w:rPr>
          <w:rFonts w:hint="cs"/>
          <w:b/>
          <w:bCs/>
          <w:rtl/>
          <w:lang w:eastAsia="en-US"/>
        </w:rPr>
        <w:t>.</w:t>
      </w:r>
      <w:r w:rsidR="00491306">
        <w:rPr>
          <w:rStyle w:val="a5"/>
          <w:b/>
          <w:bCs/>
          <w:rtl/>
          <w:lang w:eastAsia="en-US"/>
        </w:rPr>
        <w:footnoteReference w:id="1"/>
      </w:r>
    </w:p>
    <w:p w14:paraId="5753680B" w14:textId="77777777" w:rsidR="0069511C" w:rsidRPr="0069511C" w:rsidRDefault="0069511C" w:rsidP="00B1135B">
      <w:pPr>
        <w:pStyle w:val="ab"/>
        <w:rPr>
          <w:rFonts w:hint="cs"/>
          <w:rtl/>
          <w:lang w:eastAsia="en-US"/>
        </w:rPr>
      </w:pPr>
      <w:r w:rsidRPr="0069511C">
        <w:rPr>
          <w:rtl/>
          <w:lang w:eastAsia="en-US"/>
        </w:rPr>
        <w:t xml:space="preserve">ספרא </w:t>
      </w:r>
      <w:r>
        <w:rPr>
          <w:rFonts w:hint="cs"/>
          <w:rtl/>
          <w:lang w:eastAsia="en-US"/>
        </w:rPr>
        <w:t xml:space="preserve">(תורת כהנים) פרשת </w:t>
      </w:r>
      <w:r w:rsidRPr="0069511C">
        <w:rPr>
          <w:rtl/>
          <w:lang w:eastAsia="en-US"/>
        </w:rPr>
        <w:t xml:space="preserve">אמור פרשה א </w:t>
      </w:r>
      <w:r w:rsidR="00D51DB0">
        <w:rPr>
          <w:rtl/>
          <w:lang w:eastAsia="en-US"/>
        </w:rPr>
        <w:t>–</w:t>
      </w:r>
      <w:r w:rsidR="00D51DB0">
        <w:rPr>
          <w:rFonts w:hint="cs"/>
          <w:rtl/>
          <w:lang w:eastAsia="en-US"/>
        </w:rPr>
        <w:t xml:space="preserve"> אם אין עמיו שם</w:t>
      </w:r>
    </w:p>
    <w:p w14:paraId="35CB577F" w14:textId="77777777" w:rsidR="0069511C" w:rsidRDefault="0069511C" w:rsidP="0069511C">
      <w:pPr>
        <w:pStyle w:val="ac"/>
        <w:rPr>
          <w:rFonts w:hint="cs"/>
          <w:rtl/>
          <w:lang w:eastAsia="en-US"/>
        </w:rPr>
      </w:pPr>
      <w:r>
        <w:rPr>
          <w:rFonts w:hint="cs"/>
          <w:rtl/>
          <w:lang w:eastAsia="en-US"/>
        </w:rPr>
        <w:t>"</w:t>
      </w:r>
      <w:r w:rsidRPr="0069511C">
        <w:rPr>
          <w:rtl/>
          <w:lang w:eastAsia="en-US"/>
        </w:rPr>
        <w:t>לנפש לא יטמא בעמיו</w:t>
      </w:r>
      <w:r>
        <w:rPr>
          <w:rFonts w:hint="cs"/>
          <w:rtl/>
          <w:lang w:eastAsia="en-US"/>
        </w:rPr>
        <w:t>" -</w:t>
      </w:r>
      <w:r w:rsidRPr="0069511C">
        <w:rPr>
          <w:rtl/>
          <w:lang w:eastAsia="en-US"/>
        </w:rPr>
        <w:t xml:space="preserve"> בזמן שעמיו שם אינו מיטמא, מיטמא הוא למת מצוה</w:t>
      </w:r>
      <w:r w:rsidR="008D023A">
        <w:rPr>
          <w:rFonts w:hint="cs"/>
          <w:rtl/>
          <w:lang w:eastAsia="en-US"/>
        </w:rPr>
        <w:t>.</w:t>
      </w:r>
      <w:r w:rsidR="00491306">
        <w:rPr>
          <w:rStyle w:val="a5"/>
          <w:rtl/>
          <w:lang w:eastAsia="en-US"/>
        </w:rPr>
        <w:footnoteReference w:id="2"/>
      </w:r>
    </w:p>
    <w:p w14:paraId="54E87362" w14:textId="77777777" w:rsidR="0071197E" w:rsidRDefault="0071197E" w:rsidP="00D51DB0">
      <w:pPr>
        <w:pStyle w:val="ab"/>
        <w:rPr>
          <w:rFonts w:hint="cs"/>
          <w:rtl/>
          <w:lang w:eastAsia="en-US"/>
        </w:rPr>
      </w:pPr>
      <w:r>
        <w:rPr>
          <w:rtl/>
          <w:lang w:eastAsia="en-US"/>
        </w:rPr>
        <w:t>ויקרא רבה</w:t>
      </w:r>
      <w:r w:rsidR="00D51DB0">
        <w:rPr>
          <w:rFonts w:hint="cs"/>
          <w:rtl/>
          <w:lang w:eastAsia="en-US"/>
        </w:rPr>
        <w:t xml:space="preserve"> כו ח פ</w:t>
      </w:r>
      <w:r>
        <w:rPr>
          <w:rtl/>
          <w:lang w:eastAsia="en-US"/>
        </w:rPr>
        <w:t>רשת אמור</w:t>
      </w:r>
      <w:r w:rsidR="00D51DB0">
        <w:rPr>
          <w:rFonts w:hint="cs"/>
          <w:rtl/>
          <w:lang w:eastAsia="en-US"/>
        </w:rPr>
        <w:t xml:space="preserve"> </w:t>
      </w:r>
      <w:r w:rsidR="00FE7C9B">
        <w:rPr>
          <w:rtl/>
          <w:lang w:eastAsia="en-US"/>
        </w:rPr>
        <w:t>–</w:t>
      </w:r>
      <w:r w:rsidR="00D51DB0">
        <w:rPr>
          <w:rFonts w:hint="cs"/>
          <w:rtl/>
          <w:lang w:eastAsia="en-US"/>
        </w:rPr>
        <w:t xml:space="preserve"> </w:t>
      </w:r>
      <w:r w:rsidR="00FE7C9B">
        <w:rPr>
          <w:rFonts w:hint="cs"/>
          <w:rtl/>
          <w:lang w:eastAsia="en-US"/>
        </w:rPr>
        <w:t>אמירות הרבה</w:t>
      </w:r>
    </w:p>
    <w:p w14:paraId="749F650B" w14:textId="77777777" w:rsidR="0071197E" w:rsidRDefault="00570966" w:rsidP="00897273">
      <w:pPr>
        <w:pStyle w:val="ac"/>
        <w:rPr>
          <w:rFonts w:hint="cs"/>
          <w:rtl/>
          <w:lang w:eastAsia="en-US"/>
        </w:rPr>
      </w:pPr>
      <w:r>
        <w:rPr>
          <w:rFonts w:hint="cs"/>
          <w:rtl/>
          <w:lang w:eastAsia="en-US"/>
        </w:rPr>
        <w:t>וזה: "</w:t>
      </w:r>
      <w:r w:rsidR="0071197E">
        <w:rPr>
          <w:rtl/>
          <w:lang w:eastAsia="en-US"/>
        </w:rPr>
        <w:t>אמור אל הכהנים בני אהרן ואמרת אליהם</w:t>
      </w:r>
      <w:r>
        <w:rPr>
          <w:rFonts w:hint="cs"/>
          <w:rtl/>
          <w:lang w:eastAsia="en-US"/>
        </w:rPr>
        <w:t xml:space="preserve">" - </w:t>
      </w:r>
      <w:r w:rsidR="0071197E">
        <w:rPr>
          <w:rtl/>
          <w:lang w:eastAsia="en-US"/>
        </w:rPr>
        <w:t>מהו אמור ואמרת ש</w:t>
      </w:r>
      <w:r>
        <w:rPr>
          <w:rFonts w:hint="cs"/>
          <w:rtl/>
          <w:lang w:eastAsia="en-US"/>
        </w:rPr>
        <w:t>ת</w:t>
      </w:r>
      <w:r w:rsidR="0071197E">
        <w:rPr>
          <w:rtl/>
          <w:lang w:eastAsia="en-US"/>
        </w:rPr>
        <w:t>י פעמים</w:t>
      </w:r>
      <w:r>
        <w:rPr>
          <w:rFonts w:hint="cs"/>
          <w:rtl/>
          <w:lang w:eastAsia="en-US"/>
        </w:rPr>
        <w:t>?</w:t>
      </w:r>
      <w:r w:rsidR="0071197E">
        <w:rPr>
          <w:rtl/>
          <w:lang w:eastAsia="en-US"/>
        </w:rPr>
        <w:t xml:space="preserve"> אלא באמירה ראשונה אמ</w:t>
      </w:r>
      <w:r>
        <w:rPr>
          <w:rFonts w:hint="cs"/>
          <w:rtl/>
          <w:lang w:eastAsia="en-US"/>
        </w:rPr>
        <w:t>ר לו: "</w:t>
      </w:r>
      <w:r w:rsidR="0071197E">
        <w:rPr>
          <w:rtl/>
          <w:lang w:eastAsia="en-US"/>
        </w:rPr>
        <w:t>לנפש לא יטמא בעמיו</w:t>
      </w:r>
      <w:r>
        <w:rPr>
          <w:rFonts w:hint="cs"/>
          <w:rtl/>
          <w:lang w:eastAsia="en-US"/>
        </w:rPr>
        <w:t>"</w:t>
      </w:r>
      <w:r w:rsidR="0071197E">
        <w:rPr>
          <w:rtl/>
          <w:lang w:eastAsia="en-US"/>
        </w:rPr>
        <w:t>. באמירה שניה אמ</w:t>
      </w:r>
      <w:r>
        <w:rPr>
          <w:rFonts w:hint="cs"/>
          <w:rtl/>
          <w:lang w:eastAsia="en-US"/>
        </w:rPr>
        <w:t>ר</w:t>
      </w:r>
      <w:r w:rsidR="0071197E">
        <w:rPr>
          <w:rtl/>
          <w:lang w:eastAsia="en-US"/>
        </w:rPr>
        <w:t xml:space="preserve"> לו</w:t>
      </w:r>
      <w:r>
        <w:rPr>
          <w:rFonts w:hint="cs"/>
          <w:rtl/>
          <w:lang w:eastAsia="en-US"/>
        </w:rPr>
        <w:t>:</w:t>
      </w:r>
      <w:r w:rsidR="0071197E">
        <w:rPr>
          <w:rtl/>
          <w:lang w:eastAsia="en-US"/>
        </w:rPr>
        <w:t xml:space="preserve"> אם בא מת מצוה לידיך</w:t>
      </w:r>
      <w:r>
        <w:rPr>
          <w:rFonts w:hint="cs"/>
          <w:rtl/>
          <w:lang w:eastAsia="en-US"/>
        </w:rPr>
        <w:t>,</w:t>
      </w:r>
      <w:r w:rsidR="0071197E">
        <w:rPr>
          <w:rtl/>
          <w:lang w:eastAsia="en-US"/>
        </w:rPr>
        <w:t xml:space="preserve"> ה</w:t>
      </w:r>
      <w:r w:rsidR="00924DAF">
        <w:rPr>
          <w:rFonts w:hint="cs"/>
          <w:rtl/>
          <w:lang w:eastAsia="en-US"/>
        </w:rPr>
        <w:t>י</w:t>
      </w:r>
      <w:r w:rsidR="0071197E">
        <w:rPr>
          <w:rtl/>
          <w:lang w:eastAsia="en-US"/>
        </w:rPr>
        <w:t>זקק לו.</w:t>
      </w:r>
      <w:r w:rsidR="00897273">
        <w:rPr>
          <w:rStyle w:val="a5"/>
          <w:rtl/>
          <w:lang w:eastAsia="en-US"/>
        </w:rPr>
        <w:footnoteReference w:id="3"/>
      </w:r>
      <w:r w:rsidR="0071197E">
        <w:rPr>
          <w:rtl/>
          <w:lang w:eastAsia="en-US"/>
        </w:rPr>
        <w:t xml:space="preserve"> לפי שבעולם הזה הכהן מטמא למת מצוה</w:t>
      </w:r>
      <w:r>
        <w:rPr>
          <w:rFonts w:hint="cs"/>
          <w:rtl/>
          <w:lang w:eastAsia="en-US"/>
        </w:rPr>
        <w:t>,</w:t>
      </w:r>
      <w:r w:rsidR="0071197E">
        <w:rPr>
          <w:rtl/>
          <w:lang w:eastAsia="en-US"/>
        </w:rPr>
        <w:t xml:space="preserve"> אבל לעתיד לב</w:t>
      </w:r>
      <w:r w:rsidR="00897273">
        <w:rPr>
          <w:rFonts w:hint="cs"/>
          <w:rtl/>
          <w:lang w:eastAsia="en-US"/>
        </w:rPr>
        <w:t>ו</w:t>
      </w:r>
      <w:r w:rsidR="0071197E">
        <w:rPr>
          <w:rtl/>
          <w:lang w:eastAsia="en-US"/>
        </w:rPr>
        <w:t>א מה כת</w:t>
      </w:r>
      <w:r>
        <w:rPr>
          <w:rFonts w:hint="cs"/>
          <w:rtl/>
          <w:lang w:eastAsia="en-US"/>
        </w:rPr>
        <w:t>וב: "</w:t>
      </w:r>
      <w:r>
        <w:rPr>
          <w:rtl/>
          <w:lang w:eastAsia="en-US"/>
        </w:rPr>
        <w:t>בִּלַּע הַמָּוֶת לָנֶצַח</w:t>
      </w:r>
      <w:r>
        <w:rPr>
          <w:rFonts w:hint="cs"/>
          <w:rtl/>
          <w:lang w:eastAsia="en-US"/>
        </w:rPr>
        <w:t>"</w:t>
      </w:r>
      <w:r w:rsidR="0071197E">
        <w:rPr>
          <w:rtl/>
          <w:lang w:eastAsia="en-US"/>
        </w:rPr>
        <w:t xml:space="preserve"> (ישעיה כה, ח).</w:t>
      </w:r>
      <w:r w:rsidR="00897273">
        <w:rPr>
          <w:rFonts w:hint="cs"/>
          <w:rtl/>
          <w:lang w:eastAsia="en-US"/>
        </w:rPr>
        <w:t xml:space="preserve"> סליק פרשתא.</w:t>
      </w:r>
      <w:r w:rsidR="004E4DC9">
        <w:rPr>
          <w:rStyle w:val="a5"/>
          <w:rtl/>
          <w:lang w:eastAsia="en-US"/>
        </w:rPr>
        <w:footnoteReference w:id="4"/>
      </w:r>
    </w:p>
    <w:p w14:paraId="21F44D29" w14:textId="77777777" w:rsidR="0012603B" w:rsidRDefault="0012603B" w:rsidP="0012603B">
      <w:pPr>
        <w:pStyle w:val="ab"/>
        <w:rPr>
          <w:rtl/>
        </w:rPr>
      </w:pPr>
      <w:r>
        <w:rPr>
          <w:rtl/>
        </w:rPr>
        <w:t xml:space="preserve">מסכת מגילה דף ג עמוד ב </w:t>
      </w:r>
      <w:r w:rsidR="00FE7C9B">
        <w:rPr>
          <w:rtl/>
        </w:rPr>
        <w:t>–</w:t>
      </w:r>
      <w:r w:rsidR="00FE7C9B">
        <w:rPr>
          <w:rFonts w:hint="cs"/>
          <w:rtl/>
        </w:rPr>
        <w:t xml:space="preserve"> מה עדיף?</w:t>
      </w:r>
    </w:p>
    <w:p w14:paraId="3440E29B" w14:textId="77777777" w:rsidR="0012603B" w:rsidRDefault="0012603B" w:rsidP="0012603B">
      <w:pPr>
        <w:pStyle w:val="ac"/>
        <w:rPr>
          <w:rFonts w:hint="cs"/>
          <w:rtl/>
        </w:rPr>
      </w:pPr>
      <w:r>
        <w:rPr>
          <w:rtl/>
        </w:rPr>
        <w:lastRenderedPageBreak/>
        <w:t>תלמוד תורה ומת מצוה - מת מצוה עדיף, מדתניא: מבטלין תלמוד תורה להוצאת מת ולהכנסת כלה.</w:t>
      </w:r>
      <w:r w:rsidR="001F215D">
        <w:rPr>
          <w:rStyle w:val="a5"/>
          <w:rtl/>
        </w:rPr>
        <w:footnoteReference w:id="5"/>
      </w:r>
      <w:r>
        <w:rPr>
          <w:rtl/>
        </w:rPr>
        <w:t xml:space="preserve"> עבודה ומת מצוה - מת מצוה עדיף</w:t>
      </w:r>
      <w:r>
        <w:rPr>
          <w:rFonts w:hint="cs"/>
          <w:rtl/>
        </w:rPr>
        <w:t xml:space="preserve"> ... </w:t>
      </w:r>
      <w:r>
        <w:rPr>
          <w:rtl/>
        </w:rPr>
        <w:t>בעי רבא: מקרא מגילה ומת מצוה הי מינייהו עדיף? מקרא מגילה עדיף משום פרסומי ניסא, או דלמא מת מצוה עדיף - משום כבוד הבריות? בתר דבעיא הדר פשטה: מת מצוה עדיף. דאמר מר: גדול כבוד הבריות שדוחה את לא תעשה שבתורה.</w:t>
      </w:r>
      <w:r w:rsidR="002E6AA6">
        <w:rPr>
          <w:rStyle w:val="a5"/>
          <w:rtl/>
        </w:rPr>
        <w:footnoteReference w:id="6"/>
      </w:r>
    </w:p>
    <w:p w14:paraId="38421D70" w14:textId="77777777" w:rsidR="002E6AA6" w:rsidRDefault="002E6AA6" w:rsidP="00B1135B">
      <w:pPr>
        <w:pStyle w:val="ab"/>
        <w:rPr>
          <w:rtl/>
          <w:lang w:eastAsia="en-US"/>
        </w:rPr>
      </w:pPr>
      <w:r>
        <w:rPr>
          <w:rtl/>
          <w:lang w:eastAsia="en-US"/>
        </w:rPr>
        <w:t xml:space="preserve">ספר המצוות לרמב"ם מצות עשה רלא </w:t>
      </w:r>
      <w:r w:rsidR="0062706A">
        <w:rPr>
          <w:rtl/>
          <w:lang w:eastAsia="en-US"/>
        </w:rPr>
        <w:t>–</w:t>
      </w:r>
      <w:r w:rsidR="0062706A">
        <w:rPr>
          <w:rFonts w:hint="cs"/>
          <w:rtl/>
          <w:lang w:eastAsia="en-US"/>
        </w:rPr>
        <w:t xml:space="preserve"> מצוות קבורה הכללית</w:t>
      </w:r>
    </w:p>
    <w:p w14:paraId="5B703651" w14:textId="77777777" w:rsidR="002E6AA6" w:rsidRDefault="002E6AA6" w:rsidP="0062706A">
      <w:pPr>
        <w:pStyle w:val="ac"/>
        <w:rPr>
          <w:rFonts w:hint="cs"/>
          <w:rtl/>
          <w:lang w:eastAsia="en-US"/>
        </w:rPr>
      </w:pPr>
      <w:r>
        <w:rPr>
          <w:rtl/>
          <w:lang w:eastAsia="en-US"/>
        </w:rPr>
        <w:t>והמצוה הרל"א היא שצונו לקבור הרוגי בית דין ביום שייהרגו</w:t>
      </w:r>
      <w:r w:rsidR="00BE319E">
        <w:rPr>
          <w:rFonts w:hint="cs"/>
          <w:rtl/>
          <w:lang w:eastAsia="en-US"/>
        </w:rPr>
        <w:t>.</w:t>
      </w:r>
      <w:r>
        <w:rPr>
          <w:rtl/>
          <w:lang w:eastAsia="en-US"/>
        </w:rPr>
        <w:t xml:space="preserve"> והוא אמרו יתעלה</w:t>
      </w:r>
      <w:r w:rsidR="00BE319E">
        <w:rPr>
          <w:rFonts w:hint="cs"/>
          <w:rtl/>
          <w:lang w:eastAsia="en-US"/>
        </w:rPr>
        <w:t>: "</w:t>
      </w:r>
      <w:r>
        <w:rPr>
          <w:rtl/>
          <w:lang w:eastAsia="en-US"/>
        </w:rPr>
        <w:t>כי קבור תקברנו ביום ההוא</w:t>
      </w:r>
      <w:r w:rsidR="00BE319E">
        <w:rPr>
          <w:rFonts w:hint="cs"/>
          <w:rtl/>
          <w:lang w:eastAsia="en-US"/>
        </w:rPr>
        <w:t>" (דברים כא כג)</w:t>
      </w:r>
      <w:r>
        <w:rPr>
          <w:rtl/>
          <w:lang w:eastAsia="en-US"/>
        </w:rPr>
        <w:t>.</w:t>
      </w:r>
      <w:r w:rsidR="00BE319E">
        <w:rPr>
          <w:rStyle w:val="a5"/>
          <w:rtl/>
          <w:lang w:eastAsia="en-US"/>
        </w:rPr>
        <w:footnoteReference w:id="7"/>
      </w:r>
      <w:r>
        <w:rPr>
          <w:rtl/>
          <w:lang w:eastAsia="en-US"/>
        </w:rPr>
        <w:t xml:space="preserve"> ולשון ספרי</w:t>
      </w:r>
      <w:r w:rsidR="00BE319E">
        <w:rPr>
          <w:rFonts w:hint="cs"/>
          <w:rtl/>
          <w:lang w:eastAsia="en-US"/>
        </w:rPr>
        <w:t>:</w:t>
      </w:r>
      <w:r>
        <w:rPr>
          <w:rtl/>
          <w:lang w:eastAsia="en-US"/>
        </w:rPr>
        <w:t xml:space="preserve"> </w:t>
      </w:r>
      <w:r w:rsidR="00BE319E">
        <w:rPr>
          <w:rFonts w:hint="cs"/>
          <w:rtl/>
          <w:lang w:eastAsia="en-US"/>
        </w:rPr>
        <w:t>"</w:t>
      </w:r>
      <w:r>
        <w:rPr>
          <w:rtl/>
          <w:lang w:eastAsia="en-US"/>
        </w:rPr>
        <w:t>כי קבור תקברנו מצות עשה</w:t>
      </w:r>
      <w:r w:rsidR="00BE319E">
        <w:rPr>
          <w:rFonts w:hint="cs"/>
          <w:rtl/>
          <w:lang w:eastAsia="en-US"/>
        </w:rPr>
        <w:t>"</w:t>
      </w:r>
      <w:r>
        <w:rPr>
          <w:rtl/>
          <w:lang w:eastAsia="en-US"/>
        </w:rPr>
        <w:t>. והוא הדין בשאר המתים</w:t>
      </w:r>
      <w:r w:rsidR="00C6287C">
        <w:rPr>
          <w:rFonts w:hint="cs"/>
          <w:rtl/>
          <w:lang w:eastAsia="en-US"/>
        </w:rPr>
        <w:t>,</w:t>
      </w:r>
      <w:r>
        <w:rPr>
          <w:rtl/>
          <w:lang w:eastAsia="en-US"/>
        </w:rPr>
        <w:t xml:space="preserve"> כלומר</w:t>
      </w:r>
      <w:r w:rsidR="00C6287C">
        <w:rPr>
          <w:rFonts w:hint="cs"/>
          <w:rtl/>
          <w:lang w:eastAsia="en-US"/>
        </w:rPr>
        <w:t>:</w:t>
      </w:r>
      <w:r>
        <w:rPr>
          <w:rtl/>
          <w:lang w:eastAsia="en-US"/>
        </w:rPr>
        <w:t xml:space="preserve"> שייקבר כל מת מישראל ביום מותו. ולכן ייקרא המת שאין מי שיתעסק בקבורתו מת מצוה</w:t>
      </w:r>
      <w:r w:rsidR="00C6287C">
        <w:rPr>
          <w:rFonts w:hint="cs"/>
          <w:rtl/>
          <w:lang w:eastAsia="en-US"/>
        </w:rPr>
        <w:t>,</w:t>
      </w:r>
      <w:r>
        <w:rPr>
          <w:rtl/>
          <w:lang w:eastAsia="en-US"/>
        </w:rPr>
        <w:t xml:space="preserve"> כלומר</w:t>
      </w:r>
      <w:r w:rsidR="000B1BCB">
        <w:rPr>
          <w:rFonts w:hint="cs"/>
          <w:rtl/>
          <w:lang w:eastAsia="en-US"/>
        </w:rPr>
        <w:t>:</w:t>
      </w:r>
      <w:r>
        <w:rPr>
          <w:rtl/>
          <w:lang w:eastAsia="en-US"/>
        </w:rPr>
        <w:t xml:space="preserve"> המת שמצוה על כל אדם לקברו לאמרו יתעלה</w:t>
      </w:r>
      <w:r w:rsidR="00C6287C">
        <w:rPr>
          <w:rFonts w:hint="cs"/>
          <w:rtl/>
          <w:lang w:eastAsia="en-US"/>
        </w:rPr>
        <w:t>:</w:t>
      </w:r>
      <w:r>
        <w:rPr>
          <w:rtl/>
          <w:lang w:eastAsia="en-US"/>
        </w:rPr>
        <w:t xml:space="preserve"> </w:t>
      </w:r>
      <w:r w:rsidR="00C6287C">
        <w:rPr>
          <w:rFonts w:hint="cs"/>
          <w:rtl/>
          <w:lang w:eastAsia="en-US"/>
        </w:rPr>
        <w:t>"</w:t>
      </w:r>
      <w:r>
        <w:rPr>
          <w:rtl/>
          <w:lang w:eastAsia="en-US"/>
        </w:rPr>
        <w:t>קבור תקברנו</w:t>
      </w:r>
      <w:r w:rsidR="00C6287C">
        <w:rPr>
          <w:rFonts w:hint="cs"/>
          <w:rtl/>
          <w:lang w:eastAsia="en-US"/>
        </w:rPr>
        <w:t>"</w:t>
      </w:r>
      <w:r w:rsidR="0089219F">
        <w:rPr>
          <w:rtl/>
          <w:lang w:eastAsia="en-US"/>
        </w:rPr>
        <w:t>.</w:t>
      </w:r>
      <w:r w:rsidR="0089219F">
        <w:rPr>
          <w:rStyle w:val="a5"/>
          <w:rtl/>
          <w:lang w:eastAsia="en-US"/>
        </w:rPr>
        <w:footnoteReference w:id="8"/>
      </w:r>
    </w:p>
    <w:p w14:paraId="7AE09917" w14:textId="77777777" w:rsidR="00056223" w:rsidRDefault="00056223" w:rsidP="006E6D4F">
      <w:pPr>
        <w:pStyle w:val="ab"/>
        <w:rPr>
          <w:rFonts w:hint="cs"/>
          <w:rtl/>
        </w:rPr>
      </w:pPr>
      <w:r>
        <w:rPr>
          <w:rtl/>
        </w:rPr>
        <w:t>מסכת שמחות פרק ד</w:t>
      </w:r>
      <w:r>
        <w:rPr>
          <w:rFonts w:hint="cs"/>
          <w:rtl/>
        </w:rPr>
        <w:t xml:space="preserve"> הלכה טז</w:t>
      </w:r>
      <w:r>
        <w:rPr>
          <w:rStyle w:val="a5"/>
          <w:rtl/>
        </w:rPr>
        <w:footnoteReference w:id="9"/>
      </w:r>
      <w:r w:rsidR="006E6D4F">
        <w:rPr>
          <w:rFonts w:hint="cs"/>
          <w:rtl/>
        </w:rPr>
        <w:t xml:space="preserve"> </w:t>
      </w:r>
      <w:r w:rsidR="006E6D4F">
        <w:rPr>
          <w:rtl/>
        </w:rPr>
        <w:t>–</w:t>
      </w:r>
      <w:r w:rsidR="006E6D4F">
        <w:rPr>
          <w:rFonts w:hint="cs"/>
          <w:rtl/>
        </w:rPr>
        <w:t xml:space="preserve"> צעק ולא נענה</w:t>
      </w:r>
    </w:p>
    <w:p w14:paraId="155DF521" w14:textId="77777777" w:rsidR="00056223" w:rsidRDefault="00056223" w:rsidP="003E5862">
      <w:pPr>
        <w:pStyle w:val="ac"/>
        <w:rPr>
          <w:rFonts w:hint="cs"/>
          <w:rtl/>
        </w:rPr>
      </w:pPr>
      <w:r>
        <w:rPr>
          <w:rtl/>
        </w:rPr>
        <w:t>מצא מת מצוה הרי זה מטפל בו וקוברו. איזהו מת מצוה</w:t>
      </w:r>
      <w:r>
        <w:rPr>
          <w:rFonts w:hint="cs"/>
          <w:rtl/>
        </w:rPr>
        <w:t>?</w:t>
      </w:r>
      <w:r>
        <w:rPr>
          <w:rtl/>
        </w:rPr>
        <w:t xml:space="preserve"> כל שהוא צווח ואין בני העיר שומעין קולו</w:t>
      </w:r>
      <w:r>
        <w:rPr>
          <w:rFonts w:hint="cs"/>
          <w:rtl/>
        </w:rPr>
        <w:t>.</w:t>
      </w:r>
      <w:r>
        <w:rPr>
          <w:rtl/>
        </w:rPr>
        <w:t xml:space="preserve"> אבל היה צווח ובני העיר שומעין קולו</w:t>
      </w:r>
      <w:r>
        <w:rPr>
          <w:rFonts w:hint="cs"/>
          <w:rtl/>
        </w:rPr>
        <w:t>,</w:t>
      </w:r>
      <w:r>
        <w:rPr>
          <w:rtl/>
        </w:rPr>
        <w:t xml:space="preserve"> אין זה מת מצוה</w:t>
      </w:r>
      <w:r>
        <w:rPr>
          <w:rFonts w:hint="cs"/>
          <w:rtl/>
        </w:rPr>
        <w:t>.</w:t>
      </w:r>
      <w:r>
        <w:rPr>
          <w:rStyle w:val="a5"/>
          <w:rtl/>
        </w:rPr>
        <w:footnoteReference w:id="10"/>
      </w:r>
      <w:r>
        <w:rPr>
          <w:rtl/>
        </w:rPr>
        <w:t xml:space="preserve"> רבי אומר</w:t>
      </w:r>
      <w:r w:rsidR="00271139">
        <w:rPr>
          <w:rFonts w:hint="cs"/>
          <w:rtl/>
        </w:rPr>
        <w:t>:</w:t>
      </w:r>
      <w:r>
        <w:rPr>
          <w:rtl/>
        </w:rPr>
        <w:t xml:space="preserve"> לעולם הוא מת מצוה עד שיהא שם כדי נושאי המטה וקובריה</w:t>
      </w:r>
      <w:r w:rsidR="00675CE3">
        <w:rPr>
          <w:rFonts w:hint="cs"/>
          <w:rtl/>
        </w:rPr>
        <w:t>.</w:t>
      </w:r>
      <w:r>
        <w:rPr>
          <w:rtl/>
        </w:rPr>
        <w:t xml:space="preserve"> אבל אם יש שם כדי נושאי המטה וקובריה</w:t>
      </w:r>
      <w:r w:rsidR="00675CE3">
        <w:rPr>
          <w:rFonts w:hint="cs"/>
          <w:rtl/>
        </w:rPr>
        <w:t>,</w:t>
      </w:r>
      <w:r>
        <w:rPr>
          <w:rtl/>
        </w:rPr>
        <w:t xml:space="preserve"> אין זה מת מצוה.</w:t>
      </w:r>
      <w:r w:rsidR="00271139">
        <w:rPr>
          <w:rStyle w:val="a5"/>
          <w:rtl/>
        </w:rPr>
        <w:footnoteReference w:id="11"/>
      </w:r>
    </w:p>
    <w:p w14:paraId="5091AA82" w14:textId="77777777" w:rsidR="00BE319E" w:rsidRDefault="00BE319E" w:rsidP="00BE319E">
      <w:pPr>
        <w:pStyle w:val="ab"/>
        <w:rPr>
          <w:rFonts w:hint="cs"/>
          <w:rtl/>
        </w:rPr>
      </w:pPr>
      <w:r>
        <w:rPr>
          <w:rtl/>
        </w:rPr>
        <w:lastRenderedPageBreak/>
        <w:t xml:space="preserve">מסכת נזיר פרק ז </w:t>
      </w:r>
      <w:r>
        <w:rPr>
          <w:rFonts w:hint="cs"/>
          <w:rtl/>
        </w:rPr>
        <w:t>משנה א</w:t>
      </w:r>
      <w:r w:rsidR="00A273E9">
        <w:rPr>
          <w:rFonts w:hint="cs"/>
          <w:rtl/>
        </w:rPr>
        <w:t xml:space="preserve"> </w:t>
      </w:r>
      <w:r w:rsidR="00A273E9">
        <w:rPr>
          <w:rtl/>
        </w:rPr>
        <w:t>–</w:t>
      </w:r>
      <w:r w:rsidR="00A273E9">
        <w:rPr>
          <w:rFonts w:hint="cs"/>
          <w:rtl/>
        </w:rPr>
        <w:t xml:space="preserve"> כהן גדול מול נזיר במת מצווה</w:t>
      </w:r>
    </w:p>
    <w:p w14:paraId="7F472DEA" w14:textId="77777777" w:rsidR="00BE319E" w:rsidRDefault="00BE319E" w:rsidP="00BE319E">
      <w:pPr>
        <w:pStyle w:val="ac"/>
        <w:rPr>
          <w:rFonts w:hint="cs"/>
          <w:rtl/>
        </w:rPr>
      </w:pPr>
      <w:r>
        <w:rPr>
          <w:rtl/>
        </w:rPr>
        <w:t>כהן גדול ונזיר אינן מיטמאין בקרוביהן אבל מיטמאין למת מצוה</w:t>
      </w:r>
      <w:r w:rsidR="0089219F">
        <w:rPr>
          <w:rFonts w:hint="cs"/>
          <w:rtl/>
        </w:rPr>
        <w:t>.</w:t>
      </w:r>
      <w:r>
        <w:rPr>
          <w:rtl/>
        </w:rPr>
        <w:t xml:space="preserve"> היו מהלכין בדרך ומצאו מת מצוה</w:t>
      </w:r>
      <w:r w:rsidR="0089219F">
        <w:rPr>
          <w:rFonts w:hint="cs"/>
          <w:rtl/>
        </w:rPr>
        <w:t>,</w:t>
      </w:r>
      <w:r>
        <w:rPr>
          <w:rtl/>
        </w:rPr>
        <w:t xml:space="preserve"> רבי אליעזר אומר</w:t>
      </w:r>
      <w:r w:rsidR="0089219F">
        <w:rPr>
          <w:rFonts w:hint="cs"/>
          <w:rtl/>
        </w:rPr>
        <w:t>:</w:t>
      </w:r>
      <w:r>
        <w:rPr>
          <w:rtl/>
        </w:rPr>
        <w:t xml:space="preserve"> י</w:t>
      </w:r>
      <w:r w:rsidR="0089219F">
        <w:rPr>
          <w:rtl/>
        </w:rPr>
        <w:t>ִ</w:t>
      </w:r>
      <w:r>
        <w:rPr>
          <w:rtl/>
        </w:rPr>
        <w:t>ט</w:t>
      </w:r>
      <w:r w:rsidR="0089219F">
        <w:rPr>
          <w:rtl/>
        </w:rPr>
        <w:t>ָ</w:t>
      </w:r>
      <w:r>
        <w:rPr>
          <w:rtl/>
        </w:rPr>
        <w:t>מ</w:t>
      </w:r>
      <w:r w:rsidR="0089219F">
        <w:rPr>
          <w:rtl/>
        </w:rPr>
        <w:t>ָ</w:t>
      </w:r>
      <w:r>
        <w:rPr>
          <w:rtl/>
        </w:rPr>
        <w:t>א כהן גדול ואל יטמא נזיר</w:t>
      </w:r>
      <w:r w:rsidR="0089219F">
        <w:rPr>
          <w:rFonts w:hint="cs"/>
          <w:rtl/>
        </w:rPr>
        <w:t>.</w:t>
      </w:r>
      <w:r>
        <w:rPr>
          <w:rtl/>
        </w:rPr>
        <w:t xml:space="preserve"> וחכמים אומרים</w:t>
      </w:r>
      <w:r w:rsidR="0089219F">
        <w:rPr>
          <w:rFonts w:hint="cs"/>
          <w:rtl/>
        </w:rPr>
        <w:t>:</w:t>
      </w:r>
      <w:r>
        <w:rPr>
          <w:rtl/>
        </w:rPr>
        <w:t xml:space="preserve"> י</w:t>
      </w:r>
      <w:r w:rsidR="0089219F">
        <w:rPr>
          <w:rtl/>
        </w:rPr>
        <w:t>ִ</w:t>
      </w:r>
      <w:r>
        <w:rPr>
          <w:rtl/>
        </w:rPr>
        <w:t>ט</w:t>
      </w:r>
      <w:r w:rsidR="0089219F">
        <w:rPr>
          <w:rtl/>
        </w:rPr>
        <w:t>ָ</w:t>
      </w:r>
      <w:r>
        <w:rPr>
          <w:rtl/>
        </w:rPr>
        <w:t>מ</w:t>
      </w:r>
      <w:r w:rsidR="0089219F">
        <w:rPr>
          <w:rtl/>
        </w:rPr>
        <w:t>ָ</w:t>
      </w:r>
      <w:r>
        <w:rPr>
          <w:rtl/>
        </w:rPr>
        <w:t>א נזיר ואל יטמא כהן גדול</w:t>
      </w:r>
      <w:r w:rsidR="0089219F">
        <w:rPr>
          <w:rFonts w:hint="cs"/>
          <w:rtl/>
        </w:rPr>
        <w:t>.</w:t>
      </w:r>
      <w:r>
        <w:rPr>
          <w:rtl/>
        </w:rPr>
        <w:t xml:space="preserve"> אמר להם רבי אליעזר</w:t>
      </w:r>
      <w:r w:rsidR="0089219F">
        <w:rPr>
          <w:rFonts w:hint="cs"/>
          <w:rtl/>
        </w:rPr>
        <w:t>:</w:t>
      </w:r>
      <w:r>
        <w:rPr>
          <w:rtl/>
        </w:rPr>
        <w:t xml:space="preserve"> יטמא כהן שאינו מביא קרבן על טומאתו ואל יטמא נזיר שהוא מביא קרבן על טומאתו</w:t>
      </w:r>
      <w:r w:rsidR="0089219F">
        <w:rPr>
          <w:rFonts w:hint="cs"/>
          <w:rtl/>
        </w:rPr>
        <w:t>.</w:t>
      </w:r>
      <w:r>
        <w:rPr>
          <w:rtl/>
        </w:rPr>
        <w:t xml:space="preserve"> אמרו לו</w:t>
      </w:r>
      <w:r w:rsidR="0089219F">
        <w:rPr>
          <w:rFonts w:hint="cs"/>
          <w:rtl/>
        </w:rPr>
        <w:t>:</w:t>
      </w:r>
      <w:r>
        <w:rPr>
          <w:rtl/>
        </w:rPr>
        <w:t xml:space="preserve"> יטמא נזיר שאין קדושתו קדושת עולם </w:t>
      </w:r>
      <w:r w:rsidR="0089219F">
        <w:rPr>
          <w:rtl/>
        </w:rPr>
        <w:t>ואל יטמא כהן שקדושתו קדושת עולם</w:t>
      </w:r>
      <w:r w:rsidR="0089219F">
        <w:rPr>
          <w:rFonts w:hint="cs"/>
          <w:rtl/>
        </w:rPr>
        <w:t>.</w:t>
      </w:r>
      <w:r w:rsidR="00DB040F">
        <w:rPr>
          <w:rStyle w:val="a5"/>
          <w:rtl/>
        </w:rPr>
        <w:footnoteReference w:id="12"/>
      </w:r>
    </w:p>
    <w:p w14:paraId="68B97167" w14:textId="77777777" w:rsidR="00313D8F" w:rsidRDefault="00313D8F" w:rsidP="00313D8F">
      <w:pPr>
        <w:pStyle w:val="ab"/>
        <w:rPr>
          <w:rtl/>
        </w:rPr>
      </w:pPr>
      <w:r>
        <w:rPr>
          <w:rtl/>
        </w:rPr>
        <w:t xml:space="preserve">מסכת בבא קמא דף פא עמוד א </w:t>
      </w:r>
      <w:r w:rsidR="00B108D9">
        <w:rPr>
          <w:rtl/>
        </w:rPr>
        <w:t>–</w:t>
      </w:r>
      <w:r w:rsidR="00B108D9">
        <w:rPr>
          <w:rFonts w:hint="cs"/>
          <w:rtl/>
        </w:rPr>
        <w:t xml:space="preserve"> תקנת יהושע</w:t>
      </w:r>
    </w:p>
    <w:p w14:paraId="2D405EF3" w14:textId="77777777" w:rsidR="00313D8F" w:rsidRDefault="00313D8F" w:rsidP="00313D8F">
      <w:pPr>
        <w:pStyle w:val="ac"/>
        <w:rPr>
          <w:rFonts w:hint="cs"/>
          <w:rtl/>
        </w:rPr>
      </w:pPr>
      <w:r>
        <w:rPr>
          <w:rtl/>
        </w:rPr>
        <w:t>ת</w:t>
      </w:r>
      <w:r>
        <w:rPr>
          <w:rFonts w:hint="cs"/>
          <w:rtl/>
        </w:rPr>
        <w:t>נו רבנן:</w:t>
      </w:r>
      <w:r>
        <w:rPr>
          <w:rtl/>
        </w:rPr>
        <w:t xml:space="preserve"> עשרה תנאין התנה יהושע: שיהו מרעין בחורשין, ומלקטין עצים בשדותיהם, ומלקטים עשבים בכל מקום חוץ מתלתן, וקוטמים נטיעות בכל מקום חוץ מגרופיות של זית, ומעין היוצא בתחילה בני העיר מסתפקין ממנו, ומחכין בימה של טבריא ובלבד שלא יפרוס קלע ויעמיד את הספינה, ונפנין לאחורי הגדר ואפילו בשדה מליאה כרכום, ומהלכים בשבילי הרשות עד שתרד רביעה שניה, ומסתלקין לצידי הדרכים מפני יתידות הדרכים, והתועה בין הכרמים מפסיג ועולה מפסיג ויורד, ומת מצוה קונה מקומו.</w:t>
      </w:r>
      <w:r w:rsidR="003466BC">
        <w:rPr>
          <w:rStyle w:val="a5"/>
          <w:rtl/>
        </w:rPr>
        <w:footnoteReference w:id="13"/>
      </w:r>
    </w:p>
    <w:p w14:paraId="198764A6" w14:textId="77777777" w:rsidR="000D3C98" w:rsidRDefault="000D3C98" w:rsidP="003466BC">
      <w:pPr>
        <w:pStyle w:val="ab"/>
        <w:tabs>
          <w:tab w:val="left" w:pos="6317"/>
        </w:tabs>
        <w:rPr>
          <w:rtl/>
        </w:rPr>
      </w:pPr>
      <w:r>
        <w:rPr>
          <w:rtl/>
        </w:rPr>
        <w:t xml:space="preserve">מסכת עירובין דף יז עמוד א </w:t>
      </w:r>
      <w:r w:rsidR="00B108D9">
        <w:rPr>
          <w:rtl/>
        </w:rPr>
        <w:t>–</w:t>
      </w:r>
      <w:r w:rsidR="00B108D9">
        <w:rPr>
          <w:rFonts w:hint="cs"/>
          <w:rtl/>
        </w:rPr>
        <w:t xml:space="preserve"> מת מצוה קנה מקומו, אבל מפנים לצורך</w:t>
      </w:r>
      <w:r w:rsidR="003466BC">
        <w:rPr>
          <w:rtl/>
        </w:rPr>
        <w:tab/>
      </w:r>
    </w:p>
    <w:p w14:paraId="7A2CFC02" w14:textId="77777777" w:rsidR="000D3C98" w:rsidRDefault="000D3C98" w:rsidP="00D80840">
      <w:pPr>
        <w:pStyle w:val="ac"/>
        <w:rPr>
          <w:rFonts w:hint="cs"/>
          <w:rtl/>
        </w:rPr>
      </w:pPr>
      <w:r>
        <w:rPr>
          <w:rtl/>
        </w:rPr>
        <w:t xml:space="preserve">תנו רבנן: מחנה היוצאת למלחמת הרשות - מותרין בגזל עצים יבשים. רבי יהודה בן תימא אומר: אף חונין בכל מקום, ובמקום שנהרגו שם נקברין. </w:t>
      </w:r>
      <w:r>
        <w:rPr>
          <w:rFonts w:hint="cs"/>
          <w:rtl/>
        </w:rPr>
        <w:t xml:space="preserve">... </w:t>
      </w:r>
      <w:r>
        <w:rPr>
          <w:rtl/>
        </w:rPr>
        <w:t>פשיטא, מת מצוה הוא, ומת מצוה קונה מקומו!</w:t>
      </w:r>
      <w:r w:rsidR="00313D8F">
        <w:rPr>
          <w:rStyle w:val="a5"/>
          <w:rtl/>
        </w:rPr>
        <w:footnoteReference w:id="14"/>
      </w:r>
      <w:r>
        <w:rPr>
          <w:rtl/>
        </w:rPr>
        <w:t xml:space="preserve"> - לא צריכא, אף על גב</w:t>
      </w:r>
      <w:r>
        <w:rPr>
          <w:rFonts w:hint="cs"/>
          <w:rtl/>
        </w:rPr>
        <w:t xml:space="preserve"> </w:t>
      </w:r>
      <w:r>
        <w:rPr>
          <w:rtl/>
        </w:rPr>
        <w:t>דאית ליה קוברין, דתניא: איזהו מת מצוה - כל שאין לו קוברין</w:t>
      </w:r>
      <w:r w:rsidR="00D80840">
        <w:rPr>
          <w:rFonts w:hint="cs"/>
          <w:rtl/>
        </w:rPr>
        <w:t>.</w:t>
      </w:r>
      <w:r>
        <w:rPr>
          <w:rtl/>
        </w:rPr>
        <w:t xml:space="preserve"> קורא ואחרים עונין אותו - אין זה מת מצוה.</w:t>
      </w:r>
      <w:r w:rsidR="002E56BE">
        <w:rPr>
          <w:rStyle w:val="a5"/>
          <w:rtl/>
        </w:rPr>
        <w:footnoteReference w:id="15"/>
      </w:r>
    </w:p>
    <w:p w14:paraId="2ACCD269" w14:textId="77777777" w:rsidR="000D3C98" w:rsidRDefault="000D3C98" w:rsidP="002E56BE">
      <w:pPr>
        <w:pStyle w:val="ac"/>
        <w:rPr>
          <w:rFonts w:hint="cs"/>
          <w:rtl/>
        </w:rPr>
      </w:pPr>
      <w:r>
        <w:rPr>
          <w:rtl/>
        </w:rPr>
        <w:t>ומת מצוה קנה מקומו? והתניא: המוציא מת מוטל בסרטיא - מפניהו לימין אסרטיא או לשמאל אסרטיא.</w:t>
      </w:r>
      <w:r w:rsidR="002E56BE">
        <w:rPr>
          <w:rStyle w:val="a5"/>
          <w:rtl/>
        </w:rPr>
        <w:footnoteReference w:id="16"/>
      </w:r>
      <w:r>
        <w:rPr>
          <w:rtl/>
        </w:rPr>
        <w:t xml:space="preserve"> שדה בור ושדה ניר - מפניהו לשדה בור</w:t>
      </w:r>
      <w:r w:rsidR="002E56BE">
        <w:rPr>
          <w:rFonts w:hint="cs"/>
          <w:rtl/>
        </w:rPr>
        <w:t>.</w:t>
      </w:r>
      <w:r>
        <w:rPr>
          <w:rtl/>
        </w:rPr>
        <w:t xml:space="preserve"> שדה ניר ושדה זרע - מפניהו לשדה ניר</w:t>
      </w:r>
      <w:r w:rsidR="002E56BE">
        <w:rPr>
          <w:rFonts w:hint="cs"/>
          <w:rtl/>
        </w:rPr>
        <w:t>.</w:t>
      </w:r>
      <w:r>
        <w:rPr>
          <w:rtl/>
        </w:rPr>
        <w:t xml:space="preserve"> היו שתיהן נירות, שתיהן זרועות, </w:t>
      </w:r>
      <w:r>
        <w:rPr>
          <w:rtl/>
        </w:rPr>
        <w:lastRenderedPageBreak/>
        <w:t>שתיהן בורות מפניהו לכל רוח שירצה!</w:t>
      </w:r>
      <w:r w:rsidR="00CF1A68">
        <w:rPr>
          <w:rStyle w:val="a5"/>
          <w:rtl/>
        </w:rPr>
        <w:footnoteReference w:id="17"/>
      </w:r>
      <w:r>
        <w:rPr>
          <w:rtl/>
        </w:rPr>
        <w:t xml:space="preserve"> - אמר רב ביבי: הכא במת מוטל על המיצר עסקינן, מתוך שניתנה רשות לפנותו מן המיצר - מפניהו לכל רוח שירצה.</w:t>
      </w:r>
      <w:r w:rsidR="003466BC">
        <w:rPr>
          <w:rStyle w:val="a5"/>
          <w:rtl/>
        </w:rPr>
        <w:footnoteReference w:id="18"/>
      </w:r>
      <w:r w:rsidRPr="000D3C98">
        <w:rPr>
          <w:rtl/>
        </w:rPr>
        <w:t xml:space="preserve"> </w:t>
      </w:r>
    </w:p>
    <w:p w14:paraId="0EB0DF63" w14:textId="77777777" w:rsidR="00DA6A90" w:rsidRDefault="00DA6A90" w:rsidP="00DA6A90">
      <w:pPr>
        <w:pStyle w:val="ab"/>
        <w:rPr>
          <w:rtl/>
        </w:rPr>
      </w:pPr>
      <w:r>
        <w:rPr>
          <w:rtl/>
        </w:rPr>
        <w:t xml:space="preserve">מסכת דרך ארץ פרק ז </w:t>
      </w:r>
      <w:r w:rsidR="00B108D9">
        <w:rPr>
          <w:rtl/>
        </w:rPr>
        <w:t>–</w:t>
      </w:r>
      <w:r w:rsidR="00B108D9">
        <w:rPr>
          <w:rFonts w:hint="cs"/>
          <w:rtl/>
        </w:rPr>
        <w:t xml:space="preserve"> ת</w:t>
      </w:r>
      <w:r w:rsidR="00F77AC0">
        <w:rPr>
          <w:rFonts w:hint="cs"/>
          <w:rtl/>
        </w:rPr>
        <w:t>ח</w:t>
      </w:r>
      <w:r w:rsidR="00B108D9">
        <w:rPr>
          <w:rFonts w:hint="cs"/>
          <w:rtl/>
        </w:rPr>
        <w:t>ילתו של רבי עקיבא</w:t>
      </w:r>
    </w:p>
    <w:p w14:paraId="32769941" w14:textId="77777777" w:rsidR="005A09C5" w:rsidRDefault="00DA6A90" w:rsidP="003E5862">
      <w:pPr>
        <w:pStyle w:val="ac"/>
        <w:rPr>
          <w:rFonts w:hint="cs"/>
          <w:rtl/>
        </w:rPr>
      </w:pPr>
      <w:r>
        <w:rPr>
          <w:rtl/>
        </w:rPr>
        <w:t>אמר ר' עקיבא</w:t>
      </w:r>
      <w:r w:rsidR="003466BC">
        <w:rPr>
          <w:rFonts w:hint="cs"/>
          <w:rtl/>
        </w:rPr>
        <w:t>:</w:t>
      </w:r>
      <w:r>
        <w:rPr>
          <w:rtl/>
        </w:rPr>
        <w:t xml:space="preserve"> כך היה תחילת תשמישי לפני חכמים, פעם אחת הייתי מהלך בדרך, ומצאתי מת מצוה, ונטפלתי בו כארבעת מילין, עד שהבאתיו למקום קברות, וקברתיו</w:t>
      </w:r>
      <w:r w:rsidR="003F730F">
        <w:rPr>
          <w:rFonts w:hint="cs"/>
          <w:rtl/>
        </w:rPr>
        <w:t>.</w:t>
      </w:r>
      <w:r>
        <w:rPr>
          <w:rtl/>
        </w:rPr>
        <w:t xml:space="preserve"> וכשבאתי והרציתי את הדברים לפני ר' אליעזר ור' יהושע, אמרו לי</w:t>
      </w:r>
      <w:r w:rsidR="003F730F">
        <w:rPr>
          <w:rFonts w:hint="cs"/>
          <w:rtl/>
        </w:rPr>
        <w:t>:</w:t>
      </w:r>
      <w:r>
        <w:rPr>
          <w:rtl/>
        </w:rPr>
        <w:t xml:space="preserve"> על כל פסיעה ופסיעה שפסעת, מעלה עליך כאילו שפכת דם נקי</w:t>
      </w:r>
      <w:r w:rsidR="003F730F">
        <w:rPr>
          <w:rFonts w:hint="cs"/>
          <w:rtl/>
        </w:rPr>
        <w:t>.</w:t>
      </w:r>
      <w:r>
        <w:rPr>
          <w:rtl/>
        </w:rPr>
        <w:t xml:space="preserve"> אמרתי להם</w:t>
      </w:r>
      <w:r w:rsidR="003F730F">
        <w:rPr>
          <w:rFonts w:hint="cs"/>
          <w:rtl/>
        </w:rPr>
        <w:t>:</w:t>
      </w:r>
      <w:r>
        <w:rPr>
          <w:rtl/>
        </w:rPr>
        <w:t xml:space="preserve"> רבותיי, למה</w:t>
      </w:r>
      <w:r w:rsidR="003E5862">
        <w:rPr>
          <w:rFonts w:hint="cs"/>
          <w:rtl/>
        </w:rPr>
        <w:t>?</w:t>
      </w:r>
      <w:r>
        <w:rPr>
          <w:rtl/>
        </w:rPr>
        <w:t xml:space="preserve"> אם בשעה שנתכוונתי לזכות, נתחייבתי, בשעה שלא נתכוונתי לזכות, על אחת כמה וכמה</w:t>
      </w:r>
      <w:r w:rsidR="003F730F">
        <w:rPr>
          <w:rFonts w:hint="cs"/>
          <w:rtl/>
        </w:rPr>
        <w:t>.</w:t>
      </w:r>
      <w:r>
        <w:rPr>
          <w:rtl/>
        </w:rPr>
        <w:t xml:space="preserve"> מאותה שעה לא זזתי מלשמש תלמידי חכמים. הוא היה אומר</w:t>
      </w:r>
      <w:r w:rsidR="003E5862">
        <w:rPr>
          <w:rFonts w:hint="cs"/>
          <w:rtl/>
        </w:rPr>
        <w:t>:</w:t>
      </w:r>
      <w:r>
        <w:rPr>
          <w:rtl/>
        </w:rPr>
        <w:t xml:space="preserve"> די לא שימש תלמידי חכמים קטלא חייב.</w:t>
      </w:r>
      <w:r w:rsidR="00E711B1">
        <w:rPr>
          <w:rStyle w:val="a5"/>
          <w:rtl/>
        </w:rPr>
        <w:footnoteReference w:id="19"/>
      </w:r>
    </w:p>
    <w:p w14:paraId="0AE2269D" w14:textId="77777777" w:rsidR="00ED0211" w:rsidRDefault="00ED0211" w:rsidP="00ED0211">
      <w:pPr>
        <w:pStyle w:val="ab"/>
        <w:rPr>
          <w:rtl/>
        </w:rPr>
      </w:pPr>
      <w:r>
        <w:rPr>
          <w:rtl/>
        </w:rPr>
        <w:t xml:space="preserve">מדרש אגדה (בובר) ויקרא פרק כא </w:t>
      </w:r>
      <w:r w:rsidR="00F77AC0">
        <w:rPr>
          <w:rtl/>
        </w:rPr>
        <w:t>–</w:t>
      </w:r>
      <w:r w:rsidR="00F77AC0">
        <w:rPr>
          <w:rFonts w:hint="cs"/>
          <w:rtl/>
        </w:rPr>
        <w:t xml:space="preserve"> אין טומאה לצדיקים</w:t>
      </w:r>
    </w:p>
    <w:p w14:paraId="20EFF9E7" w14:textId="77777777" w:rsidR="00ED0211" w:rsidRDefault="00ED0211" w:rsidP="00BC1A1F">
      <w:pPr>
        <w:pStyle w:val="ac"/>
        <w:rPr>
          <w:rFonts w:hint="cs"/>
          <w:rtl/>
        </w:rPr>
      </w:pPr>
      <w:r>
        <w:rPr>
          <w:rtl/>
        </w:rPr>
        <w:t>אמור אל הכהנים. ומפני מה שני אמירות נאמרו אל הכהנים</w:t>
      </w:r>
      <w:r>
        <w:rPr>
          <w:rFonts w:hint="cs"/>
          <w:rtl/>
        </w:rPr>
        <w:t>?</w:t>
      </w:r>
      <w:r>
        <w:rPr>
          <w:rtl/>
        </w:rPr>
        <w:t xml:space="preserve"> אלא אמירה ראשונה שלא יטמא למת, </w:t>
      </w:r>
      <w:r w:rsidR="00E711B1">
        <w:rPr>
          <w:rFonts w:hint="cs"/>
          <w:rtl/>
        </w:rPr>
        <w:t>"</w:t>
      </w:r>
      <w:r>
        <w:rPr>
          <w:rtl/>
        </w:rPr>
        <w:t>ואמרת</w:t>
      </w:r>
      <w:r w:rsidR="00E711B1">
        <w:rPr>
          <w:rFonts w:hint="cs"/>
          <w:rtl/>
        </w:rPr>
        <w:t>" -</w:t>
      </w:r>
      <w:r>
        <w:rPr>
          <w:rtl/>
        </w:rPr>
        <w:t xml:space="preserve"> אעפ"י שאמרתי להם לא יטמאו, למת מצוה יטמאו</w:t>
      </w:r>
      <w:r w:rsidR="00E711B1">
        <w:rPr>
          <w:rFonts w:hint="cs"/>
          <w:rtl/>
        </w:rPr>
        <w:t>.</w:t>
      </w:r>
      <w:r>
        <w:rPr>
          <w:rtl/>
        </w:rPr>
        <w:t xml:space="preserve"> ולצדיקים גם כן, לפי שהצדיקים במיתתם הם חיים: ומעשה היה ברבי עקיבא שתפסוהו וחבשוהו בבית האסורים, והיה ר' יהושע הגרסי משמשו</w:t>
      </w:r>
      <w:r w:rsidR="004B749E">
        <w:rPr>
          <w:rFonts w:hint="cs"/>
          <w:rtl/>
        </w:rPr>
        <w:t>.</w:t>
      </w:r>
      <w:r w:rsidR="004B749E">
        <w:rPr>
          <w:rStyle w:val="a5"/>
          <w:rtl/>
        </w:rPr>
        <w:footnoteReference w:id="20"/>
      </w:r>
      <w:r>
        <w:rPr>
          <w:rtl/>
        </w:rPr>
        <w:t xml:space="preserve"> פעם אחת יום </w:t>
      </w:r>
      <w:r>
        <w:rPr>
          <w:rtl/>
        </w:rPr>
        <w:lastRenderedPageBreak/>
        <w:t>הכיפורים היה ולקח רשות מר' עקיבא והלך לו לביתו</w:t>
      </w:r>
      <w:r w:rsidR="00E711B1">
        <w:rPr>
          <w:rFonts w:hint="cs"/>
          <w:rtl/>
        </w:rPr>
        <w:t>.</w:t>
      </w:r>
      <w:r>
        <w:rPr>
          <w:rtl/>
        </w:rPr>
        <w:t xml:space="preserve"> בא אליהו ז"ל ודפק על פתח הדלת, אמר לו</w:t>
      </w:r>
      <w:r w:rsidR="00EF24D5">
        <w:rPr>
          <w:rFonts w:hint="cs"/>
          <w:rtl/>
        </w:rPr>
        <w:t>:</w:t>
      </w:r>
      <w:r>
        <w:rPr>
          <w:rtl/>
        </w:rPr>
        <w:t xml:space="preserve"> מי אתה</w:t>
      </w:r>
      <w:r w:rsidR="00EF24D5">
        <w:rPr>
          <w:rFonts w:hint="cs"/>
          <w:rtl/>
        </w:rPr>
        <w:t>?</w:t>
      </w:r>
      <w:r>
        <w:rPr>
          <w:rtl/>
        </w:rPr>
        <w:t xml:space="preserve"> אמר לו</w:t>
      </w:r>
      <w:r w:rsidR="00EF24D5">
        <w:rPr>
          <w:rFonts w:hint="cs"/>
          <w:rtl/>
        </w:rPr>
        <w:t>:</w:t>
      </w:r>
      <w:r>
        <w:rPr>
          <w:rtl/>
        </w:rPr>
        <w:t xml:space="preserve"> אליהו אני</w:t>
      </w:r>
      <w:r w:rsidR="00EF24D5">
        <w:rPr>
          <w:rFonts w:hint="cs"/>
          <w:rtl/>
        </w:rPr>
        <w:t>.</w:t>
      </w:r>
      <w:r>
        <w:rPr>
          <w:rtl/>
        </w:rPr>
        <w:t xml:space="preserve"> אמר לו</w:t>
      </w:r>
      <w:r w:rsidR="00EF24D5">
        <w:rPr>
          <w:rFonts w:hint="cs"/>
          <w:rtl/>
        </w:rPr>
        <w:t>:</w:t>
      </w:r>
      <w:r>
        <w:rPr>
          <w:rtl/>
        </w:rPr>
        <w:t xml:space="preserve"> מה תרצה</w:t>
      </w:r>
      <w:r w:rsidR="00EF24D5">
        <w:rPr>
          <w:rFonts w:hint="cs"/>
          <w:rtl/>
        </w:rPr>
        <w:t>?</w:t>
      </w:r>
      <w:r>
        <w:rPr>
          <w:rtl/>
        </w:rPr>
        <w:t xml:space="preserve"> אמר לו</w:t>
      </w:r>
      <w:r w:rsidR="00EF24D5">
        <w:rPr>
          <w:rFonts w:hint="cs"/>
          <w:rtl/>
        </w:rPr>
        <w:t>:</w:t>
      </w:r>
      <w:r>
        <w:rPr>
          <w:rtl/>
        </w:rPr>
        <w:t xml:space="preserve"> באתי להודיעך שרבי עקיבא רבך מת</w:t>
      </w:r>
      <w:r w:rsidR="00EF24D5">
        <w:rPr>
          <w:rFonts w:hint="cs"/>
          <w:rtl/>
        </w:rPr>
        <w:t>.</w:t>
      </w:r>
      <w:r>
        <w:rPr>
          <w:rtl/>
        </w:rPr>
        <w:t xml:space="preserve"> מיד הלכו שניהם כל הלילה עד שהגיעו לבית האסורים, ומצאו הפתח פתוח ורב האסורים ישן וכל העם ישנים</w:t>
      </w:r>
      <w:r w:rsidR="00BC1A1F">
        <w:rPr>
          <w:rFonts w:hint="cs"/>
          <w:rtl/>
        </w:rPr>
        <w:t>.</w:t>
      </w:r>
      <w:r>
        <w:rPr>
          <w:rtl/>
        </w:rPr>
        <w:t xml:space="preserve"> באותה שעה הגיע אליהו אצל הפתח ונפתח הפתח, נתחזק אליהו ונטפל בו, אמר לו ר' יהושע</w:t>
      </w:r>
      <w:r w:rsidR="00EF24D5">
        <w:rPr>
          <w:rFonts w:hint="cs"/>
          <w:rtl/>
        </w:rPr>
        <w:t>:</w:t>
      </w:r>
      <w:r>
        <w:rPr>
          <w:rtl/>
        </w:rPr>
        <w:t xml:space="preserve"> ולאו כהן אתה</w:t>
      </w:r>
      <w:r w:rsidR="00EF24D5">
        <w:rPr>
          <w:rFonts w:hint="cs"/>
          <w:rtl/>
        </w:rPr>
        <w:t>?</w:t>
      </w:r>
      <w:r>
        <w:rPr>
          <w:rtl/>
        </w:rPr>
        <w:t xml:space="preserve"> אמר לו בני אין טומאה לצדיקים ולא לחכמים, </w:t>
      </w:r>
      <w:r>
        <w:rPr>
          <w:rFonts w:hint="cs"/>
          <w:rtl/>
        </w:rPr>
        <w:t>...</w:t>
      </w:r>
      <w:r>
        <w:rPr>
          <w:rStyle w:val="a5"/>
          <w:rtl/>
        </w:rPr>
        <w:footnoteReference w:id="21"/>
      </w:r>
      <w:r>
        <w:rPr>
          <w:rtl/>
        </w:rPr>
        <w:t xml:space="preserve"> וכשבאו</w:t>
      </w:r>
      <w:r w:rsidR="0061358C">
        <w:rPr>
          <w:rFonts w:hint="cs"/>
          <w:rtl/>
        </w:rPr>
        <w:t>,</w:t>
      </w:r>
      <w:r>
        <w:rPr>
          <w:rtl/>
        </w:rPr>
        <w:t xml:space="preserve"> אמר אליהו לר' יהושע הגרסי</w:t>
      </w:r>
      <w:r w:rsidR="0061358C">
        <w:rPr>
          <w:rFonts w:hint="cs"/>
          <w:rtl/>
        </w:rPr>
        <w:t>:</w:t>
      </w:r>
      <w:r>
        <w:rPr>
          <w:rtl/>
        </w:rPr>
        <w:t xml:space="preserve"> לך אמור לחכמים שילמדו לתלמיד</w:t>
      </w:r>
      <w:r w:rsidR="0061358C">
        <w:rPr>
          <w:rFonts w:hint="cs"/>
          <w:rtl/>
        </w:rPr>
        <w:t>י</w:t>
      </w:r>
      <w:r>
        <w:rPr>
          <w:rtl/>
        </w:rPr>
        <w:t>הם כי אין טומאה לצדיקים</w:t>
      </w:r>
      <w:r w:rsidR="0061358C">
        <w:rPr>
          <w:rFonts w:hint="cs"/>
          <w:rtl/>
        </w:rPr>
        <w:t>.</w:t>
      </w:r>
      <w:r>
        <w:rPr>
          <w:rtl/>
        </w:rPr>
        <w:t xml:space="preserve"> ועל זה משה רבינו הזהיר לכהנים לנפש לא יטמא בעמיו, אבל למת מצוה ולצדיקים ולחכמים אין להם טומאה</w:t>
      </w:r>
      <w:r>
        <w:rPr>
          <w:rFonts w:hint="cs"/>
          <w:rtl/>
        </w:rPr>
        <w:t>.</w:t>
      </w:r>
      <w:r w:rsidR="00CC2888">
        <w:rPr>
          <w:rStyle w:val="a5"/>
          <w:rtl/>
        </w:rPr>
        <w:footnoteReference w:id="22"/>
      </w:r>
    </w:p>
    <w:p w14:paraId="3152D47B" w14:textId="77777777" w:rsidR="00BC6B17" w:rsidRDefault="00BC6B17" w:rsidP="00BC6B17">
      <w:pPr>
        <w:pStyle w:val="ab"/>
        <w:rPr>
          <w:rtl/>
        </w:rPr>
      </w:pPr>
      <w:r>
        <w:rPr>
          <w:rtl/>
        </w:rPr>
        <w:t>שו"ת מנחת יצחק חלק ו סימן קלז</w:t>
      </w:r>
      <w:r>
        <w:rPr>
          <w:rStyle w:val="a5"/>
          <w:rtl/>
        </w:rPr>
        <w:footnoteReference w:id="23"/>
      </w:r>
      <w:r>
        <w:rPr>
          <w:rtl/>
        </w:rPr>
        <w:t xml:space="preserve"> </w:t>
      </w:r>
      <w:r w:rsidR="00F77AC0">
        <w:rPr>
          <w:rFonts w:hint="cs"/>
          <w:rtl/>
        </w:rPr>
        <w:t>- מפנים מת מצווה לקבר ישראל</w:t>
      </w:r>
    </w:p>
    <w:p w14:paraId="51AE4A0D" w14:textId="77777777" w:rsidR="00BA7203" w:rsidRDefault="00BC6B17" w:rsidP="0002010A">
      <w:pPr>
        <w:pStyle w:val="ac"/>
        <w:rPr>
          <w:rFonts w:hint="cs"/>
          <w:rtl/>
        </w:rPr>
      </w:pPr>
      <w:r>
        <w:rPr>
          <w:rtl/>
        </w:rPr>
        <w:t>אמנם ב</w:t>
      </w:r>
      <w:r w:rsidR="00601C7C">
        <w:rPr>
          <w:rtl/>
        </w:rPr>
        <w:t>ָּ</w:t>
      </w:r>
      <w:r>
        <w:rPr>
          <w:rtl/>
        </w:rPr>
        <w:t>נו</w:t>
      </w:r>
      <w:r w:rsidR="00601C7C">
        <w:rPr>
          <w:rtl/>
        </w:rPr>
        <w:t>ֹ</w:t>
      </w:r>
      <w:r>
        <w:rPr>
          <w:rtl/>
        </w:rPr>
        <w:t>תי בדעתי בדין מת מצוה דקנה מקומו אם הפירוש דאין לפנותו אף לקבר אבותיו וכדומה, ומצאתי לגדול א</w:t>
      </w:r>
      <w:r w:rsidR="00601C7C">
        <w:rPr>
          <w:rFonts w:hint="cs"/>
          <w:rtl/>
        </w:rPr>
        <w:t>חד</w:t>
      </w:r>
      <w:r>
        <w:rPr>
          <w:rtl/>
        </w:rPr>
        <w:t xml:space="preserve"> שעמד בזה, וכתב דפשוט הוא דמה דמת מצוה קנה מקומו הוא דהוי כקבור שם</w:t>
      </w:r>
      <w:r w:rsidR="00601C7C">
        <w:rPr>
          <w:rFonts w:hint="cs"/>
          <w:rtl/>
        </w:rPr>
        <w:t>,</w:t>
      </w:r>
      <w:r>
        <w:rPr>
          <w:rtl/>
        </w:rPr>
        <w:t xml:space="preserve"> אבל לא עדיף משאר מת הקבור דשרי לפנותו למקום אבותיו הגם דלא קברוהו על תנאי דלפנותו</w:t>
      </w:r>
      <w:r w:rsidR="00601C7C">
        <w:rPr>
          <w:rFonts w:hint="cs"/>
          <w:rtl/>
        </w:rPr>
        <w:t>.</w:t>
      </w:r>
      <w:r>
        <w:rPr>
          <w:rtl/>
        </w:rPr>
        <w:t xml:space="preserve"> והא דאמרינן בסנהדרין (מז ע"ב) דילמא מת מצוה ואסור לפנותו, זהו לפנותו שלא למקום אבותיו</w:t>
      </w:r>
      <w:r w:rsidR="00601C7C">
        <w:rPr>
          <w:rFonts w:hint="cs"/>
          <w:rtl/>
        </w:rPr>
        <w:t>.</w:t>
      </w:r>
      <w:r>
        <w:rPr>
          <w:rtl/>
        </w:rPr>
        <w:t xml:space="preserve"> אבל למקום אבותיו מותר לפנותו, וממילא ה</w:t>
      </w:r>
      <w:r w:rsidR="0002010A">
        <w:rPr>
          <w:rFonts w:hint="cs"/>
          <w:rtl/>
        </w:rPr>
        <w:t xml:space="preserve">וא הדין </w:t>
      </w:r>
      <w:r>
        <w:rPr>
          <w:rtl/>
        </w:rPr>
        <w:t>לתוך קברות ישראל דזהו מקרי לתוך שלו</w:t>
      </w:r>
      <w:r w:rsidR="0002010A">
        <w:rPr>
          <w:rFonts w:hint="cs"/>
          <w:rtl/>
        </w:rPr>
        <w:t>. כך נראה לומר</w:t>
      </w:r>
      <w:r w:rsidR="00601C7C">
        <w:rPr>
          <w:rFonts w:hint="cs"/>
          <w:rtl/>
        </w:rPr>
        <w:t>.</w:t>
      </w:r>
      <w:r w:rsidR="00601C7C">
        <w:rPr>
          <w:rStyle w:val="a5"/>
          <w:rtl/>
        </w:rPr>
        <w:footnoteReference w:id="24"/>
      </w:r>
    </w:p>
    <w:p w14:paraId="265BA69F" w14:textId="77777777" w:rsidR="00D324AD" w:rsidRDefault="00D324AD" w:rsidP="00D324AD">
      <w:pPr>
        <w:pStyle w:val="ab"/>
        <w:rPr>
          <w:rtl/>
        </w:rPr>
      </w:pPr>
      <w:r>
        <w:rPr>
          <w:rtl/>
        </w:rPr>
        <w:t xml:space="preserve">רמב"ם הלכות אבל פרק יד הלכה א </w:t>
      </w:r>
    </w:p>
    <w:p w14:paraId="2513E9B2" w14:textId="77777777" w:rsidR="00DA6A90" w:rsidRDefault="00D324AD" w:rsidP="00BA7203">
      <w:pPr>
        <w:pStyle w:val="ac"/>
        <w:rPr>
          <w:rFonts w:hint="cs"/>
          <w:rtl/>
        </w:rPr>
      </w:pPr>
      <w:r>
        <w:rPr>
          <w:rtl/>
        </w:rPr>
        <w:t>מצות עשה של דבריהם לבקר חולים, ולנחם אבלים, ולהוציא המת, ולהכניס הכלה, וללוות האורחים, ולהתעסק בכל צרכי הקבורה, לשאת על הכתף, ולילך לפניו ולספוד ולחפור ולקבור, וכן לשמח הכלה והחתן, ולסעדם בכל צרכיהם</w:t>
      </w:r>
      <w:r w:rsidR="00BA7203">
        <w:rPr>
          <w:rFonts w:hint="cs"/>
          <w:rtl/>
        </w:rPr>
        <w:t>.</w:t>
      </w:r>
      <w:r>
        <w:rPr>
          <w:rtl/>
        </w:rPr>
        <w:t xml:space="preserve"> ואלו הן גמילות חסדים שבגופו שאין להם שיעור</w:t>
      </w:r>
      <w:r w:rsidR="00BA7203">
        <w:rPr>
          <w:rFonts w:hint="cs"/>
          <w:rtl/>
        </w:rPr>
        <w:t>.</w:t>
      </w:r>
      <w:r>
        <w:rPr>
          <w:rtl/>
        </w:rPr>
        <w:t xml:space="preserve"> אע"פ שכל מצות אלו מדבריהם</w:t>
      </w:r>
      <w:r w:rsidR="00BA7203">
        <w:rPr>
          <w:rFonts w:hint="cs"/>
          <w:rtl/>
        </w:rPr>
        <w:t>,</w:t>
      </w:r>
      <w:r>
        <w:rPr>
          <w:rtl/>
        </w:rPr>
        <w:t xml:space="preserve"> הרי הן בכלל ואהבת לרעך כמוך, כל הדברים שאתה רוצה שיעשו אותם לך אחרים, עשה אתה אותן לאחיך בתורה ובמצות.</w:t>
      </w:r>
      <w:r w:rsidR="00BC1A1F">
        <w:rPr>
          <w:rStyle w:val="a5"/>
          <w:rtl/>
        </w:rPr>
        <w:footnoteReference w:id="25"/>
      </w:r>
    </w:p>
    <w:p w14:paraId="07F91388" w14:textId="77777777" w:rsidR="00DA6A90" w:rsidRDefault="00DA6A90" w:rsidP="00BC1A1F">
      <w:pPr>
        <w:pStyle w:val="a3"/>
        <w:rPr>
          <w:rFonts w:hint="cs"/>
          <w:rtl/>
        </w:rPr>
      </w:pPr>
    </w:p>
    <w:p w14:paraId="796EEEEB" w14:textId="77777777" w:rsidR="005A09C5" w:rsidRDefault="005A09C5">
      <w:pPr>
        <w:pStyle w:val="ad"/>
        <w:rPr>
          <w:rtl/>
        </w:rPr>
      </w:pPr>
      <w:r>
        <w:rPr>
          <w:rtl/>
        </w:rPr>
        <w:t xml:space="preserve">שבת שלום </w:t>
      </w:r>
    </w:p>
    <w:p w14:paraId="2FD09526" w14:textId="77777777" w:rsidR="005A09C5" w:rsidRDefault="005A09C5">
      <w:pPr>
        <w:pStyle w:val="ad"/>
        <w:rPr>
          <w:rFonts w:hint="cs"/>
          <w:rtl/>
        </w:rPr>
      </w:pPr>
      <w:r>
        <w:rPr>
          <w:rtl/>
        </w:rPr>
        <w:t>מחלקי המים</w:t>
      </w:r>
    </w:p>
    <w:p w14:paraId="6FF69C4F" w14:textId="77777777" w:rsidR="002C61DA" w:rsidRPr="002C61DA" w:rsidRDefault="002C61DA" w:rsidP="004C7B3F">
      <w:pPr>
        <w:pStyle w:val="ad"/>
        <w:spacing w:before="120"/>
        <w:rPr>
          <w:rFonts w:hint="cs"/>
          <w:b w:val="0"/>
          <w:bCs w:val="0"/>
          <w:szCs w:val="22"/>
          <w:rtl/>
        </w:rPr>
      </w:pPr>
      <w:r w:rsidRPr="002C61DA">
        <w:rPr>
          <w:rFonts w:hint="cs"/>
          <w:b w:val="0"/>
          <w:bCs w:val="0"/>
          <w:szCs w:val="22"/>
          <w:rtl/>
        </w:rPr>
        <w:t>מים אחרונים</w:t>
      </w:r>
      <w:r>
        <w:rPr>
          <w:rFonts w:hint="cs"/>
          <w:b w:val="0"/>
          <w:bCs w:val="0"/>
          <w:szCs w:val="22"/>
          <w:rtl/>
        </w:rPr>
        <w:t xml:space="preserve">: </w:t>
      </w:r>
      <w:r w:rsidR="00BC6B17">
        <w:rPr>
          <w:rFonts w:hint="cs"/>
          <w:b w:val="0"/>
          <w:bCs w:val="0"/>
          <w:szCs w:val="22"/>
          <w:rtl/>
        </w:rPr>
        <w:t>נושא מעניין</w:t>
      </w:r>
      <w:r w:rsidR="001F15F9">
        <w:rPr>
          <w:rFonts w:hint="cs"/>
          <w:b w:val="0"/>
          <w:bCs w:val="0"/>
          <w:szCs w:val="22"/>
          <w:rtl/>
        </w:rPr>
        <w:t>, שלא מצאנו מי שדן ב</w:t>
      </w:r>
      <w:r w:rsidR="002E498D">
        <w:rPr>
          <w:rFonts w:hint="cs"/>
          <w:b w:val="0"/>
          <w:bCs w:val="0"/>
          <w:szCs w:val="22"/>
          <w:rtl/>
        </w:rPr>
        <w:t>ו</w:t>
      </w:r>
      <w:r w:rsidR="001F15F9">
        <w:rPr>
          <w:rFonts w:hint="cs"/>
          <w:b w:val="0"/>
          <w:bCs w:val="0"/>
          <w:szCs w:val="22"/>
          <w:rtl/>
        </w:rPr>
        <w:t>, ה</w:t>
      </w:r>
      <w:r w:rsidR="00BC6B17">
        <w:rPr>
          <w:rFonts w:hint="cs"/>
          <w:b w:val="0"/>
          <w:bCs w:val="0"/>
          <w:szCs w:val="22"/>
          <w:rtl/>
        </w:rPr>
        <w:t xml:space="preserve">וא </w:t>
      </w:r>
      <w:r w:rsidR="001F15F9">
        <w:rPr>
          <w:rFonts w:hint="cs"/>
          <w:b w:val="0"/>
          <w:bCs w:val="0"/>
          <w:szCs w:val="22"/>
          <w:rtl/>
        </w:rPr>
        <w:t xml:space="preserve">ההשוואה </w:t>
      </w:r>
      <w:r w:rsidR="007811FC">
        <w:rPr>
          <w:rFonts w:hint="cs"/>
          <w:b w:val="0"/>
          <w:bCs w:val="0"/>
          <w:szCs w:val="22"/>
          <w:rtl/>
        </w:rPr>
        <w:t>של דין מת מצ</w:t>
      </w:r>
      <w:r w:rsidR="00407DB8">
        <w:rPr>
          <w:rFonts w:hint="cs"/>
          <w:b w:val="0"/>
          <w:bCs w:val="0"/>
          <w:szCs w:val="22"/>
          <w:rtl/>
        </w:rPr>
        <w:t>ו</w:t>
      </w:r>
      <w:r w:rsidR="007811FC">
        <w:rPr>
          <w:rFonts w:hint="cs"/>
          <w:b w:val="0"/>
          <w:bCs w:val="0"/>
          <w:szCs w:val="22"/>
          <w:rtl/>
        </w:rPr>
        <w:t xml:space="preserve">וה </w:t>
      </w:r>
      <w:r w:rsidR="001F15F9">
        <w:rPr>
          <w:rFonts w:hint="cs"/>
          <w:b w:val="0"/>
          <w:bCs w:val="0"/>
          <w:szCs w:val="22"/>
          <w:rtl/>
        </w:rPr>
        <w:t xml:space="preserve">עם דין עגלה ערופה, היינו מציאת אדם הרוג בשדה שלא נודע </w:t>
      </w:r>
      <w:r w:rsidR="004C593C">
        <w:rPr>
          <w:rFonts w:hint="cs"/>
          <w:b w:val="0"/>
          <w:bCs w:val="0"/>
          <w:szCs w:val="22"/>
          <w:rtl/>
        </w:rPr>
        <w:t>איך מת ו</w:t>
      </w:r>
      <w:r w:rsidR="001F15F9">
        <w:rPr>
          <w:rFonts w:hint="cs"/>
          <w:b w:val="0"/>
          <w:bCs w:val="0"/>
          <w:szCs w:val="22"/>
          <w:rtl/>
        </w:rPr>
        <w:t xml:space="preserve">מי הכהו (ראה דברינו בנושא </w:t>
      </w:r>
      <w:hyperlink r:id="rId9" w:history="1">
        <w:r w:rsidR="001F15F9" w:rsidRPr="007811FC">
          <w:rPr>
            <w:rStyle w:val="Hyperlink"/>
            <w:rFonts w:hint="cs"/>
            <w:b w:val="0"/>
            <w:bCs w:val="0"/>
            <w:szCs w:val="22"/>
            <w:rtl/>
          </w:rPr>
          <w:t>דין עגלה ערופה</w:t>
        </w:r>
      </w:hyperlink>
      <w:r w:rsidR="001F15F9">
        <w:rPr>
          <w:rFonts w:hint="cs"/>
          <w:b w:val="0"/>
          <w:bCs w:val="0"/>
          <w:szCs w:val="22"/>
          <w:rtl/>
        </w:rPr>
        <w:t xml:space="preserve"> בפרשת שפטים). איך מבדילים בין שני מקרים אלה? בודקים תחילה אם יש חשש לרצח ואז הולכים על דין עגלה ערופה (וקוברים את ההרוג, כדין מת מצווה?) ואם אין חשש לרצח, אז זה דין מת מצווה. מי מחליט? האדם שמוצא </w:t>
      </w:r>
      <w:r w:rsidR="004C593C">
        <w:rPr>
          <w:rFonts w:hint="cs"/>
          <w:b w:val="0"/>
          <w:bCs w:val="0"/>
          <w:szCs w:val="22"/>
          <w:rtl/>
        </w:rPr>
        <w:t>את ה</w:t>
      </w:r>
      <w:r w:rsidR="001F15F9">
        <w:rPr>
          <w:rFonts w:hint="cs"/>
          <w:b w:val="0"/>
          <w:bCs w:val="0"/>
          <w:szCs w:val="22"/>
          <w:rtl/>
        </w:rPr>
        <w:t xml:space="preserve">גופה בשדה? </w:t>
      </w:r>
      <w:r w:rsidR="004C7B3F">
        <w:rPr>
          <w:rFonts w:hint="cs"/>
          <w:b w:val="0"/>
          <w:bCs w:val="0"/>
          <w:szCs w:val="22"/>
          <w:rtl/>
        </w:rPr>
        <w:t>בית הדין שבא למקום?</w:t>
      </w:r>
      <w:r w:rsidR="004C7B3F">
        <w:rPr>
          <w:rStyle w:val="a5"/>
          <w:b w:val="0"/>
          <w:bCs w:val="0"/>
          <w:szCs w:val="22"/>
          <w:rtl/>
        </w:rPr>
        <w:footnoteReference w:id="26"/>
      </w:r>
      <w:r w:rsidR="004C7B3F">
        <w:rPr>
          <w:rFonts w:hint="cs"/>
          <w:b w:val="0"/>
          <w:bCs w:val="0"/>
          <w:szCs w:val="22"/>
          <w:rtl/>
        </w:rPr>
        <w:t xml:space="preserve"> </w:t>
      </w:r>
      <w:r w:rsidR="001F15F9">
        <w:rPr>
          <w:rFonts w:hint="cs"/>
          <w:b w:val="0"/>
          <w:bCs w:val="0"/>
          <w:szCs w:val="22"/>
          <w:rtl/>
        </w:rPr>
        <w:t xml:space="preserve">האם שני דינים אלה, עגלה ערופה ומת מצווה, הם דינים סותרים או משלימים? </w:t>
      </w:r>
      <w:r w:rsidR="004C593C">
        <w:rPr>
          <w:rFonts w:hint="cs"/>
          <w:b w:val="0"/>
          <w:bCs w:val="0"/>
          <w:szCs w:val="22"/>
          <w:rtl/>
        </w:rPr>
        <w:t xml:space="preserve">אולי </w:t>
      </w:r>
      <w:r w:rsidR="00BC6B17">
        <w:rPr>
          <w:rFonts w:hint="cs"/>
          <w:b w:val="0"/>
          <w:bCs w:val="0"/>
          <w:szCs w:val="22"/>
          <w:rtl/>
        </w:rPr>
        <w:t>המשותף לשניהם הוא שקוברים את המת במקום בו מצאו אותו, על מנת להתריע ולציין קבל עם ועדה שהיה כאן מקרה קשה של אדם אנונימי שמת בנסיבות קשות, דוגמת הציון שעושים היום לצמתים בהם נהרגו אנשים או למקומות בהם אירע פיגוע חבלני, תאונה קשה וכדומה. אח"כ, כששקט הדם, וחלף הזמן, מביאים את המת לקבורה בקבר ישראל</w:t>
      </w:r>
      <w:r w:rsidR="004C593C">
        <w:rPr>
          <w:rFonts w:hint="cs"/>
          <w:b w:val="0"/>
          <w:bCs w:val="0"/>
          <w:szCs w:val="22"/>
          <w:rtl/>
        </w:rPr>
        <w:t xml:space="preserve"> בכבוד</w:t>
      </w:r>
      <w:r w:rsidR="00BC6B17">
        <w:rPr>
          <w:rFonts w:hint="cs"/>
          <w:b w:val="0"/>
          <w:bCs w:val="0"/>
          <w:szCs w:val="22"/>
          <w:rtl/>
        </w:rPr>
        <w:t>. והמאיר עינינו בנושא זה יבורך בכל מילי דמיטב.</w:t>
      </w:r>
    </w:p>
    <w:sectPr w:rsidR="002C61DA" w:rsidRPr="002C61DA" w:rsidSect="00BA64DC">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4AE2" w14:textId="77777777" w:rsidR="00B71F25" w:rsidRDefault="00B71F25">
      <w:r>
        <w:separator/>
      </w:r>
    </w:p>
  </w:endnote>
  <w:endnote w:type="continuationSeparator" w:id="0">
    <w:p w14:paraId="45B1C999" w14:textId="77777777" w:rsidR="00B71F25" w:rsidRDefault="00B7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C135" w14:textId="77777777" w:rsidR="00EF24D5" w:rsidRPr="00F8747C" w:rsidRDefault="00EF24D5" w:rsidP="005F292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C7B3F">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C7B3F">
      <w:rPr>
        <w:rStyle w:val="af1"/>
        <w:noProof/>
        <w:rtl/>
      </w:rPr>
      <w:t>6</w:t>
    </w:r>
    <w:r w:rsidRPr="00F8747C">
      <w:rPr>
        <w:rStyle w:val="af1"/>
      </w:rPr>
      <w:fldChar w:fldCharType="end"/>
    </w:r>
  </w:p>
  <w:p w14:paraId="2450E612" w14:textId="77777777" w:rsidR="00EF24D5" w:rsidRPr="005F292C" w:rsidRDefault="00EF24D5" w:rsidP="005F29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7F08" w14:textId="77777777" w:rsidR="00B71F25" w:rsidRDefault="00B71F25">
      <w:r>
        <w:separator/>
      </w:r>
    </w:p>
  </w:footnote>
  <w:footnote w:type="continuationSeparator" w:id="0">
    <w:p w14:paraId="2EDF9B0E" w14:textId="77777777" w:rsidR="00B71F25" w:rsidRDefault="00B71F25">
      <w:r>
        <w:continuationSeparator/>
      </w:r>
    </w:p>
  </w:footnote>
  <w:footnote w:id="1">
    <w:p w14:paraId="1C3B64C1" w14:textId="77777777" w:rsidR="00EF24D5" w:rsidRDefault="00EF24D5" w:rsidP="00BA64DC">
      <w:pPr>
        <w:pStyle w:val="a3"/>
        <w:rPr>
          <w:rFonts w:hint="cs"/>
          <w:rtl/>
        </w:rPr>
      </w:pPr>
      <w:r>
        <w:rPr>
          <w:rStyle w:val="a5"/>
        </w:rPr>
        <w:footnoteRef/>
      </w:r>
      <w:r>
        <w:rPr>
          <w:rtl/>
        </w:rPr>
        <w:t xml:space="preserve"> </w:t>
      </w:r>
      <w:r w:rsidR="002E498D">
        <w:rPr>
          <w:rFonts w:hint="cs"/>
          <w:rtl/>
          <w:lang w:eastAsia="en-US"/>
        </w:rPr>
        <w:t xml:space="preserve">זו רשימת </w:t>
      </w:r>
      <w:r>
        <w:rPr>
          <w:rFonts w:hint="cs"/>
          <w:rtl/>
          <w:lang w:eastAsia="en-US"/>
        </w:rPr>
        <w:t xml:space="preserve">קרובי משפחה </w:t>
      </w:r>
      <w:r w:rsidR="002E498D">
        <w:rPr>
          <w:rFonts w:hint="cs"/>
          <w:rtl/>
          <w:lang w:eastAsia="en-US"/>
        </w:rPr>
        <w:t xml:space="preserve">מדרגה ראשונה </w:t>
      </w:r>
      <w:r>
        <w:rPr>
          <w:rFonts w:hint="cs"/>
          <w:rtl/>
          <w:lang w:eastAsia="en-US"/>
        </w:rPr>
        <w:t>להם מותר לכהן להיטמא</w:t>
      </w:r>
      <w:r w:rsidR="002E498D">
        <w:rPr>
          <w:rFonts w:hint="cs"/>
          <w:rtl/>
          <w:lang w:eastAsia="en-US"/>
        </w:rPr>
        <w:t>. מרשימה זו מדייקים חכמים את הדין של מת מצווה כפי שנראה להלן. אגב רשימה זו</w:t>
      </w:r>
      <w:r>
        <w:rPr>
          <w:rFonts w:hint="cs"/>
          <w:rtl/>
          <w:lang w:eastAsia="en-US"/>
        </w:rPr>
        <w:t>, איפה אשתו</w:t>
      </w:r>
      <w:r w:rsidR="00BA64DC">
        <w:rPr>
          <w:rFonts w:hint="cs"/>
          <w:rtl/>
          <w:lang w:eastAsia="en-US"/>
        </w:rPr>
        <w:t xml:space="preserve"> של הכהן</w:t>
      </w:r>
      <w:r>
        <w:rPr>
          <w:rFonts w:hint="cs"/>
          <w:rtl/>
          <w:lang w:eastAsia="en-US"/>
        </w:rPr>
        <w:t xml:space="preserve">? התשובה: היא "שארו הקרוב אליו", </w:t>
      </w:r>
      <w:r w:rsidR="00842C8F">
        <w:rPr>
          <w:rFonts w:hint="cs"/>
          <w:rtl/>
          <w:lang w:eastAsia="en-US"/>
        </w:rPr>
        <w:t xml:space="preserve">כפי שמביא רש"י עפ"י </w:t>
      </w:r>
      <w:r w:rsidR="00BA64DC">
        <w:rPr>
          <w:rFonts w:hint="cs"/>
          <w:rtl/>
          <w:lang w:eastAsia="en-US"/>
        </w:rPr>
        <w:t xml:space="preserve">מדרש </w:t>
      </w:r>
      <w:r w:rsidR="00842C8F">
        <w:rPr>
          <w:rFonts w:hint="cs"/>
          <w:rtl/>
          <w:lang w:eastAsia="en-US"/>
        </w:rPr>
        <w:t xml:space="preserve">ספרא. </w:t>
      </w:r>
      <w:r>
        <w:rPr>
          <w:rFonts w:hint="cs"/>
          <w:rtl/>
          <w:lang w:eastAsia="en-US"/>
        </w:rPr>
        <w:t xml:space="preserve">אבל במגבלה של אשה הראויה לכהן. ראה גמרא </w:t>
      </w:r>
      <w:r>
        <w:rPr>
          <w:rtl/>
          <w:lang w:eastAsia="en-US"/>
        </w:rPr>
        <w:t>יבמות כב ע</w:t>
      </w:r>
      <w:r>
        <w:rPr>
          <w:rFonts w:hint="cs"/>
          <w:rtl/>
          <w:lang w:eastAsia="en-US"/>
        </w:rPr>
        <w:t>"ב: "</w:t>
      </w:r>
      <w:r>
        <w:rPr>
          <w:rtl/>
          <w:lang w:eastAsia="en-US"/>
        </w:rPr>
        <w:t>יש בעל שמטמא, ויש בעל שאין מטמא, הא כיצד? מטמא הוא לאשתו כשרה ואין מטמא לאשתו פסולה</w:t>
      </w:r>
      <w:r>
        <w:rPr>
          <w:rFonts w:hint="cs"/>
          <w:rtl/>
          <w:lang w:eastAsia="en-US"/>
        </w:rPr>
        <w:t xml:space="preserve">". </w:t>
      </w:r>
      <w:r w:rsidR="00842C8F">
        <w:rPr>
          <w:rFonts w:hint="cs"/>
          <w:rtl/>
          <w:lang w:eastAsia="en-US"/>
        </w:rPr>
        <w:t xml:space="preserve">אבל פרשני </w:t>
      </w:r>
      <w:r w:rsidR="0032173C">
        <w:rPr>
          <w:rFonts w:hint="cs"/>
          <w:rtl/>
          <w:lang w:eastAsia="en-US"/>
        </w:rPr>
        <w:t>ה</w:t>
      </w:r>
      <w:r w:rsidR="00842C8F">
        <w:rPr>
          <w:rFonts w:hint="cs"/>
          <w:rtl/>
          <w:lang w:eastAsia="en-US"/>
        </w:rPr>
        <w:t xml:space="preserve">מקרא כאבן עזרא ורשב"ם סוברים שאין זה פשט המקרא, רק חכמים דרשו </w:t>
      </w:r>
      <w:r w:rsidR="002E498D">
        <w:rPr>
          <w:rFonts w:hint="cs"/>
          <w:rtl/>
          <w:lang w:eastAsia="en-US"/>
        </w:rPr>
        <w:t>וחידשו הלכה</w:t>
      </w:r>
      <w:r w:rsidR="00BA64DC">
        <w:rPr>
          <w:rFonts w:hint="cs"/>
          <w:rtl/>
          <w:lang w:eastAsia="en-US"/>
        </w:rPr>
        <w:t xml:space="preserve"> זו</w:t>
      </w:r>
      <w:r w:rsidR="00842C8F">
        <w:rPr>
          <w:rFonts w:hint="cs"/>
          <w:rtl/>
          <w:lang w:eastAsia="en-US"/>
        </w:rPr>
        <w:t>. ראה אבן עזרא על פסוק ב: "היה נראה לנו פירושו ... שלא יטמא הבעל באשתו. וכאשר ראינו שהעתיקו רבותינו כי יטמא לאשת</w:t>
      </w:r>
      <w:r w:rsidR="0032173C">
        <w:rPr>
          <w:rFonts w:hint="cs"/>
          <w:rtl/>
          <w:lang w:eastAsia="en-US"/>
        </w:rPr>
        <w:t>ו</w:t>
      </w:r>
      <w:r w:rsidR="00842C8F">
        <w:rPr>
          <w:rFonts w:hint="cs"/>
          <w:rtl/>
          <w:lang w:eastAsia="en-US"/>
        </w:rPr>
        <w:t>, ושמו לשארו כדרך אסמכתא". ו</w:t>
      </w:r>
      <w:r>
        <w:rPr>
          <w:rFonts w:hint="cs"/>
          <w:rtl/>
          <w:lang w:eastAsia="en-US"/>
        </w:rPr>
        <w:t>רשב"ם</w:t>
      </w:r>
      <w:r w:rsidR="0032173C">
        <w:rPr>
          <w:rFonts w:hint="cs"/>
          <w:rtl/>
          <w:lang w:eastAsia="en-US"/>
        </w:rPr>
        <w:t xml:space="preserve"> מפרש</w:t>
      </w:r>
      <w:r>
        <w:rPr>
          <w:rFonts w:hint="cs"/>
          <w:rtl/>
          <w:lang w:eastAsia="en-US"/>
        </w:rPr>
        <w:t>: "</w:t>
      </w:r>
      <w:r>
        <w:rPr>
          <w:rtl/>
          <w:lang w:eastAsia="en-US"/>
        </w:rPr>
        <w:t>שום בעל בעם כהנים לא יטמא לאשתו:</w:t>
      </w:r>
      <w:r>
        <w:rPr>
          <w:rFonts w:hint="cs"/>
          <w:rtl/>
          <w:lang w:eastAsia="en-US"/>
        </w:rPr>
        <w:t xml:space="preserve"> </w:t>
      </w:r>
      <w:r>
        <w:rPr>
          <w:rtl/>
          <w:lang w:eastAsia="en-US"/>
        </w:rPr>
        <w:t>להחלו - שהרי מתחלל מכהונתו. ולפי דברי חכמים לא יטמא לאשתו פסולה ומחוללת, אבל מטמא לאשתו כשירה</w:t>
      </w:r>
      <w:r>
        <w:rPr>
          <w:rFonts w:hint="cs"/>
          <w:rtl/>
          <w:lang w:eastAsia="en-US"/>
        </w:rPr>
        <w:t xml:space="preserve">". </w:t>
      </w:r>
      <w:r w:rsidR="0032173C">
        <w:rPr>
          <w:rFonts w:hint="cs"/>
          <w:rtl/>
          <w:lang w:eastAsia="en-US"/>
        </w:rPr>
        <w:t>ראה סימנים לשיטה זו גם ב</w:t>
      </w:r>
      <w:r w:rsidR="0032173C">
        <w:rPr>
          <w:rFonts w:hint="cs"/>
          <w:rtl/>
        </w:rPr>
        <w:t xml:space="preserve">גמרא </w:t>
      </w:r>
      <w:r w:rsidR="0032173C">
        <w:rPr>
          <w:rtl/>
          <w:lang w:eastAsia="en-US"/>
        </w:rPr>
        <w:t>זבחים ק ע</w:t>
      </w:r>
      <w:r w:rsidR="0032173C">
        <w:rPr>
          <w:rFonts w:hint="cs"/>
          <w:rtl/>
          <w:lang w:eastAsia="en-US"/>
        </w:rPr>
        <w:t>"א: "</w:t>
      </w:r>
      <w:r w:rsidR="0032173C">
        <w:rPr>
          <w:rtl/>
          <w:lang w:eastAsia="en-US"/>
        </w:rPr>
        <w:t>מעשה ביוסף הכהן שמתה אשתו בערב הפסח ולא רצה ליטמא, ונמנו אחיו הכהנים וטימאוהו בעל כרחו</w:t>
      </w:r>
      <w:r w:rsidR="0032173C">
        <w:rPr>
          <w:rFonts w:hint="cs"/>
          <w:rtl/>
          <w:lang w:eastAsia="en-US"/>
        </w:rPr>
        <w:t>".</w:t>
      </w:r>
      <w:r w:rsidR="00BA64DC">
        <w:rPr>
          <w:rFonts w:hint="cs"/>
          <w:rtl/>
          <w:lang w:eastAsia="en-US"/>
        </w:rPr>
        <w:t xml:space="preserve"> אך כל זה הוא נושא שראוי לעיון נפרד ואננו נתמקד בנושא מת מצוה.</w:t>
      </w:r>
      <w:r w:rsidR="0032173C">
        <w:rPr>
          <w:rFonts w:hint="cs"/>
          <w:rtl/>
          <w:lang w:eastAsia="en-US"/>
        </w:rPr>
        <w:t xml:space="preserve"> </w:t>
      </w:r>
    </w:p>
  </w:footnote>
  <w:footnote w:id="2">
    <w:p w14:paraId="2D94EE7F" w14:textId="77777777" w:rsidR="00EF24D5" w:rsidRDefault="00EF24D5" w:rsidP="00BA64DC">
      <w:pPr>
        <w:pStyle w:val="a3"/>
        <w:rPr>
          <w:rFonts w:hint="cs"/>
        </w:rPr>
      </w:pPr>
      <w:r>
        <w:rPr>
          <w:rStyle w:val="a5"/>
        </w:rPr>
        <w:footnoteRef/>
      </w:r>
      <w:r>
        <w:rPr>
          <w:rtl/>
        </w:rPr>
        <w:t xml:space="preserve"> </w:t>
      </w:r>
      <w:r>
        <w:rPr>
          <w:rFonts w:hint="cs"/>
          <w:rtl/>
          <w:lang w:eastAsia="en-US"/>
        </w:rPr>
        <w:t xml:space="preserve">הדיוק הוא מהמילה "בעמיו", היינו, בזמן שהמת הוא במקום מיושב, ויש ציבור (עם) שמטפל או יכול לטפל בו, אין הכהן נזקק לטפל בו ולהיטמא ולחלל את קדושתו. </w:t>
      </w:r>
      <w:r w:rsidR="00BA64DC">
        <w:rPr>
          <w:rFonts w:hint="cs"/>
          <w:rtl/>
          <w:lang w:eastAsia="en-US"/>
        </w:rPr>
        <w:t xml:space="preserve">כך </w:t>
      </w:r>
      <w:r>
        <w:rPr>
          <w:rFonts w:hint="cs"/>
          <w:rtl/>
          <w:lang w:eastAsia="en-US"/>
        </w:rPr>
        <w:t>מפרש גם רש"י (ויקרא כא א ד): "</w:t>
      </w:r>
      <w:r>
        <w:rPr>
          <w:rtl/>
          <w:lang w:eastAsia="en-US"/>
        </w:rPr>
        <w:t>לא יטמא בעמיו - בעוד שהמת בתוך עמיו, יצא מת מצוה</w:t>
      </w:r>
      <w:r>
        <w:rPr>
          <w:rFonts w:hint="cs"/>
          <w:rtl/>
          <w:lang w:eastAsia="en-US"/>
        </w:rPr>
        <w:t xml:space="preserve">". אך בהמשך </w:t>
      </w:r>
      <w:r w:rsidR="002E498D">
        <w:rPr>
          <w:rFonts w:hint="cs"/>
          <w:rtl/>
          <w:lang w:eastAsia="en-US"/>
        </w:rPr>
        <w:t xml:space="preserve">מדרש </w:t>
      </w:r>
      <w:r>
        <w:rPr>
          <w:rFonts w:hint="cs"/>
          <w:rtl/>
          <w:lang w:eastAsia="en-US"/>
        </w:rPr>
        <w:t xml:space="preserve">ספרא שם, בפרשה ב, נלמד דין מת מצווה מהמילים "לאביו ולאמו לא יטמא - </w:t>
      </w:r>
      <w:r w:rsidRPr="002E498D">
        <w:rPr>
          <w:rtl/>
        </w:rPr>
        <w:t>לאביו ולאמו לא יטמא</w:t>
      </w:r>
      <w:r w:rsidRPr="002E498D">
        <w:rPr>
          <w:rFonts w:hint="cs"/>
          <w:rtl/>
        </w:rPr>
        <w:t>,</w:t>
      </w:r>
      <w:r w:rsidRPr="002E498D">
        <w:rPr>
          <w:rtl/>
        </w:rPr>
        <w:t xml:space="preserve"> מטמא הוא למת מצוה</w:t>
      </w:r>
      <w:r>
        <w:rPr>
          <w:rFonts w:hint="cs"/>
          <w:rtl/>
          <w:lang w:eastAsia="en-US"/>
        </w:rPr>
        <w:t xml:space="preserve">". זו גם שיטת </w:t>
      </w:r>
      <w:r w:rsidR="00BA64DC">
        <w:rPr>
          <w:rFonts w:hint="cs"/>
          <w:rtl/>
          <w:lang w:eastAsia="en-US"/>
        </w:rPr>
        <w:t xml:space="preserve">מדרש </w:t>
      </w:r>
      <w:r>
        <w:rPr>
          <w:rFonts w:hint="cs"/>
          <w:rtl/>
          <w:lang w:eastAsia="en-US"/>
        </w:rPr>
        <w:t>ספרי בפרשת נשא פיסקא כו: "</w:t>
      </w:r>
      <w:r>
        <w:rPr>
          <w:rtl/>
          <w:lang w:eastAsia="en-US"/>
        </w:rPr>
        <w:t>ומה ת</w:t>
      </w:r>
      <w:r w:rsidR="00BA64DC">
        <w:rPr>
          <w:rFonts w:hint="cs"/>
          <w:rtl/>
          <w:lang w:eastAsia="en-US"/>
        </w:rPr>
        <w:t xml:space="preserve">למוד לומר: </w:t>
      </w:r>
      <w:r>
        <w:rPr>
          <w:rtl/>
          <w:lang w:eastAsia="en-US"/>
        </w:rPr>
        <w:t>לאביו ולאמו לא יטמא</w:t>
      </w:r>
      <w:r>
        <w:rPr>
          <w:rFonts w:hint="cs"/>
          <w:rtl/>
          <w:lang w:eastAsia="en-US"/>
        </w:rPr>
        <w:t>?</w:t>
      </w:r>
      <w:r>
        <w:rPr>
          <w:rtl/>
          <w:lang w:eastAsia="en-US"/>
        </w:rPr>
        <w:t xml:space="preserve"> לאביו ולאמו אינו מטמא</w:t>
      </w:r>
      <w:r>
        <w:rPr>
          <w:rFonts w:hint="cs"/>
          <w:rtl/>
          <w:lang w:eastAsia="en-US"/>
        </w:rPr>
        <w:t>,</w:t>
      </w:r>
      <w:r>
        <w:rPr>
          <w:rtl/>
          <w:lang w:eastAsia="en-US"/>
        </w:rPr>
        <w:t xml:space="preserve"> אבל מטמא הוא למת מצוה</w:t>
      </w:r>
      <w:r>
        <w:rPr>
          <w:rFonts w:hint="cs"/>
          <w:rtl/>
          <w:lang w:eastAsia="en-US"/>
        </w:rPr>
        <w:t xml:space="preserve">". ובמקורות אחרים </w:t>
      </w:r>
      <w:r w:rsidR="00FF54DD">
        <w:rPr>
          <w:rFonts w:hint="cs"/>
          <w:rtl/>
          <w:lang w:eastAsia="en-US"/>
        </w:rPr>
        <w:t xml:space="preserve">(מגילה ג ע"ב, ברכות יט ע"ב) </w:t>
      </w:r>
      <w:r>
        <w:rPr>
          <w:rFonts w:hint="cs"/>
          <w:rtl/>
          <w:lang w:eastAsia="en-US"/>
        </w:rPr>
        <w:t xml:space="preserve">הלימוד </w:t>
      </w:r>
      <w:r w:rsidR="00FF54DD">
        <w:rPr>
          <w:rFonts w:hint="cs"/>
          <w:rtl/>
          <w:lang w:eastAsia="en-US"/>
        </w:rPr>
        <w:t xml:space="preserve">הוא </w:t>
      </w:r>
      <w:r>
        <w:rPr>
          <w:rFonts w:hint="cs"/>
          <w:rtl/>
          <w:lang w:eastAsia="en-US"/>
        </w:rPr>
        <w:t xml:space="preserve">מהמילה "לאחותו - </w:t>
      </w:r>
      <w:r>
        <w:rPr>
          <w:rtl/>
        </w:rPr>
        <w:t>לאחותו הוא דאינו מיטמא, אבל מיטמא למת מצוה</w:t>
      </w:r>
      <w:r>
        <w:rPr>
          <w:rFonts w:hint="cs"/>
          <w:rtl/>
        </w:rPr>
        <w:t>".</w:t>
      </w:r>
      <w:r>
        <w:rPr>
          <w:rFonts w:hint="cs"/>
          <w:rtl/>
          <w:lang w:eastAsia="en-US"/>
        </w:rPr>
        <w:t xml:space="preserve"> כמעט כל המילים בפסוקים </w:t>
      </w:r>
      <w:r w:rsidR="00BA64DC">
        <w:rPr>
          <w:rFonts w:hint="cs"/>
          <w:rtl/>
          <w:lang w:eastAsia="en-US"/>
        </w:rPr>
        <w:t>לעיל</w:t>
      </w:r>
      <w:r>
        <w:rPr>
          <w:rFonts w:hint="cs"/>
          <w:rtl/>
          <w:lang w:eastAsia="en-US"/>
        </w:rPr>
        <w:t xml:space="preserve"> משמשים ללימוד דין מת מצווה שאיננו מפורש בתורה</w:t>
      </w:r>
      <w:r w:rsidR="002E498D">
        <w:rPr>
          <w:rFonts w:hint="cs"/>
          <w:rtl/>
          <w:lang w:eastAsia="en-US"/>
        </w:rPr>
        <w:t xml:space="preserve"> (בדומה לטומאה לאשתו שנפטרה שגם היא חידוש דרשת חכמים</w:t>
      </w:r>
      <w:r w:rsidR="00BA64DC">
        <w:rPr>
          <w:rFonts w:hint="cs"/>
          <w:rtl/>
          <w:lang w:eastAsia="en-US"/>
        </w:rPr>
        <w:t xml:space="preserve"> והזכרנו בהערה הקודמת. </w:t>
      </w:r>
      <w:r w:rsidR="00051644">
        <w:rPr>
          <w:rFonts w:hint="cs"/>
          <w:rtl/>
          <w:lang w:eastAsia="en-US"/>
        </w:rPr>
        <w:t>ולהלן נראה חידוש נוסף לגבי נזיר</w:t>
      </w:r>
      <w:r w:rsidR="002E498D">
        <w:rPr>
          <w:rFonts w:hint="cs"/>
          <w:rtl/>
          <w:lang w:eastAsia="en-US"/>
        </w:rPr>
        <w:t>).</w:t>
      </w:r>
      <w:r>
        <w:rPr>
          <w:rFonts w:hint="cs"/>
          <w:rtl/>
          <w:lang w:eastAsia="en-US"/>
        </w:rPr>
        <w:t xml:space="preserve"> ולהלן נראה שאולי כל אלה אינם אלא אסמכתא ומקור הדין הוא אחר. כך או כך, דרשות אלה על הפסוקים הראשונים בפרשתנו הביאו אותנו לעסוק בנושא.</w:t>
      </w:r>
    </w:p>
  </w:footnote>
  <w:footnote w:id="3">
    <w:p w14:paraId="458E4252" w14:textId="77777777" w:rsidR="00EF24D5" w:rsidRDefault="00EF24D5" w:rsidP="00D51DB0">
      <w:pPr>
        <w:pStyle w:val="a3"/>
        <w:rPr>
          <w:rFonts w:hint="cs"/>
          <w:rtl/>
        </w:rPr>
      </w:pPr>
      <w:r>
        <w:rPr>
          <w:rStyle w:val="a5"/>
        </w:rPr>
        <w:footnoteRef/>
      </w:r>
      <w:r>
        <w:rPr>
          <w:rtl/>
        </w:rPr>
        <w:t xml:space="preserve"> </w:t>
      </w:r>
      <w:r>
        <w:rPr>
          <w:rFonts w:hint="cs"/>
          <w:rtl/>
          <w:lang w:eastAsia="en-US"/>
        </w:rPr>
        <w:t xml:space="preserve">עוד דרשה </w:t>
      </w:r>
      <w:r w:rsidR="00204138">
        <w:rPr>
          <w:rFonts w:hint="cs"/>
          <w:rtl/>
          <w:lang w:eastAsia="en-US"/>
        </w:rPr>
        <w:t>לפנינו</w:t>
      </w:r>
      <w:r>
        <w:rPr>
          <w:rFonts w:hint="cs"/>
          <w:rtl/>
          <w:lang w:eastAsia="en-US"/>
        </w:rPr>
        <w:t xml:space="preserve"> שמנסה למצוא סמך לדין מת מצווה בתורה. ראה דרשה זו גם באיכה רבה פרשה א וראה הכלל ב</w:t>
      </w:r>
      <w:r>
        <w:rPr>
          <w:rtl/>
          <w:lang w:eastAsia="en-US"/>
        </w:rPr>
        <w:t xml:space="preserve">מדרש תנחומא (בובר) </w:t>
      </w:r>
      <w:r>
        <w:rPr>
          <w:rFonts w:hint="cs"/>
          <w:rtl/>
          <w:lang w:eastAsia="en-US"/>
        </w:rPr>
        <w:t xml:space="preserve">בפרשתנו </w:t>
      </w:r>
      <w:r>
        <w:rPr>
          <w:rtl/>
          <w:lang w:eastAsia="en-US"/>
        </w:rPr>
        <w:t>סימן ה</w:t>
      </w:r>
      <w:r>
        <w:rPr>
          <w:rFonts w:hint="cs"/>
          <w:rtl/>
          <w:lang w:eastAsia="en-US"/>
        </w:rPr>
        <w:t>: "</w:t>
      </w:r>
      <w:r>
        <w:rPr>
          <w:rtl/>
          <w:lang w:eastAsia="en-US"/>
        </w:rPr>
        <w:t>אמר ר' יוחנן</w:t>
      </w:r>
      <w:r>
        <w:rPr>
          <w:rFonts w:hint="cs"/>
          <w:rtl/>
          <w:lang w:eastAsia="en-US"/>
        </w:rPr>
        <w:t>:</w:t>
      </w:r>
      <w:r>
        <w:rPr>
          <w:rtl/>
          <w:lang w:eastAsia="en-US"/>
        </w:rPr>
        <w:t xml:space="preserve"> כל מקום שהוא אומר אמור ואמרת צריך לה</w:t>
      </w:r>
      <w:r>
        <w:rPr>
          <w:rFonts w:hint="cs"/>
          <w:rtl/>
          <w:lang w:eastAsia="en-US"/>
        </w:rPr>
        <w:t>י</w:t>
      </w:r>
      <w:r>
        <w:rPr>
          <w:rtl/>
          <w:lang w:eastAsia="en-US"/>
        </w:rPr>
        <w:t>דרש</w:t>
      </w:r>
      <w:r>
        <w:rPr>
          <w:rFonts w:hint="cs"/>
          <w:rtl/>
          <w:lang w:eastAsia="en-US"/>
        </w:rPr>
        <w:t xml:space="preserve">". הדיוק כאן איננו בשיטה של הדרשות הנ"ל של "מכלל לאו אתה שומע הן", </w:t>
      </w:r>
      <w:r w:rsidR="00842C8F">
        <w:rPr>
          <w:rFonts w:hint="cs"/>
          <w:rtl/>
          <w:lang w:eastAsia="en-US"/>
        </w:rPr>
        <w:t xml:space="preserve">היינו </w:t>
      </w:r>
      <w:r>
        <w:rPr>
          <w:rFonts w:hint="cs"/>
          <w:rtl/>
          <w:lang w:eastAsia="en-US"/>
        </w:rPr>
        <w:t>מ</w:t>
      </w:r>
      <w:r w:rsidR="00842C8F">
        <w:rPr>
          <w:rFonts w:hint="cs"/>
          <w:rtl/>
          <w:lang w:eastAsia="en-US"/>
        </w:rPr>
        <w:t xml:space="preserve">תוך </w:t>
      </w:r>
      <w:r>
        <w:rPr>
          <w:rFonts w:hint="cs"/>
          <w:rtl/>
          <w:lang w:eastAsia="en-US"/>
        </w:rPr>
        <w:t xml:space="preserve">שהדגש הוא על </w:t>
      </w:r>
      <w:r w:rsidR="00204138">
        <w:rPr>
          <w:rFonts w:hint="cs"/>
          <w:rtl/>
          <w:lang w:eastAsia="en-US"/>
        </w:rPr>
        <w:t>הגבלה זו</w:t>
      </w:r>
      <w:r>
        <w:rPr>
          <w:rFonts w:hint="cs"/>
          <w:rtl/>
          <w:lang w:eastAsia="en-US"/>
        </w:rPr>
        <w:t>, משמע שבמקום אחר ה</w:t>
      </w:r>
      <w:r w:rsidR="00204138">
        <w:rPr>
          <w:rFonts w:hint="cs"/>
          <w:rtl/>
          <w:lang w:eastAsia="en-US"/>
        </w:rPr>
        <w:t>יא איננה</w:t>
      </w:r>
      <w:r w:rsidR="00842C8F">
        <w:rPr>
          <w:rFonts w:hint="cs"/>
          <w:rtl/>
          <w:lang w:eastAsia="en-US"/>
        </w:rPr>
        <w:t>;</w:t>
      </w:r>
      <w:r>
        <w:rPr>
          <w:rFonts w:hint="cs"/>
          <w:rtl/>
          <w:lang w:eastAsia="en-US"/>
        </w:rPr>
        <w:t xml:space="preserve"> אלא מכך שיש כאן שתי אמירות, לכאורה סותרות. מהתנגשות ערכים, בין ערך קדושת הכהונה ובין ערך מצוות חסד של אמת של טיפול במת ושמירה על צלם אנוש גם כאשר כבר אין נשמה באפו (ראה מצוות לא תלין נבלתו על עץ</w:t>
      </w:r>
      <w:r w:rsidR="00842C8F">
        <w:rPr>
          <w:rFonts w:hint="cs"/>
          <w:rtl/>
          <w:lang w:eastAsia="en-US"/>
        </w:rPr>
        <w:t xml:space="preserve"> שנגיע אליה בעקיפין </w:t>
      </w:r>
      <w:r w:rsidR="0012603B">
        <w:rPr>
          <w:rFonts w:hint="cs"/>
          <w:rtl/>
          <w:lang w:eastAsia="en-US"/>
        </w:rPr>
        <w:t>להלן</w:t>
      </w:r>
      <w:r>
        <w:rPr>
          <w:rFonts w:hint="cs"/>
          <w:rtl/>
          <w:lang w:eastAsia="en-US"/>
        </w:rPr>
        <w:t xml:space="preserve">). הדבר מזכיר אמירות לכאורה סותרות אחרות בתורה, כגון: איסור והיתר </w:t>
      </w:r>
      <w:r w:rsidR="00204138">
        <w:rPr>
          <w:rFonts w:hint="cs"/>
          <w:rtl/>
          <w:lang w:eastAsia="en-US"/>
        </w:rPr>
        <w:t xml:space="preserve">אכילת </w:t>
      </w:r>
      <w:r>
        <w:rPr>
          <w:rFonts w:hint="cs"/>
          <w:rtl/>
          <w:lang w:eastAsia="en-US"/>
        </w:rPr>
        <w:t>בשר (בראשית, נח), בשר תאוה (דברים יב) וכל אותן מצוות שנאסרו והותרו</w:t>
      </w:r>
      <w:r w:rsidR="00842C8F">
        <w:rPr>
          <w:rFonts w:hint="cs"/>
          <w:rtl/>
          <w:lang w:eastAsia="en-US"/>
        </w:rPr>
        <w:t xml:space="preserve">, עליהן הרחבנו בדברינו </w:t>
      </w:r>
      <w:hyperlink r:id="rId1" w:history="1">
        <w:r w:rsidRPr="002E6AA6">
          <w:rPr>
            <w:rStyle w:val="Hyperlink"/>
            <w:rFonts w:hint="cs"/>
            <w:rtl/>
            <w:lang w:eastAsia="en-US"/>
          </w:rPr>
          <w:t>אסרתי לך התרתי לך</w:t>
        </w:r>
      </w:hyperlink>
      <w:r w:rsidR="00842C8F">
        <w:rPr>
          <w:rFonts w:hint="cs"/>
          <w:rtl/>
          <w:lang w:eastAsia="en-US"/>
        </w:rPr>
        <w:t xml:space="preserve"> בפרשת ראה.</w:t>
      </w:r>
    </w:p>
  </w:footnote>
  <w:footnote w:id="4">
    <w:p w14:paraId="7D9328DD" w14:textId="77777777" w:rsidR="00EF24D5" w:rsidRDefault="00EF24D5" w:rsidP="00FE7C9B">
      <w:pPr>
        <w:pStyle w:val="a3"/>
        <w:rPr>
          <w:rFonts w:hint="cs"/>
          <w:rtl/>
        </w:rPr>
      </w:pPr>
      <w:r>
        <w:rPr>
          <w:rStyle w:val="a5"/>
        </w:rPr>
        <w:footnoteRef/>
      </w:r>
      <w:r>
        <w:rPr>
          <w:rtl/>
        </w:rPr>
        <w:t xml:space="preserve"> </w:t>
      </w:r>
      <w:r>
        <w:rPr>
          <w:rFonts w:hint="cs"/>
          <w:rtl/>
          <w:lang w:eastAsia="en-US"/>
        </w:rPr>
        <w:t xml:space="preserve">משפט סוגר זה הוא סיום קלאסי של דרשה המביטה אל העתיד לבוא, לעולם טוב משלנו, כפי שמקובל בסיום דרשות רבות, וכפי שמעידה החותמת: סליק פרשתא (כמנהג הקריאה בארץ ישראל עליו מבוסס מדרש ויקרא רבה). אבל אין לנתק אותו מהאמירה הכפולה ולכאורה </w:t>
      </w:r>
      <w:r w:rsidR="00842C8F">
        <w:rPr>
          <w:rFonts w:hint="cs"/>
          <w:rtl/>
          <w:lang w:eastAsia="en-US"/>
        </w:rPr>
        <w:t>ה</w:t>
      </w:r>
      <w:r>
        <w:rPr>
          <w:rFonts w:hint="cs"/>
          <w:rtl/>
          <w:lang w:eastAsia="en-US"/>
        </w:rPr>
        <w:t>סותרת שנדונה בגוף המדרש. יש סתירה</w:t>
      </w:r>
      <w:r w:rsidR="00204138">
        <w:rPr>
          <w:rFonts w:hint="cs"/>
          <w:rtl/>
          <w:lang w:eastAsia="en-US"/>
        </w:rPr>
        <w:t xml:space="preserve"> לכאורה</w:t>
      </w:r>
      <w:r>
        <w:rPr>
          <w:rFonts w:hint="cs"/>
          <w:rtl/>
          <w:lang w:eastAsia="en-US"/>
        </w:rPr>
        <w:t xml:space="preserve">, יש התנגשות ערכים או מבחן ערכים בלשון הרב עמיטל </w:t>
      </w:r>
      <w:r w:rsidR="00F14496">
        <w:rPr>
          <w:rFonts w:hint="cs"/>
          <w:rtl/>
          <w:lang w:eastAsia="en-US"/>
        </w:rPr>
        <w:t>ז"ל</w:t>
      </w:r>
      <w:r>
        <w:rPr>
          <w:rFonts w:hint="cs"/>
          <w:rtl/>
          <w:lang w:eastAsia="en-US"/>
        </w:rPr>
        <w:t xml:space="preserve">, סתירה שבאמת תיפתר רק בעולם שבו אין יותר מוות ואין טומאת מתים. עד אז, אנו חיים בעולם של "אמור ואמרת", </w:t>
      </w:r>
      <w:r w:rsidR="00204138">
        <w:rPr>
          <w:rFonts w:hint="cs"/>
          <w:rtl/>
          <w:lang w:eastAsia="en-US"/>
        </w:rPr>
        <w:t xml:space="preserve">של מבחן ערכים, </w:t>
      </w:r>
      <w:r>
        <w:rPr>
          <w:rFonts w:hint="cs"/>
          <w:rtl/>
          <w:lang w:eastAsia="en-US"/>
        </w:rPr>
        <w:t>של דרשות שבאות לאזן בין ערכים, הליכות והלכות מתנגשים</w:t>
      </w:r>
      <w:r w:rsidR="0004503D">
        <w:rPr>
          <w:rFonts w:hint="cs"/>
          <w:rtl/>
          <w:lang w:eastAsia="en-US"/>
        </w:rPr>
        <w:t>, בתוך הפסוק עצמו</w:t>
      </w:r>
      <w:r>
        <w:rPr>
          <w:rFonts w:hint="cs"/>
          <w:rtl/>
          <w:lang w:eastAsia="en-US"/>
        </w:rPr>
        <w:t>.</w:t>
      </w:r>
      <w:r w:rsidR="00842C8F">
        <w:rPr>
          <w:rFonts w:hint="cs"/>
          <w:rtl/>
        </w:rPr>
        <w:t xml:space="preserve"> ראה גם </w:t>
      </w:r>
      <w:r w:rsidR="00842C8F">
        <w:rPr>
          <w:rtl/>
        </w:rPr>
        <w:t xml:space="preserve">מדרש תנחומא (בובר) </w:t>
      </w:r>
      <w:r w:rsidR="00842C8F">
        <w:rPr>
          <w:rFonts w:hint="cs"/>
          <w:rtl/>
        </w:rPr>
        <w:t>בראש ה</w:t>
      </w:r>
      <w:r w:rsidR="00842C8F">
        <w:rPr>
          <w:rtl/>
        </w:rPr>
        <w:t>פרש</w:t>
      </w:r>
      <w:r w:rsidR="00842C8F">
        <w:rPr>
          <w:rFonts w:hint="cs"/>
          <w:rtl/>
        </w:rPr>
        <w:t xml:space="preserve">ה </w:t>
      </w:r>
      <w:r w:rsidR="00842C8F">
        <w:rPr>
          <w:rtl/>
        </w:rPr>
        <w:t>סימן ב</w:t>
      </w:r>
      <w:r w:rsidR="00842C8F">
        <w:rPr>
          <w:rFonts w:hint="cs"/>
          <w:rtl/>
        </w:rPr>
        <w:t>: "</w:t>
      </w:r>
      <w:r w:rsidR="00842C8F">
        <w:rPr>
          <w:rtl/>
        </w:rPr>
        <w:t>אמור אל הכהנים</w:t>
      </w:r>
      <w:r w:rsidR="00842C8F">
        <w:rPr>
          <w:rFonts w:hint="cs"/>
          <w:rtl/>
        </w:rPr>
        <w:t xml:space="preserve"> ...</w:t>
      </w:r>
      <w:r w:rsidR="00842C8F">
        <w:rPr>
          <w:rtl/>
        </w:rPr>
        <w:t xml:space="preserve"> העליונים אינם צריכין לא אמירה ולא דיבור</w:t>
      </w:r>
      <w:r w:rsidR="00842C8F">
        <w:rPr>
          <w:rFonts w:hint="cs"/>
          <w:rtl/>
        </w:rPr>
        <w:t>.</w:t>
      </w:r>
      <w:r w:rsidR="00842C8F">
        <w:rPr>
          <w:rtl/>
        </w:rPr>
        <w:t xml:space="preserve"> אבל התחתונים צריכין אמירה ודיבור ואמרות, אמור ואמרת אולי יעמדון</w:t>
      </w:r>
      <w:r w:rsidR="00842C8F">
        <w:rPr>
          <w:rFonts w:hint="cs"/>
          <w:rtl/>
        </w:rPr>
        <w:t xml:space="preserve">". לעליונים אין גם כח בחירה והתלבטויות, כפי שהוא אומר שם: "בימות הסתיו </w:t>
      </w:r>
      <w:r w:rsidR="00842C8F">
        <w:rPr>
          <w:rtl/>
        </w:rPr>
        <w:t>היום מַלְוֶה את הלילה, ובימי הקיץ הלילה</w:t>
      </w:r>
      <w:r w:rsidR="00842C8F" w:rsidRPr="00842C8F">
        <w:rPr>
          <w:rtl/>
        </w:rPr>
        <w:t xml:space="preserve"> </w:t>
      </w:r>
      <w:r w:rsidR="00842C8F">
        <w:rPr>
          <w:rtl/>
        </w:rPr>
        <w:t>מַלְוֶה את היום, אין בריה שומע ביניהם, שנאמר אין אומר ואין דברים בלי נשמע קולם</w:t>
      </w:r>
      <w:r w:rsidR="00842C8F">
        <w:rPr>
          <w:rFonts w:hint="cs"/>
          <w:rtl/>
        </w:rPr>
        <w:t xml:space="preserve">". לתחתונים יש התלבטויות ובחירות. </w:t>
      </w:r>
      <w:r w:rsidR="0004503D">
        <w:rPr>
          <w:rFonts w:hint="cs"/>
          <w:rtl/>
        </w:rPr>
        <w:t xml:space="preserve">יש אמירה אחת ומיד לאחריה אמירה שנייה, לכאורה סותרת, ואתה (חכמים) תפשר ותסביר. הם החכמים שגם הוסיפו </w:t>
      </w:r>
      <w:r w:rsidR="0031079D">
        <w:rPr>
          <w:rFonts w:hint="cs"/>
          <w:rtl/>
        </w:rPr>
        <w:t xml:space="preserve">גם </w:t>
      </w:r>
      <w:r w:rsidR="0004503D">
        <w:rPr>
          <w:rFonts w:hint="cs"/>
          <w:rtl/>
        </w:rPr>
        <w:t>את הטומאה לאשת</w:t>
      </w:r>
      <w:r w:rsidR="00FE7C9B">
        <w:rPr>
          <w:rFonts w:hint="cs"/>
          <w:rtl/>
        </w:rPr>
        <w:t xml:space="preserve"> הכהן</w:t>
      </w:r>
      <w:r w:rsidR="0004503D">
        <w:rPr>
          <w:rFonts w:hint="cs"/>
          <w:rtl/>
        </w:rPr>
        <w:t xml:space="preserve"> שנפטרה בניגוד לפשט הפסוקים כנ"ל. </w:t>
      </w:r>
      <w:r w:rsidR="00842C8F">
        <w:rPr>
          <w:rFonts w:hint="cs"/>
          <w:rtl/>
        </w:rPr>
        <w:t>ראה מדרש נפלא זה שם במקור!</w:t>
      </w:r>
    </w:p>
  </w:footnote>
  <w:footnote w:id="5">
    <w:p w14:paraId="1193A7C4" w14:textId="77777777" w:rsidR="001F215D" w:rsidRDefault="001F215D" w:rsidP="004457CF">
      <w:pPr>
        <w:pStyle w:val="a3"/>
        <w:rPr>
          <w:rFonts w:hint="cs"/>
          <w:rtl/>
        </w:rPr>
      </w:pPr>
      <w:r>
        <w:rPr>
          <w:rStyle w:val="a5"/>
        </w:rPr>
        <w:footnoteRef/>
      </w:r>
      <w:r>
        <w:rPr>
          <w:rtl/>
        </w:rPr>
        <w:t xml:space="preserve"> </w:t>
      </w:r>
      <w:r>
        <w:rPr>
          <w:rFonts w:hint="cs"/>
          <w:rtl/>
        </w:rPr>
        <w:t xml:space="preserve">שגמילות חסדים דוחה לימוד תורה (לפרקים). ואם יש התנגשות בין הכנסת כלה ולוויית המת ששניהם מצוות גמילות חסדים, ראה </w:t>
      </w:r>
      <w:r>
        <w:rPr>
          <w:rtl/>
        </w:rPr>
        <w:t>מסכת שמחות פרק יא</w:t>
      </w:r>
      <w:r>
        <w:rPr>
          <w:rFonts w:hint="cs"/>
          <w:rtl/>
        </w:rPr>
        <w:t xml:space="preserve"> </w:t>
      </w:r>
      <w:r>
        <w:rPr>
          <w:rtl/>
        </w:rPr>
        <w:t>הלכה ו</w:t>
      </w:r>
      <w:r>
        <w:rPr>
          <w:rFonts w:hint="cs"/>
          <w:rtl/>
        </w:rPr>
        <w:t>: "</w:t>
      </w:r>
      <w:r>
        <w:rPr>
          <w:rtl/>
        </w:rPr>
        <w:t>המת והכלה שהיו באין ומקלסין זה כנגד זה, מעבירין את המת מלפני הכלה, מפני שכבוד החיים קודם לכבוד המתים</w:t>
      </w:r>
      <w:r>
        <w:rPr>
          <w:rFonts w:hint="cs"/>
          <w:rtl/>
        </w:rPr>
        <w:t>".</w:t>
      </w:r>
      <w:r w:rsidR="004457CF">
        <w:rPr>
          <w:rFonts w:hint="cs"/>
          <w:rtl/>
        </w:rPr>
        <w:t xml:space="preserve"> וראה עוד ב</w:t>
      </w:r>
      <w:r w:rsidR="004457CF">
        <w:rPr>
          <w:rtl/>
        </w:rPr>
        <w:t>אבות דרבי נתן נוסח א פרק ד</w:t>
      </w:r>
      <w:r w:rsidR="004457CF">
        <w:rPr>
          <w:rFonts w:hint="cs"/>
          <w:rtl/>
        </w:rPr>
        <w:t>: "</w:t>
      </w:r>
      <w:r w:rsidR="004457CF">
        <w:rPr>
          <w:rtl/>
        </w:rPr>
        <w:t>שני תלמידי חכמים שיושבים ועוסקים בתורה ועברה לפניהם כלה או מטה של מת אם בידן כדי צרכן אל יבטלו ממשנתן ואם לאו יעמדו וישננו ויקלסו לכלה וילוו למת</w:t>
      </w:r>
      <w:r w:rsidR="004457CF">
        <w:rPr>
          <w:rFonts w:hint="cs"/>
          <w:rtl/>
        </w:rPr>
        <w:t xml:space="preserve">". ושם עוד כיצד הורה </w:t>
      </w:r>
      <w:r w:rsidR="004457CF">
        <w:rPr>
          <w:rtl/>
        </w:rPr>
        <w:t xml:space="preserve">רבי יהודה בר אלעאי לתלמידיו </w:t>
      </w:r>
      <w:r w:rsidR="004457CF">
        <w:rPr>
          <w:rFonts w:hint="cs"/>
          <w:rtl/>
        </w:rPr>
        <w:t>לנהוג.</w:t>
      </w:r>
    </w:p>
  </w:footnote>
  <w:footnote w:id="6">
    <w:p w14:paraId="6897B8E2" w14:textId="77777777" w:rsidR="002E6AA6" w:rsidRDefault="002E6AA6" w:rsidP="00A10649">
      <w:pPr>
        <w:pStyle w:val="a3"/>
        <w:rPr>
          <w:rFonts w:hint="cs"/>
          <w:rtl/>
        </w:rPr>
      </w:pPr>
      <w:r>
        <w:rPr>
          <w:rStyle w:val="a5"/>
        </w:rPr>
        <w:footnoteRef/>
      </w:r>
      <w:r>
        <w:rPr>
          <w:rtl/>
        </w:rPr>
        <w:t xml:space="preserve"> </w:t>
      </w:r>
      <w:r w:rsidR="004457CF">
        <w:rPr>
          <w:rFonts w:hint="cs"/>
          <w:rtl/>
          <w:lang w:eastAsia="en-US"/>
        </w:rPr>
        <w:t>מצוות הטיפול במת מצווה מובאת במספר רב של "מבחן או</w:t>
      </w:r>
      <w:r>
        <w:rPr>
          <w:rFonts w:hint="cs"/>
          <w:rtl/>
          <w:lang w:eastAsia="en-US"/>
        </w:rPr>
        <w:t xml:space="preserve"> התנגשות ערכים</w:t>
      </w:r>
      <w:r w:rsidR="004457CF">
        <w:rPr>
          <w:rFonts w:hint="cs"/>
          <w:rtl/>
          <w:lang w:eastAsia="en-US"/>
        </w:rPr>
        <w:t xml:space="preserve">" - </w:t>
      </w:r>
      <w:r w:rsidR="000B1BCB">
        <w:rPr>
          <w:rFonts w:hint="cs"/>
          <w:rtl/>
          <w:lang w:eastAsia="en-US"/>
        </w:rPr>
        <w:t>ב</w:t>
      </w:r>
      <w:r>
        <w:rPr>
          <w:rFonts w:hint="cs"/>
          <w:rtl/>
          <w:lang w:eastAsia="en-US"/>
        </w:rPr>
        <w:t xml:space="preserve">דילמה איזו מצווה עדיפה (למרות </w:t>
      </w:r>
      <w:r w:rsidR="001F215D">
        <w:rPr>
          <w:rFonts w:hint="cs"/>
          <w:rtl/>
          <w:lang w:eastAsia="en-US"/>
        </w:rPr>
        <w:t xml:space="preserve">או לצד </w:t>
      </w:r>
      <w:r>
        <w:rPr>
          <w:rFonts w:hint="cs"/>
          <w:rtl/>
          <w:lang w:eastAsia="en-US"/>
        </w:rPr>
        <w:t>הכלל העוסק במצווה פטור מן המצווה). רא</w:t>
      </w:r>
      <w:r w:rsidR="000B1BCB">
        <w:rPr>
          <w:rFonts w:hint="cs"/>
          <w:rtl/>
          <w:lang w:eastAsia="en-US"/>
        </w:rPr>
        <w:t>ה</w:t>
      </w:r>
      <w:r>
        <w:rPr>
          <w:rFonts w:hint="cs"/>
          <w:rtl/>
          <w:lang w:eastAsia="en-US"/>
        </w:rPr>
        <w:t xml:space="preserve"> שם בקטע שהשמטנו, וכן הוא בגמרא </w:t>
      </w:r>
      <w:r w:rsidRPr="00DA6A90">
        <w:rPr>
          <w:rtl/>
          <w:lang w:eastAsia="en-US"/>
        </w:rPr>
        <w:t>ברכות יט ע</w:t>
      </w:r>
      <w:r>
        <w:rPr>
          <w:rFonts w:hint="cs"/>
          <w:rtl/>
          <w:lang w:eastAsia="en-US"/>
        </w:rPr>
        <w:t xml:space="preserve">"ב שקרבן פסח וברית מילה דוחים טיפול בקרוב משפחה שמת, אבל מת מצווה דוחה אותם! </w:t>
      </w:r>
      <w:r w:rsidR="001F215D">
        <w:rPr>
          <w:rFonts w:hint="cs"/>
          <w:rtl/>
          <w:lang w:eastAsia="en-US"/>
        </w:rPr>
        <w:t>(היינו שהתוספות שהוסיפו חכמים ל</w:t>
      </w:r>
      <w:r w:rsidR="004457CF">
        <w:rPr>
          <w:rFonts w:hint="cs"/>
          <w:rtl/>
          <w:lang w:eastAsia="en-US"/>
        </w:rPr>
        <w:t>פשט ה</w:t>
      </w:r>
      <w:r w:rsidR="001F215D">
        <w:rPr>
          <w:rFonts w:hint="cs"/>
          <w:rtl/>
          <w:lang w:eastAsia="en-US"/>
        </w:rPr>
        <w:t xml:space="preserve">פסוק, ראה הערות 1 ו- 2 לעיל, חזקות מהפסוק עצמו). </w:t>
      </w:r>
      <w:r>
        <w:rPr>
          <w:rFonts w:hint="cs"/>
          <w:rtl/>
        </w:rPr>
        <w:t xml:space="preserve">ובמסכת </w:t>
      </w:r>
      <w:r>
        <w:rPr>
          <w:rtl/>
        </w:rPr>
        <w:t>סנהדרין לה ע</w:t>
      </w:r>
      <w:r>
        <w:rPr>
          <w:rFonts w:hint="cs"/>
          <w:rtl/>
        </w:rPr>
        <w:t>"א לומדים מכאן בקל וחומר שמת מצווה גם דוחה שבת, משום ששבת נדחית מפני עבודת המקדש, ועבודת המקדש נדחית מפני מת מצווה, אז ברור שמת מצווה דוחה את השבת.</w:t>
      </w:r>
      <w:r w:rsidR="000A3BD8">
        <w:rPr>
          <w:rFonts w:hint="cs"/>
          <w:rtl/>
          <w:lang w:eastAsia="en-US"/>
        </w:rPr>
        <w:t xml:space="preserve"> ברוב המכריע של המקרים, מת מצווה עדיף על כל השאר ולא מצאנו דבר שמת</w:t>
      </w:r>
      <w:r>
        <w:rPr>
          <w:rFonts w:hint="cs"/>
          <w:rtl/>
          <w:lang w:eastAsia="en-US"/>
        </w:rPr>
        <w:t xml:space="preserve"> </w:t>
      </w:r>
      <w:r w:rsidR="000A3BD8">
        <w:rPr>
          <w:rFonts w:hint="cs"/>
          <w:rtl/>
          <w:lang w:eastAsia="en-US"/>
        </w:rPr>
        <w:t xml:space="preserve">נדחה מפניו. אולי, בהיגיון פשוט, פקוח נפש, היינו שאם לפניך מת מצווה ואדם פצוע, יטפל בפצוע תחילה. </w:t>
      </w:r>
      <w:r w:rsidR="001F215D">
        <w:rPr>
          <w:rFonts w:hint="cs"/>
          <w:rtl/>
          <w:lang w:eastAsia="en-US"/>
        </w:rPr>
        <w:t xml:space="preserve">(ומת מצווה והכנסת כלה? </w:t>
      </w:r>
      <w:r w:rsidR="00451971">
        <w:rPr>
          <w:rFonts w:hint="cs"/>
          <w:rtl/>
          <w:lang w:eastAsia="en-US"/>
        </w:rPr>
        <w:t xml:space="preserve">יש לדון. </w:t>
      </w:r>
      <w:r w:rsidR="001F215D">
        <w:rPr>
          <w:rFonts w:hint="cs"/>
          <w:rtl/>
          <w:lang w:eastAsia="en-US"/>
        </w:rPr>
        <w:t xml:space="preserve">ראה הערה 5 לעיל). </w:t>
      </w:r>
      <w:r>
        <w:rPr>
          <w:rFonts w:hint="cs"/>
          <w:rtl/>
          <w:lang w:eastAsia="en-US"/>
        </w:rPr>
        <w:t xml:space="preserve">ולגבי הנושא של כבוד הבריות שדוחה לא תעשה שבתורה, כבר הרחבנו בדברינו </w:t>
      </w:r>
      <w:hyperlink r:id="rId2" w:history="1">
        <w:r w:rsidRPr="002E6AA6">
          <w:rPr>
            <w:rStyle w:val="Hyperlink"/>
            <w:rFonts w:hint="cs"/>
            <w:rtl/>
            <w:lang w:eastAsia="en-US"/>
          </w:rPr>
          <w:t>והתעלמת – פעמים שא</w:t>
        </w:r>
        <w:r w:rsidRPr="002E6AA6">
          <w:rPr>
            <w:rStyle w:val="Hyperlink"/>
            <w:rFonts w:hint="cs"/>
            <w:rtl/>
            <w:lang w:eastAsia="en-US"/>
          </w:rPr>
          <w:t>ת</w:t>
        </w:r>
        <w:r w:rsidRPr="002E6AA6">
          <w:rPr>
            <w:rStyle w:val="Hyperlink"/>
            <w:rFonts w:hint="cs"/>
            <w:rtl/>
            <w:lang w:eastAsia="en-US"/>
          </w:rPr>
          <w:t>ה מתעלם</w:t>
        </w:r>
      </w:hyperlink>
      <w:r>
        <w:rPr>
          <w:rFonts w:hint="cs"/>
          <w:rtl/>
          <w:lang w:eastAsia="en-US"/>
        </w:rPr>
        <w:t xml:space="preserve"> בפרשת כי תצא.</w:t>
      </w:r>
      <w:r w:rsidR="004457CF">
        <w:rPr>
          <w:rFonts w:hint="cs"/>
          <w:rtl/>
        </w:rPr>
        <w:t xml:space="preserve"> שם </w:t>
      </w:r>
      <w:r w:rsidR="00A10649">
        <w:rPr>
          <w:rFonts w:hint="cs"/>
          <w:rtl/>
        </w:rPr>
        <w:t xml:space="preserve">יש הבחנה </w:t>
      </w:r>
      <w:r w:rsidR="004457CF">
        <w:rPr>
          <w:rFonts w:hint="cs"/>
          <w:rtl/>
        </w:rPr>
        <w:t>בין מצוות מהתורה (שאינן נדחות מפני כבוד הבריות) ומצוות דרבנן (שנדחות)</w:t>
      </w:r>
      <w:r w:rsidR="00A10649">
        <w:rPr>
          <w:rFonts w:hint="cs"/>
          <w:rtl/>
        </w:rPr>
        <w:t>, ואילו כאן הדיון הוא על עדיפות. והנושא צריך עיון נוסף.</w:t>
      </w:r>
    </w:p>
  </w:footnote>
  <w:footnote w:id="7">
    <w:p w14:paraId="1F9C9629" w14:textId="77777777" w:rsidR="00BE319E" w:rsidRDefault="00BE319E" w:rsidP="000A3BD8">
      <w:pPr>
        <w:pStyle w:val="a3"/>
        <w:rPr>
          <w:rFonts w:hint="cs"/>
          <w:rtl/>
        </w:rPr>
      </w:pPr>
      <w:r>
        <w:rPr>
          <w:rStyle w:val="a5"/>
        </w:rPr>
        <w:footnoteRef/>
      </w:r>
      <w:r>
        <w:rPr>
          <w:rtl/>
        </w:rPr>
        <w:t xml:space="preserve"> </w:t>
      </w:r>
      <w:r>
        <w:rPr>
          <w:rFonts w:hint="cs"/>
          <w:rtl/>
        </w:rPr>
        <w:t xml:space="preserve">ראה הפסוק שם בהקשר </w:t>
      </w:r>
      <w:r w:rsidR="000A3BD8">
        <w:rPr>
          <w:rFonts w:hint="cs"/>
          <w:rtl/>
        </w:rPr>
        <w:t>של</w:t>
      </w:r>
      <w:r>
        <w:rPr>
          <w:rFonts w:hint="cs"/>
          <w:rtl/>
        </w:rPr>
        <w:t xml:space="preserve"> מי שיצא עונשו למיתה בבית דין: "</w:t>
      </w:r>
      <w:r>
        <w:rPr>
          <w:rtl/>
        </w:rPr>
        <w:t xml:space="preserve">לֹא תָלִין נִבְלָתוֹ עַל הָעֵץ כִּי קָבוֹר תִּקְבְּרֶנּוּ בַּיּוֹם הַהוּא כִּי קִלְלַת אֱלֹהִים תָּלוּי וְלֹא תְטַמֵּא אֶת אַדְמָתְךָ אֲשֶׁר </w:t>
      </w:r>
      <w:r>
        <w:rPr>
          <w:rFonts w:hint="cs"/>
          <w:rtl/>
        </w:rPr>
        <w:t>ה'</w:t>
      </w:r>
      <w:r>
        <w:rPr>
          <w:rtl/>
        </w:rPr>
        <w:t xml:space="preserve"> אֱלֹהֶיךָ נֹתֵן לְךָ נַחֲלָה</w:t>
      </w:r>
      <w:r>
        <w:rPr>
          <w:rFonts w:hint="cs"/>
          <w:rtl/>
        </w:rPr>
        <w:t>". העניין של "לא תטמא את אדמתך" קשור לעניינינו גם בהמשך.</w:t>
      </w:r>
    </w:p>
  </w:footnote>
  <w:footnote w:id="8">
    <w:p w14:paraId="5539777D" w14:textId="77777777" w:rsidR="0089219F" w:rsidRDefault="0089219F" w:rsidP="00A10649">
      <w:pPr>
        <w:pStyle w:val="a3"/>
        <w:rPr>
          <w:rFonts w:hint="cs"/>
        </w:rPr>
      </w:pPr>
      <w:r>
        <w:rPr>
          <w:rStyle w:val="a5"/>
        </w:rPr>
        <w:footnoteRef/>
      </w:r>
      <w:r>
        <w:rPr>
          <w:rtl/>
        </w:rPr>
        <w:t xml:space="preserve"> </w:t>
      </w:r>
      <w:r>
        <w:rPr>
          <w:rFonts w:hint="cs"/>
          <w:rtl/>
          <w:lang w:eastAsia="en-US"/>
        </w:rPr>
        <w:t>וכן הוא ב</w:t>
      </w:r>
      <w:r>
        <w:rPr>
          <w:rtl/>
          <w:lang w:eastAsia="en-US"/>
        </w:rPr>
        <w:t>ספר החינוך מצוה תקלז</w:t>
      </w:r>
      <w:r>
        <w:rPr>
          <w:rFonts w:hint="cs"/>
          <w:rtl/>
          <w:lang w:eastAsia="en-US"/>
        </w:rPr>
        <w:t>: "כ</w:t>
      </w:r>
      <w:r w:rsidRPr="0098143E">
        <w:rPr>
          <w:rtl/>
          <w:lang w:eastAsia="en-US"/>
        </w:rPr>
        <w:t>ל הרוגי בית דין מצוה לקוברן ביום הריגתם</w:t>
      </w:r>
      <w:r>
        <w:rPr>
          <w:rFonts w:hint="cs"/>
          <w:rtl/>
          <w:lang w:eastAsia="en-US"/>
        </w:rPr>
        <w:t>.</w:t>
      </w:r>
      <w:r w:rsidRPr="0098143E">
        <w:rPr>
          <w:rtl/>
          <w:lang w:eastAsia="en-US"/>
        </w:rPr>
        <w:t xml:space="preserve"> גם בכלל המצוה לקבור כל מת מישראל ביום מותו, ומפני כן יקראו זכרונם לברכה המת שאין לו מי שיתעסק בקבורתו מת מצוה, כלומר שמצוה על הכל לקוברו מצד הציווי הזה</w:t>
      </w:r>
      <w:r>
        <w:rPr>
          <w:rFonts w:hint="cs"/>
          <w:rtl/>
          <w:lang w:eastAsia="en-US"/>
        </w:rPr>
        <w:t>"</w:t>
      </w:r>
      <w:r w:rsidRPr="0098143E">
        <w:rPr>
          <w:rtl/>
          <w:lang w:eastAsia="en-US"/>
        </w:rPr>
        <w:t>.</w:t>
      </w:r>
      <w:r>
        <w:rPr>
          <w:rFonts w:hint="cs"/>
          <w:rtl/>
          <w:lang w:eastAsia="en-US"/>
        </w:rPr>
        <w:t xml:space="preserve"> הרי לנו בעצם מקור נוסף לדין מת מצווה </w:t>
      </w:r>
      <w:r>
        <w:rPr>
          <w:rtl/>
          <w:lang w:eastAsia="en-US"/>
        </w:rPr>
        <w:t>–</w:t>
      </w:r>
      <w:r>
        <w:rPr>
          <w:rFonts w:hint="cs"/>
          <w:rtl/>
          <w:lang w:eastAsia="en-US"/>
        </w:rPr>
        <w:t xml:space="preserve"> </w:t>
      </w:r>
      <w:r w:rsidR="000B1BCB">
        <w:rPr>
          <w:rFonts w:hint="cs"/>
          <w:rtl/>
          <w:lang w:eastAsia="en-US"/>
        </w:rPr>
        <w:t>דין קבורה הכללי</w:t>
      </w:r>
      <w:r w:rsidR="000A3BD8">
        <w:rPr>
          <w:rFonts w:hint="cs"/>
          <w:rtl/>
          <w:lang w:eastAsia="en-US"/>
        </w:rPr>
        <w:t xml:space="preserve"> -</w:t>
      </w:r>
      <w:r w:rsidR="000B1BCB">
        <w:rPr>
          <w:rFonts w:hint="cs"/>
          <w:rtl/>
          <w:lang w:eastAsia="en-US"/>
        </w:rPr>
        <w:t xml:space="preserve"> המצווה להביא כל </w:t>
      </w:r>
      <w:r>
        <w:rPr>
          <w:rFonts w:hint="cs"/>
          <w:rtl/>
          <w:lang w:eastAsia="en-US"/>
        </w:rPr>
        <w:t xml:space="preserve">מת </w:t>
      </w:r>
      <w:r w:rsidR="000B1BCB">
        <w:rPr>
          <w:rFonts w:hint="cs"/>
          <w:rtl/>
          <w:lang w:eastAsia="en-US"/>
        </w:rPr>
        <w:t xml:space="preserve">לקבורה, כולל מי </w:t>
      </w:r>
      <w:r>
        <w:rPr>
          <w:rFonts w:hint="cs"/>
          <w:rtl/>
          <w:lang w:eastAsia="en-US"/>
        </w:rPr>
        <w:t>שאין לו קוברי</w:t>
      </w:r>
      <w:r w:rsidR="000B1BCB">
        <w:rPr>
          <w:rFonts w:hint="cs"/>
          <w:rtl/>
          <w:lang w:eastAsia="en-US"/>
        </w:rPr>
        <w:t>ם, היינו מת מצווה. במקרה זה</w:t>
      </w:r>
      <w:r>
        <w:rPr>
          <w:rFonts w:hint="cs"/>
          <w:rtl/>
          <w:lang w:eastAsia="en-US"/>
        </w:rPr>
        <w:t>, מוטלת המצווה על כל אחד, כולל כהן גדול</w:t>
      </w:r>
      <w:r w:rsidR="000A3BD8">
        <w:rPr>
          <w:rFonts w:hint="cs"/>
          <w:rtl/>
          <w:lang w:eastAsia="en-US"/>
        </w:rPr>
        <w:t xml:space="preserve"> (ונזיר שנראה להלן)</w:t>
      </w:r>
      <w:r>
        <w:rPr>
          <w:rFonts w:hint="cs"/>
          <w:rtl/>
          <w:lang w:eastAsia="en-US"/>
        </w:rPr>
        <w:t xml:space="preserve">! ראה אגב, לשון ספר החינוך בפרשתנו, מצווה רסג, באיסור של הכהנים להיטמא למת </w:t>
      </w:r>
      <w:r w:rsidR="000A3BD8">
        <w:rPr>
          <w:rFonts w:hint="cs"/>
          <w:rtl/>
          <w:lang w:eastAsia="en-US"/>
        </w:rPr>
        <w:t xml:space="preserve">בו נפתחת </w:t>
      </w:r>
      <w:r w:rsidR="00A10649">
        <w:rPr>
          <w:rFonts w:hint="cs"/>
          <w:rtl/>
          <w:lang w:eastAsia="en-US"/>
        </w:rPr>
        <w:t xml:space="preserve">הפרשה </w:t>
      </w:r>
      <w:r>
        <w:rPr>
          <w:rFonts w:hint="cs"/>
          <w:rtl/>
          <w:lang w:eastAsia="en-US"/>
        </w:rPr>
        <w:t xml:space="preserve">שממנה לומדים את דיני </w:t>
      </w:r>
      <w:r w:rsidR="000A3BD8">
        <w:rPr>
          <w:rFonts w:hint="cs"/>
          <w:rtl/>
          <w:lang w:eastAsia="en-US"/>
        </w:rPr>
        <w:t>ה</w:t>
      </w:r>
      <w:r>
        <w:rPr>
          <w:rFonts w:hint="cs"/>
          <w:rtl/>
          <w:lang w:eastAsia="en-US"/>
        </w:rPr>
        <w:t>אבילות לקרובים: "</w:t>
      </w:r>
      <w:r>
        <w:rPr>
          <w:rtl/>
          <w:lang w:eastAsia="en-US"/>
        </w:rPr>
        <w:t>וכתב הרמב"ם זכרונו לברכה, וזאת בעצמה היא מצות איבול, כלומר שכל איש מישראל חייב להתאבל על קרוביו, כלומר ששה מתי מצוה הנזכרים בכתוב</w:t>
      </w:r>
      <w:r>
        <w:rPr>
          <w:rFonts w:hint="cs"/>
          <w:rtl/>
          <w:lang w:eastAsia="en-US"/>
        </w:rPr>
        <w:t>"</w:t>
      </w:r>
      <w:r>
        <w:rPr>
          <w:rtl/>
          <w:lang w:eastAsia="en-US"/>
        </w:rPr>
        <w:t>.</w:t>
      </w:r>
      <w:r>
        <w:rPr>
          <w:rFonts w:hint="cs"/>
          <w:rtl/>
          <w:lang w:eastAsia="en-US"/>
        </w:rPr>
        <w:t xml:space="preserve"> </w:t>
      </w:r>
      <w:r w:rsidR="000A3BD8">
        <w:rPr>
          <w:rFonts w:hint="cs"/>
          <w:rtl/>
          <w:lang w:eastAsia="en-US"/>
        </w:rPr>
        <w:t>לפי זה "</w:t>
      </w:r>
      <w:r>
        <w:rPr>
          <w:rFonts w:hint="cs"/>
          <w:rtl/>
          <w:lang w:eastAsia="en-US"/>
        </w:rPr>
        <w:t>מת מצווה</w:t>
      </w:r>
      <w:r w:rsidR="000A3BD8">
        <w:rPr>
          <w:rFonts w:hint="cs"/>
          <w:rtl/>
          <w:lang w:eastAsia="en-US"/>
        </w:rPr>
        <w:t>" (מתי מצווה)</w:t>
      </w:r>
      <w:r>
        <w:rPr>
          <w:rFonts w:hint="cs"/>
          <w:rtl/>
          <w:lang w:eastAsia="en-US"/>
        </w:rPr>
        <w:t xml:space="preserve"> הוא מי שמצווה (מהתורה או מדרבנן) להתאבל עליו. ואנחנו מתעסקים דווקא באדם רחוק ובלתי מוכר! </w:t>
      </w:r>
      <w:r w:rsidR="00451971">
        <w:rPr>
          <w:rFonts w:hint="cs"/>
          <w:rtl/>
          <w:lang w:eastAsia="en-US"/>
        </w:rPr>
        <w:t xml:space="preserve">אך מכל זה נראה </w:t>
      </w:r>
      <w:r>
        <w:rPr>
          <w:rFonts w:hint="cs"/>
          <w:rtl/>
          <w:lang w:eastAsia="en-US"/>
        </w:rPr>
        <w:t xml:space="preserve"> שהביטוי "מת מצווה" נמצא בשני הקצוות: הקרוב ביותר</w:t>
      </w:r>
      <w:r w:rsidR="00A10649">
        <w:rPr>
          <w:rFonts w:hint="cs"/>
          <w:rtl/>
          <w:lang w:eastAsia="en-US"/>
        </w:rPr>
        <w:t xml:space="preserve"> (קרובי המשפחה מדרגה ראשונה שגם כהנים נטמאים להם)</w:t>
      </w:r>
      <w:r>
        <w:rPr>
          <w:rFonts w:hint="cs"/>
          <w:rtl/>
          <w:lang w:eastAsia="en-US"/>
        </w:rPr>
        <w:t xml:space="preserve"> והרחוק ביותר</w:t>
      </w:r>
      <w:r w:rsidR="00A10649">
        <w:rPr>
          <w:rFonts w:hint="cs"/>
          <w:rtl/>
          <w:lang w:eastAsia="en-US"/>
        </w:rPr>
        <w:t xml:space="preserve"> (מי שנמצא מת ואין לו קוברים)</w:t>
      </w:r>
      <w:r>
        <w:rPr>
          <w:rFonts w:hint="cs"/>
          <w:rtl/>
          <w:lang w:eastAsia="en-US"/>
        </w:rPr>
        <w:t>. זו מצווה וזו מצווה.</w:t>
      </w:r>
      <w:r w:rsidR="000A3BD8">
        <w:rPr>
          <w:rFonts w:hint="cs"/>
          <w:rtl/>
        </w:rPr>
        <w:t xml:space="preserve"> ואם נחזור לרמב"ם, אפשר שלקביעת מקור דין מת מצווה מציווי קבורה הכללי, יש השלכות על הדין של פינוי הקבר הזמני של מת המצווה לבית קברות כללי ומסודר, כפי שנראה להלן.</w:t>
      </w:r>
    </w:p>
  </w:footnote>
  <w:footnote w:id="9">
    <w:p w14:paraId="18A9D306" w14:textId="77777777" w:rsidR="00EF24D5" w:rsidRDefault="00EF24D5" w:rsidP="008C25C8">
      <w:pPr>
        <w:pStyle w:val="a3"/>
        <w:rPr>
          <w:rFonts w:hint="cs"/>
          <w:rtl/>
        </w:rPr>
      </w:pPr>
      <w:r>
        <w:rPr>
          <w:rStyle w:val="a5"/>
        </w:rPr>
        <w:footnoteRef/>
      </w:r>
      <w:r>
        <w:rPr>
          <w:rtl/>
        </w:rPr>
        <w:t xml:space="preserve"> </w:t>
      </w:r>
      <w:hyperlink r:id="rId3" w:history="1">
        <w:r w:rsidRPr="00B1135B">
          <w:rPr>
            <w:rStyle w:val="Hyperlink"/>
            <w:rFonts w:hint="cs"/>
            <w:rtl/>
          </w:rPr>
          <w:t>מסכת שמחות</w:t>
        </w:r>
      </w:hyperlink>
      <w:r>
        <w:rPr>
          <w:rFonts w:hint="cs"/>
          <w:rtl/>
        </w:rPr>
        <w:t xml:space="preserve"> דנה בנושאי מיתה ואבלות ושמה הוא בלשון סגי-נהור</w:t>
      </w:r>
      <w:r w:rsidR="00B1135B">
        <w:rPr>
          <w:rFonts w:hint="cs"/>
          <w:rtl/>
        </w:rPr>
        <w:t>.</w:t>
      </w:r>
      <w:r w:rsidR="008C25C8">
        <w:rPr>
          <w:rFonts w:hint="cs"/>
          <w:rtl/>
        </w:rPr>
        <w:t xml:space="preserve"> והיא אינה משנת תנאים אלא מתקופת הגאונים.</w:t>
      </w:r>
    </w:p>
  </w:footnote>
  <w:footnote w:id="10">
    <w:p w14:paraId="46115423" w14:textId="77777777" w:rsidR="00EF24D5" w:rsidRDefault="00EF24D5" w:rsidP="00A273E9">
      <w:pPr>
        <w:pStyle w:val="a3"/>
        <w:rPr>
          <w:rFonts w:hint="cs"/>
          <w:rtl/>
        </w:rPr>
      </w:pPr>
      <w:r>
        <w:rPr>
          <w:rStyle w:val="a5"/>
        </w:rPr>
        <w:footnoteRef/>
      </w:r>
      <w:r>
        <w:rPr>
          <w:rtl/>
        </w:rPr>
        <w:t xml:space="preserve"> </w:t>
      </w:r>
      <w:r>
        <w:rPr>
          <w:rFonts w:hint="cs"/>
          <w:rtl/>
        </w:rPr>
        <w:t>עניין זה שהוא קורא ולא עונים אותו כהגדרה למת מצווה, יש מפרשים שהכוונה למקום ולמצב של המת בעודו חי, שלא היו אנשים ש</w:t>
      </w:r>
      <w:r w:rsidR="00204138">
        <w:rPr>
          <w:rFonts w:hint="cs"/>
          <w:rtl/>
        </w:rPr>
        <w:t xml:space="preserve">שמעו </w:t>
      </w:r>
      <w:r>
        <w:rPr>
          <w:rFonts w:hint="cs"/>
          <w:rtl/>
        </w:rPr>
        <w:t xml:space="preserve">את קריאתו לעזרה (בדומה לדין נאנסת "כי בשדה צעקה הנערה"). ויש מפרשים זאת על רגע מציאת המת, שאם מי שמצא את המת קורא לעזרה ואין מי ששומע אותו, זהו מצב של מת מצווה. ויש שמפרשים, בהמשך לפירוש השני, אך בהקשר עם כהן שנדרש להיטמא. שקורא לעזרה לטפל במת. אם לא שומעים </w:t>
      </w:r>
      <w:r w:rsidR="00CD19C0">
        <w:rPr>
          <w:rFonts w:hint="cs"/>
          <w:rtl/>
        </w:rPr>
        <w:t>אותו (</w:t>
      </w:r>
      <w:r>
        <w:rPr>
          <w:rFonts w:hint="cs"/>
          <w:rtl/>
        </w:rPr>
        <w:t>לו</w:t>
      </w:r>
      <w:r w:rsidR="00CD19C0">
        <w:rPr>
          <w:rFonts w:hint="cs"/>
          <w:rtl/>
        </w:rPr>
        <w:t>) ואף אחד לא בא לסייע בידו</w:t>
      </w:r>
      <w:r>
        <w:rPr>
          <w:rFonts w:hint="cs"/>
          <w:rtl/>
        </w:rPr>
        <w:t xml:space="preserve">, ודאי זה מת מצווה והוא צריך לטפל בו. אך אם שומעים לו ובאים, אינו צריך להיטמא, שאם יש מספיק אנשים שיטפלו במת, אין זה כבר מת מצווה שאין לו קוברים. אך ממשיכה </w:t>
      </w:r>
      <w:r w:rsidR="00A273E9">
        <w:rPr>
          <w:rFonts w:hint="cs"/>
          <w:rtl/>
        </w:rPr>
        <w:t xml:space="preserve">שם </w:t>
      </w:r>
      <w:r>
        <w:rPr>
          <w:rFonts w:hint="cs"/>
          <w:rtl/>
        </w:rPr>
        <w:t>הברייתא ומגבילה את פטירתו של הכהן מהמצווה ומ</w:t>
      </w:r>
      <w:r w:rsidR="000A3BD8">
        <w:rPr>
          <w:rFonts w:hint="eastAsia"/>
          <w:rtl/>
        </w:rPr>
        <w:t>ַ</w:t>
      </w:r>
      <w:r>
        <w:rPr>
          <w:rFonts w:hint="cs"/>
          <w:rtl/>
        </w:rPr>
        <w:t>ת</w:t>
      </w:r>
      <w:r w:rsidR="000A3BD8">
        <w:rPr>
          <w:rFonts w:hint="eastAsia"/>
          <w:rtl/>
        </w:rPr>
        <w:t>ְ</w:t>
      </w:r>
      <w:r>
        <w:rPr>
          <w:rFonts w:hint="cs"/>
          <w:rtl/>
        </w:rPr>
        <w:t>נ</w:t>
      </w:r>
      <w:r w:rsidR="000A3BD8">
        <w:rPr>
          <w:rFonts w:hint="eastAsia"/>
          <w:rtl/>
        </w:rPr>
        <w:t>ָ</w:t>
      </w:r>
      <w:r>
        <w:rPr>
          <w:rFonts w:hint="cs"/>
          <w:rtl/>
        </w:rPr>
        <w:t xml:space="preserve">ה זאת במספר האנשים שבאו </w:t>
      </w:r>
      <w:r w:rsidR="000A3BD8">
        <w:rPr>
          <w:rFonts w:hint="cs"/>
          <w:rtl/>
        </w:rPr>
        <w:t xml:space="preserve">לסייע </w:t>
      </w:r>
      <w:r>
        <w:rPr>
          <w:rFonts w:hint="cs"/>
          <w:rtl/>
        </w:rPr>
        <w:t>ונגררת אגב זה לעניין כבוד הנפטר כפי שנראה. לפני שנימשך לעניין זה, ראה הגמרא במסכת נזיר מג ע"ב שהליכה בשיירה, בפרט במקומות מסוכנים, נחשבת כסיטואציה של מת מצווה (אם מישהו נפטר בשיירה)</w:t>
      </w:r>
      <w:r w:rsidR="000A3BD8">
        <w:rPr>
          <w:rFonts w:hint="cs"/>
          <w:rtl/>
        </w:rPr>
        <w:t>: "</w:t>
      </w:r>
      <w:r w:rsidR="000A3BD8">
        <w:rPr>
          <w:rtl/>
        </w:rPr>
        <w:t>איזהו מת מצוה? כל שאין לו קוברין, קורא ואחרים עונין אותו - אין זה מת מצוה</w:t>
      </w:r>
      <w:r w:rsidR="000A3BD8">
        <w:rPr>
          <w:rFonts w:hint="cs"/>
          <w:rtl/>
        </w:rPr>
        <w:t xml:space="preserve"> ... </w:t>
      </w:r>
      <w:r w:rsidR="000A3BD8">
        <w:rPr>
          <w:rtl/>
        </w:rPr>
        <w:t>כיון דקאזיל באורחא, כמי שאין לו קוברים דמי</w:t>
      </w:r>
      <w:r w:rsidR="000A3BD8">
        <w:rPr>
          <w:rFonts w:hint="cs"/>
          <w:rtl/>
        </w:rPr>
        <w:t>"</w:t>
      </w:r>
      <w:r>
        <w:rPr>
          <w:rFonts w:hint="cs"/>
          <w:rtl/>
        </w:rPr>
        <w:t xml:space="preserve">. </w:t>
      </w:r>
      <w:r w:rsidR="000A3BD8">
        <w:rPr>
          <w:rFonts w:hint="cs"/>
          <w:rtl/>
        </w:rPr>
        <w:t>כל אנשי השיירה הם כמו אדם בודד (או שניים, או שלושה?) שמצא מת ואין ציבור שיכול לסייע לו</w:t>
      </w:r>
      <w:r w:rsidR="0031079D">
        <w:rPr>
          <w:rFonts w:hint="cs"/>
          <w:rtl/>
        </w:rPr>
        <w:t xml:space="preserve"> (וקוברים את המת בדרך)</w:t>
      </w:r>
      <w:r w:rsidR="000A3BD8">
        <w:rPr>
          <w:rFonts w:hint="cs"/>
          <w:rtl/>
        </w:rPr>
        <w:t xml:space="preserve">. </w:t>
      </w:r>
      <w:r>
        <w:rPr>
          <w:rFonts w:hint="cs"/>
          <w:rtl/>
        </w:rPr>
        <w:t>ראה גם הגמרא ביבמות פט ע"ב בדין אשה שנשאת כשהיא קטנה ונחשבת כמי שקורא ולא עונים לו, משום שמשפחתה, שאינה יורשת אותה, מתנכרת לה. הכלל: "קורא ואין עונים אותו" וכן: "אין לו קוברים", ניתן לפירוש לפי המצב.</w:t>
      </w:r>
      <w:r w:rsidR="00FF54DD">
        <w:rPr>
          <w:rFonts w:hint="cs"/>
          <w:rtl/>
        </w:rPr>
        <w:t xml:space="preserve"> עכ"פ, </w:t>
      </w:r>
      <w:r w:rsidR="0031079D">
        <w:rPr>
          <w:rFonts w:hint="cs"/>
          <w:rtl/>
        </w:rPr>
        <w:t xml:space="preserve">נראה </w:t>
      </w:r>
      <w:r w:rsidR="00FF54DD">
        <w:rPr>
          <w:rFonts w:hint="cs"/>
          <w:rtl/>
        </w:rPr>
        <w:t xml:space="preserve">שזה מקור לכך שבימינו </w:t>
      </w:r>
      <w:r w:rsidR="00A273E9">
        <w:rPr>
          <w:rFonts w:hint="cs"/>
          <w:rtl/>
        </w:rPr>
        <w:t xml:space="preserve">בהם התקשורת מצויה בכל מקום </w:t>
      </w:r>
      <w:r w:rsidR="00FF54DD">
        <w:rPr>
          <w:rFonts w:hint="cs"/>
          <w:rtl/>
        </w:rPr>
        <w:t>אין נוהג דין מת מצווה (כפי שנראה להלן), משום שבפועל אין היום מצב של "צווח ואין שומעים קולו".</w:t>
      </w:r>
    </w:p>
  </w:footnote>
  <w:footnote w:id="11">
    <w:p w14:paraId="21D59D15" w14:textId="77777777" w:rsidR="00EF24D5" w:rsidRDefault="00EF24D5" w:rsidP="00454F56">
      <w:pPr>
        <w:pStyle w:val="a3"/>
        <w:rPr>
          <w:rFonts w:hint="cs"/>
          <w:rtl/>
        </w:rPr>
      </w:pPr>
      <w:r>
        <w:rPr>
          <w:rStyle w:val="a5"/>
        </w:rPr>
        <w:footnoteRef/>
      </w:r>
      <w:r>
        <w:rPr>
          <w:rtl/>
        </w:rPr>
        <w:t xml:space="preserve"> </w:t>
      </w:r>
      <w:r>
        <w:rPr>
          <w:rFonts w:hint="cs"/>
          <w:rtl/>
        </w:rPr>
        <w:t>קטע זה דן מגדיר מה</w:t>
      </w:r>
      <w:r w:rsidR="00842C8F">
        <w:rPr>
          <w:rFonts w:hint="cs"/>
          <w:rtl/>
        </w:rPr>
        <w:t>י</w:t>
      </w:r>
      <w:r>
        <w:rPr>
          <w:rFonts w:hint="cs"/>
          <w:rtl/>
        </w:rPr>
        <w:t xml:space="preserve"> כמות האנשים שצריך שיהיו מטפלים במת המצווה על מנת לפטור את הכהן מלהשתתף ולהיטמא. ראה הפירוש השלישי שהבאנו בהערה הקודמת. ראה מקבילה (מקור?) לשני הנושאים הנדונים בהלכה זו שבמסכת שמחות, בירושלמי </w:t>
      </w:r>
      <w:r w:rsidRPr="00CC2888">
        <w:rPr>
          <w:rtl/>
        </w:rPr>
        <w:t xml:space="preserve">מסכת נזיר פרק ז </w:t>
      </w:r>
      <w:r w:rsidRPr="00CC2888">
        <w:rPr>
          <w:rFonts w:hint="cs"/>
          <w:rtl/>
        </w:rPr>
        <w:t>הלכה א</w:t>
      </w:r>
      <w:r w:rsidR="00842C8F">
        <w:rPr>
          <w:rFonts w:cs="David" w:hint="cs"/>
          <w:rtl/>
        </w:rPr>
        <w:t>: "</w:t>
      </w:r>
      <w:r>
        <w:rPr>
          <w:rtl/>
        </w:rPr>
        <w:t>אי זהו מת מצוה</w:t>
      </w:r>
      <w:r>
        <w:rPr>
          <w:rFonts w:hint="cs"/>
          <w:rtl/>
        </w:rPr>
        <w:t>?</w:t>
      </w:r>
      <w:r>
        <w:rPr>
          <w:rtl/>
        </w:rPr>
        <w:t xml:space="preserve"> כל שהוא צווח ואין בני העיר באים</w:t>
      </w:r>
      <w:r>
        <w:rPr>
          <w:rFonts w:hint="cs"/>
          <w:rtl/>
        </w:rPr>
        <w:t>.</w:t>
      </w:r>
      <w:r>
        <w:rPr>
          <w:rtl/>
        </w:rPr>
        <w:t xml:space="preserve"> באו בני העיר</w:t>
      </w:r>
      <w:r>
        <w:rPr>
          <w:rFonts w:hint="cs"/>
          <w:rtl/>
        </w:rPr>
        <w:t>,</w:t>
      </w:r>
      <w:r>
        <w:rPr>
          <w:rtl/>
        </w:rPr>
        <w:t xml:space="preserve"> הרי זה מושך את ידו</w:t>
      </w:r>
      <w:r>
        <w:rPr>
          <w:rFonts w:hint="cs"/>
          <w:rtl/>
        </w:rPr>
        <w:t>.</w:t>
      </w:r>
      <w:r>
        <w:rPr>
          <w:rtl/>
        </w:rPr>
        <w:t xml:space="preserve"> עד היכן</w:t>
      </w:r>
      <w:r>
        <w:rPr>
          <w:rFonts w:hint="cs"/>
          <w:rtl/>
        </w:rPr>
        <w:t>?</w:t>
      </w:r>
      <w:r>
        <w:rPr>
          <w:rtl/>
        </w:rPr>
        <w:t xml:space="preserve"> עד כדי נושאי המיטה וחילופיהן וחילופי חילופיהן</w:t>
      </w:r>
      <w:r>
        <w:rPr>
          <w:rFonts w:hint="cs"/>
          <w:rtl/>
        </w:rPr>
        <w:t>.</w:t>
      </w:r>
      <w:r>
        <w:rPr>
          <w:rtl/>
        </w:rPr>
        <w:t xml:space="preserve"> בשאינן צריכין לו</w:t>
      </w:r>
      <w:r>
        <w:rPr>
          <w:rFonts w:hint="cs"/>
          <w:rtl/>
        </w:rPr>
        <w:t>.</w:t>
      </w:r>
      <w:r>
        <w:rPr>
          <w:rtl/>
        </w:rPr>
        <w:t xml:space="preserve"> אבל אם היו צריכין לו</w:t>
      </w:r>
      <w:r>
        <w:rPr>
          <w:rFonts w:hint="cs"/>
          <w:rtl/>
        </w:rPr>
        <w:t>,</w:t>
      </w:r>
      <w:r>
        <w:rPr>
          <w:rtl/>
        </w:rPr>
        <w:t xml:space="preserve"> לא בדא</w:t>
      </w:r>
      <w:r>
        <w:rPr>
          <w:rFonts w:hint="cs"/>
          <w:rtl/>
        </w:rPr>
        <w:t>.</w:t>
      </w:r>
      <w:r>
        <w:rPr>
          <w:rtl/>
        </w:rPr>
        <w:t xml:space="preserve"> בשאינן מכירין אותו</w:t>
      </w:r>
      <w:r>
        <w:rPr>
          <w:rFonts w:hint="cs"/>
          <w:rtl/>
        </w:rPr>
        <w:t>,</w:t>
      </w:r>
      <w:r>
        <w:rPr>
          <w:rtl/>
        </w:rPr>
        <w:t xml:space="preserve"> אבל אם היו מכירין אותו</w:t>
      </w:r>
      <w:r>
        <w:rPr>
          <w:rFonts w:hint="cs"/>
          <w:rtl/>
        </w:rPr>
        <w:t>,</w:t>
      </w:r>
      <w:r>
        <w:rPr>
          <w:rtl/>
        </w:rPr>
        <w:t xml:space="preserve"> לא בדא</w:t>
      </w:r>
      <w:r>
        <w:rPr>
          <w:rFonts w:hint="cs"/>
          <w:rtl/>
        </w:rPr>
        <w:t>.</w:t>
      </w:r>
      <w:r>
        <w:rPr>
          <w:rtl/>
        </w:rPr>
        <w:t xml:space="preserve"> בשאין כבודו</w:t>
      </w:r>
      <w:r>
        <w:rPr>
          <w:rFonts w:hint="cs"/>
          <w:rtl/>
        </w:rPr>
        <w:t>,</w:t>
      </w:r>
      <w:r>
        <w:rPr>
          <w:rtl/>
        </w:rPr>
        <w:t xml:space="preserve"> אבל אם היה כבודו אכן לא בדא</w:t>
      </w:r>
      <w:r>
        <w:rPr>
          <w:rFonts w:hint="cs"/>
          <w:rtl/>
        </w:rPr>
        <w:t xml:space="preserve">". בדא פירושו "בזה", לא בדא, היינו, לא בזה מדובר וצריך הכהן להיטמא ולהשתתף במצווה גם כשיש עוד אנשים. הירושלמי שם נגרר וממשיך בנושא </w:t>
      </w:r>
      <w:r w:rsidR="00454F56">
        <w:rPr>
          <w:rFonts w:hint="cs"/>
          <w:rtl/>
        </w:rPr>
        <w:t xml:space="preserve">שנראה להלן </w:t>
      </w:r>
      <w:r>
        <w:rPr>
          <w:rFonts w:hint="cs"/>
          <w:rtl/>
        </w:rPr>
        <w:t xml:space="preserve">של אדם מכובד שמת </w:t>
      </w:r>
      <w:r w:rsidR="00454F56">
        <w:rPr>
          <w:rFonts w:hint="cs"/>
          <w:rtl/>
        </w:rPr>
        <w:t>אם כהנים נטמאים לו</w:t>
      </w:r>
      <w:r>
        <w:rPr>
          <w:rFonts w:hint="cs"/>
          <w:rtl/>
        </w:rPr>
        <w:t>.</w:t>
      </w:r>
    </w:p>
  </w:footnote>
  <w:footnote w:id="12">
    <w:p w14:paraId="1AF7E45B" w14:textId="77777777" w:rsidR="00DB040F" w:rsidRDefault="00DB040F" w:rsidP="005843D6">
      <w:pPr>
        <w:pStyle w:val="a3"/>
        <w:rPr>
          <w:rFonts w:hint="cs"/>
          <w:rtl/>
        </w:rPr>
      </w:pPr>
      <w:r>
        <w:rPr>
          <w:rStyle w:val="a5"/>
        </w:rPr>
        <w:footnoteRef/>
      </w:r>
      <w:r>
        <w:rPr>
          <w:rtl/>
        </w:rPr>
        <w:t xml:space="preserve"> </w:t>
      </w:r>
      <w:r>
        <w:rPr>
          <w:rFonts w:hint="cs"/>
          <w:rtl/>
        </w:rPr>
        <w:t>וכן הוא במ</w:t>
      </w:r>
      <w:r w:rsidRPr="006463F2">
        <w:rPr>
          <w:rtl/>
        </w:rPr>
        <w:t xml:space="preserve">סכת שמחות פרק ד </w:t>
      </w:r>
      <w:r>
        <w:rPr>
          <w:rFonts w:hint="cs"/>
          <w:rtl/>
        </w:rPr>
        <w:t>הלכה יז: "</w:t>
      </w:r>
      <w:r w:rsidRPr="006463F2">
        <w:rPr>
          <w:rtl/>
        </w:rPr>
        <w:t>כהן גדול ונזיר, רבי אליעזר אומר</w:t>
      </w:r>
      <w:r w:rsidR="00A273E9">
        <w:rPr>
          <w:rFonts w:hint="cs"/>
          <w:rtl/>
        </w:rPr>
        <w:t>:</w:t>
      </w:r>
      <w:r w:rsidRPr="006463F2">
        <w:rPr>
          <w:rtl/>
        </w:rPr>
        <w:t xml:space="preserve"> יטמא כהן גדול ולא יטמא נזיר, שזה מביא קרבן על טומאתו וזה אין מביא קרבן על טומאתו</w:t>
      </w:r>
      <w:r>
        <w:rPr>
          <w:rFonts w:hint="cs"/>
          <w:rtl/>
        </w:rPr>
        <w:t>.</w:t>
      </w:r>
      <w:r w:rsidRPr="006463F2">
        <w:rPr>
          <w:rtl/>
        </w:rPr>
        <w:t xml:space="preserve"> וחכמים אומרים</w:t>
      </w:r>
      <w:r w:rsidR="00A273E9">
        <w:rPr>
          <w:rFonts w:hint="cs"/>
          <w:rtl/>
        </w:rPr>
        <w:t>:</w:t>
      </w:r>
      <w:r w:rsidRPr="006463F2">
        <w:rPr>
          <w:rtl/>
        </w:rPr>
        <w:t xml:space="preserve"> יטמא נזיר ויביא מאה קרבנות ואל יטמא כהן גדול</w:t>
      </w:r>
      <w:r w:rsidR="00A273E9">
        <w:rPr>
          <w:rFonts w:hint="cs"/>
          <w:rtl/>
        </w:rPr>
        <w:t>.</w:t>
      </w:r>
      <w:r w:rsidRPr="006463F2">
        <w:rPr>
          <w:rtl/>
        </w:rPr>
        <w:t xml:space="preserve"> שזה קדושתו מרחם אמו וזה אין קדושתו מרחם אמו, זה קדושתו קדושת חייו וזה קדושתו קדושת שעה</w:t>
      </w:r>
      <w:r>
        <w:rPr>
          <w:rFonts w:hint="cs"/>
          <w:rtl/>
        </w:rPr>
        <w:t>"</w:t>
      </w:r>
      <w:r w:rsidRPr="006463F2">
        <w:rPr>
          <w:rtl/>
        </w:rPr>
        <w:t xml:space="preserve">. </w:t>
      </w:r>
      <w:r>
        <w:rPr>
          <w:rFonts w:hint="cs"/>
          <w:rtl/>
        </w:rPr>
        <w:t>ראה בגמרא נזיר מח ע"א מאיפה יודעים בכלל שנזיר, שאסור לו להיטמא לאביו ולאמו, נטמא למת מצווה</w:t>
      </w:r>
      <w:r w:rsidR="00454F56">
        <w:rPr>
          <w:rFonts w:hint="cs"/>
          <w:rtl/>
        </w:rPr>
        <w:t xml:space="preserve"> (ב</w:t>
      </w:r>
      <w:r w:rsidR="00454F56">
        <w:rPr>
          <w:rtl/>
        </w:rPr>
        <w:t>רמב"ם הלכות נזירות פרק ז הלכה יב</w:t>
      </w:r>
      <w:r w:rsidR="00454F56">
        <w:rPr>
          <w:rFonts w:hint="cs"/>
          <w:rtl/>
        </w:rPr>
        <w:t xml:space="preserve"> הוא אומר שמקור הדין הוא "דברי קבלה"). </w:t>
      </w:r>
      <w:r w:rsidR="005843D6">
        <w:rPr>
          <w:rFonts w:hint="cs"/>
          <w:rtl/>
        </w:rPr>
        <w:t xml:space="preserve">כך או כך, </w:t>
      </w:r>
      <w:r>
        <w:rPr>
          <w:rFonts w:hint="cs"/>
          <w:rtl/>
        </w:rPr>
        <w:t>הרי לנו שוב מעין מבחן ערכים, הפעם בין קדושת כהונה וקדושת נזיר: מי מהם נטמא למת מצווה (תחילה). נראה שזה דיון עקרוני ולא בהכרח מעשי, שהרי ראינו במקור הקודם ובהערה 1</w:t>
      </w:r>
      <w:r w:rsidR="00D06EDF">
        <w:rPr>
          <w:rFonts w:hint="cs"/>
          <w:rtl/>
        </w:rPr>
        <w:t>0</w:t>
      </w:r>
      <w:r>
        <w:rPr>
          <w:rFonts w:hint="cs"/>
          <w:rtl/>
        </w:rPr>
        <w:t xml:space="preserve"> שכל עוד שצריך אותו, גם בחילופי חילופי מי שנושאים את המיטה, הרי הוא נטמא. כך שבאופן מעשי, אם כהן גדול ונזיר נקלעו למצב שרק שניהם יכולים לטפל במת</w:t>
      </w:r>
      <w:r w:rsidR="005843D6">
        <w:rPr>
          <w:rFonts w:hint="cs"/>
          <w:rtl/>
        </w:rPr>
        <w:t xml:space="preserve"> (או שאין מספיק אנשים לצרכי הטיפול במת)</w:t>
      </w:r>
      <w:r>
        <w:rPr>
          <w:rFonts w:hint="cs"/>
          <w:rtl/>
        </w:rPr>
        <w:t>, נראה ש</w:t>
      </w:r>
      <w:r w:rsidR="005843D6">
        <w:rPr>
          <w:rFonts w:hint="cs"/>
          <w:rtl/>
        </w:rPr>
        <w:t xml:space="preserve">להלכה ולמעשה </w:t>
      </w:r>
      <w:r>
        <w:rPr>
          <w:rFonts w:hint="cs"/>
          <w:rtl/>
        </w:rPr>
        <w:t xml:space="preserve">שניהם מטמאים. איזו סיטואציה ציורית-דרשנית, שני המסתגרים והמתבודדים בהיכל הקדושה, יוצאים לרגע אל החיים בחוץ ונתקלים ב"עובדות החיים" הכי ארציים ופשוטים: מת שאין לו מכירים, שאין לו קוברים. יתכבדו מקדושתם ויטפלו במת האנונימי הזה. עוד נראה לנו לתמוך בשיטת חכמים שנזיר נטמא (תחילה) משום שלגבי נזיר כבר נאמר "מאשר חטא על הנפש" ואין דעת התורה בהכרח נוחה מנזירות. ראה דברינו </w:t>
      </w:r>
      <w:hyperlink r:id="rId4" w:history="1">
        <w:r w:rsidRPr="00640A13">
          <w:rPr>
            <w:rStyle w:val="Hyperlink"/>
            <w:rFonts w:hint="cs"/>
            <w:rtl/>
          </w:rPr>
          <w:t>נזיר קדוש או חוטא?</w:t>
        </w:r>
      </w:hyperlink>
      <w:r>
        <w:rPr>
          <w:rFonts w:hint="cs"/>
          <w:rtl/>
        </w:rPr>
        <w:t xml:space="preserve"> בפרשת נשא.</w:t>
      </w:r>
    </w:p>
  </w:footnote>
  <w:footnote w:id="13">
    <w:p w14:paraId="3300339A" w14:textId="77777777" w:rsidR="00EF24D5" w:rsidRDefault="00EF24D5" w:rsidP="00B108D9">
      <w:pPr>
        <w:pStyle w:val="a3"/>
        <w:rPr>
          <w:rFonts w:hint="cs"/>
          <w:rtl/>
        </w:rPr>
      </w:pPr>
      <w:r>
        <w:rPr>
          <w:rStyle w:val="a5"/>
        </w:rPr>
        <w:footnoteRef/>
      </w:r>
      <w:r>
        <w:rPr>
          <w:rtl/>
        </w:rPr>
        <w:t xml:space="preserve"> </w:t>
      </w:r>
      <w:r>
        <w:rPr>
          <w:rFonts w:hint="cs"/>
          <w:rtl/>
        </w:rPr>
        <w:t>וב</w:t>
      </w:r>
      <w:r>
        <w:rPr>
          <w:rtl/>
        </w:rPr>
        <w:t xml:space="preserve">תלמוד ירושלמי מסכת נזיר פרק ז </w:t>
      </w:r>
      <w:r>
        <w:rPr>
          <w:rFonts w:hint="cs"/>
          <w:rtl/>
        </w:rPr>
        <w:t>הלכה א: "</w:t>
      </w:r>
      <w:r>
        <w:rPr>
          <w:rtl/>
        </w:rPr>
        <w:t>מת מצוה קנה מקומו ארבע אמות אפילו שדה מלא כורכמין</w:t>
      </w:r>
      <w:r>
        <w:rPr>
          <w:rFonts w:hint="cs"/>
          <w:rtl/>
        </w:rPr>
        <w:t>,</w:t>
      </w:r>
      <w:r>
        <w:rPr>
          <w:rtl/>
        </w:rPr>
        <w:t xml:space="preserve"> שעל מנת כן הנחיל יהושע לישראל את הארץ</w:t>
      </w:r>
      <w:r>
        <w:rPr>
          <w:rFonts w:hint="cs"/>
          <w:rtl/>
        </w:rPr>
        <w:t>". אין זה בהכרח סותר את כל הדרשות שראינו לעיל בנושא מקור הדין של מת מצווה. כאן מדובר בדין הספציפי של "מת מצווה קונה מקומו" שזו תקנה שתיקן יהושע, כחלק מהסדרי הנחלה והישיבה בארץ ישראל.</w:t>
      </w:r>
      <w:r w:rsidR="00204138">
        <w:rPr>
          <w:rFonts w:hint="cs"/>
          <w:rtl/>
        </w:rPr>
        <w:t xml:space="preserve"> וסליחה עם </w:t>
      </w:r>
      <w:r w:rsidR="00B108D9">
        <w:rPr>
          <w:rFonts w:hint="cs"/>
          <w:rtl/>
        </w:rPr>
        <w:t>שואבי</w:t>
      </w:r>
      <w:r w:rsidR="00204138">
        <w:rPr>
          <w:rFonts w:hint="cs"/>
          <w:rtl/>
        </w:rPr>
        <w:t xml:space="preserve"> המים שלא הספיקונו לבאר את כל התקנות הנ"ל שתיקן יהושע ואנו נאלצים לשלוח אותם למסכת בבא קמא שם. שווה את המאמץ.</w:t>
      </w:r>
    </w:p>
  </w:footnote>
  <w:footnote w:id="14">
    <w:p w14:paraId="29C86BCB" w14:textId="77777777" w:rsidR="00EF24D5" w:rsidRDefault="00EF24D5" w:rsidP="00942488">
      <w:pPr>
        <w:pStyle w:val="a3"/>
        <w:rPr>
          <w:rFonts w:hint="cs"/>
          <w:rtl/>
        </w:rPr>
      </w:pPr>
      <w:r>
        <w:rPr>
          <w:rStyle w:val="a5"/>
        </w:rPr>
        <w:footnoteRef/>
      </w:r>
      <w:r>
        <w:rPr>
          <w:rtl/>
        </w:rPr>
        <w:t xml:space="preserve"> </w:t>
      </w:r>
      <w:r>
        <w:rPr>
          <w:rFonts w:hint="cs"/>
          <w:rtl/>
        </w:rPr>
        <w:t xml:space="preserve">אין צורך בדין מיוחד לשעת מלחמה. מת מצווה קונה מקומו תמיד ולגמרא נראה שהרוגי מלחמה הם בבחינת מתי מצווה.  </w:t>
      </w:r>
    </w:p>
  </w:footnote>
  <w:footnote w:id="15">
    <w:p w14:paraId="08DC2437" w14:textId="77777777" w:rsidR="00EF24D5" w:rsidRDefault="00EF24D5" w:rsidP="00942488">
      <w:pPr>
        <w:pStyle w:val="a3"/>
        <w:rPr>
          <w:rFonts w:hint="cs"/>
        </w:rPr>
      </w:pPr>
      <w:r>
        <w:rPr>
          <w:rStyle w:val="a5"/>
        </w:rPr>
        <w:footnoteRef/>
      </w:r>
      <w:r>
        <w:rPr>
          <w:rtl/>
        </w:rPr>
        <w:t xml:space="preserve"> </w:t>
      </w:r>
      <w:r>
        <w:rPr>
          <w:rFonts w:hint="cs"/>
          <w:rtl/>
        </w:rPr>
        <w:t>למרות שאין ההרוג במלחמה עונה על דיני מת מצווה "באזרחות", במקרה המיוחד של שעת מלחמה, הוא כן נחשב למת מצווה. הרי לנו דין נוסף של מת מצווה, כל מי שיוצא למלחמה, גם במלחמת הרשות, ומת, יש לו דין של מת מצווה, למרות שיש לו קוברים ואי אפשר לומר שהוא שייך למקרה של קורא ואין מי שעונה לו. נראה שדין זה קשור גם לסמכויותיה של המלכות, בפרט במלחמה, בין השאר להתקין בתי עלמין זמניים, בכל מקום שנראה לה.</w:t>
      </w:r>
      <w:r w:rsidR="00BC6B17">
        <w:rPr>
          <w:rFonts w:hint="cs"/>
          <w:rtl/>
        </w:rPr>
        <w:t xml:space="preserve"> ומן הסתם הייתה המלכות גם מפנה אותם אח"כ למקום ראוי וצ"ע.</w:t>
      </w:r>
      <w:r w:rsidR="00B108D9">
        <w:rPr>
          <w:rFonts w:hint="cs"/>
          <w:rtl/>
        </w:rPr>
        <w:t xml:space="preserve"> ובימינו פשיטא שלא נוהגים כך והמצווה היא להביאו "לקבר ישראל". איך ומתי השתנתה הלכה זו?</w:t>
      </w:r>
    </w:p>
  </w:footnote>
  <w:footnote w:id="16">
    <w:p w14:paraId="006600D1" w14:textId="77777777" w:rsidR="00EF24D5" w:rsidRDefault="00EF24D5">
      <w:pPr>
        <w:pStyle w:val="a3"/>
        <w:rPr>
          <w:rFonts w:hint="cs"/>
        </w:rPr>
      </w:pPr>
      <w:r>
        <w:rPr>
          <w:rStyle w:val="a5"/>
        </w:rPr>
        <w:footnoteRef/>
      </w:r>
      <w:r>
        <w:rPr>
          <w:rtl/>
        </w:rPr>
        <w:t xml:space="preserve"> </w:t>
      </w:r>
      <w:r>
        <w:rPr>
          <w:rFonts w:hint="cs"/>
          <w:rtl/>
        </w:rPr>
        <w:t>אסרטיא או סרטיא היא דרך רשות הרבים. לא קוברים באמצע הדרך, גם אם שם נמצא המת אלא בצדדים.</w:t>
      </w:r>
    </w:p>
  </w:footnote>
  <w:footnote w:id="17">
    <w:p w14:paraId="6439F331" w14:textId="77777777" w:rsidR="00CF1A68" w:rsidRDefault="00CF1A68" w:rsidP="00B108D9">
      <w:pPr>
        <w:pStyle w:val="a3"/>
        <w:rPr>
          <w:rFonts w:hint="cs"/>
          <w:rtl/>
        </w:rPr>
      </w:pPr>
      <w:r>
        <w:rPr>
          <w:rStyle w:val="a5"/>
        </w:rPr>
        <w:footnoteRef/>
      </w:r>
      <w:r>
        <w:rPr>
          <w:rtl/>
        </w:rPr>
        <w:t xml:space="preserve"> </w:t>
      </w:r>
      <w:r>
        <w:rPr>
          <w:rFonts w:hint="cs"/>
          <w:rtl/>
        </w:rPr>
        <w:t xml:space="preserve">כאן אנו שומעים על אפשרות של פינוי מת מצווה למקום </w:t>
      </w:r>
      <w:r w:rsidR="00B108D9">
        <w:rPr>
          <w:rFonts w:hint="cs"/>
          <w:rtl/>
        </w:rPr>
        <w:t xml:space="preserve">ראוי </w:t>
      </w:r>
      <w:r>
        <w:rPr>
          <w:rFonts w:hint="cs"/>
          <w:rtl/>
        </w:rPr>
        <w:t xml:space="preserve">יותר ונראה שהסיבה היא כפולה: הן כבודו של המת והן צרכיי הרבים (כבוד החיים). ראה גם </w:t>
      </w:r>
      <w:r w:rsidRPr="006463F2">
        <w:rPr>
          <w:rtl/>
        </w:rPr>
        <w:t>מסכת שמחות פרק ד הלכה יח</w:t>
      </w:r>
      <w:r>
        <w:rPr>
          <w:rFonts w:hint="cs"/>
          <w:rtl/>
        </w:rPr>
        <w:t>: "</w:t>
      </w:r>
      <w:r w:rsidRPr="006463F2">
        <w:rPr>
          <w:rtl/>
        </w:rPr>
        <w:t>מצאוהו בין שדה בור לשדה ניר קוברו בשדה בור, בין שדה ניר לשדה זרע קוברו בשדה ניר, בין שדה זרע לשדה אילן קוברו בשדה זרע, בין שדה אילן לשדה כרם קוברו בשדה אילן</w:t>
      </w:r>
      <w:r>
        <w:rPr>
          <w:rFonts w:hint="cs"/>
          <w:rtl/>
        </w:rPr>
        <w:t>.</w:t>
      </w:r>
      <w:r w:rsidRPr="006463F2">
        <w:rPr>
          <w:rtl/>
        </w:rPr>
        <w:t xml:space="preserve"> ואם היו שתיהן שוות קוברו בקרובה שבהן, ואם היו שתי</w:t>
      </w:r>
      <w:r>
        <w:rPr>
          <w:rtl/>
        </w:rPr>
        <w:t>הן קרובות קוברו באיזה מהן שירצה</w:t>
      </w:r>
      <w:r>
        <w:rPr>
          <w:rFonts w:hint="cs"/>
          <w:rtl/>
        </w:rPr>
        <w:t>". וב</w:t>
      </w:r>
      <w:r>
        <w:rPr>
          <w:rtl/>
        </w:rPr>
        <w:t xml:space="preserve">ירושלמי נזיר פרק ז </w:t>
      </w:r>
      <w:r>
        <w:rPr>
          <w:rFonts w:hint="cs"/>
          <w:rtl/>
        </w:rPr>
        <w:t>הלכה א: "</w:t>
      </w:r>
      <w:r>
        <w:rPr>
          <w:rtl/>
        </w:rPr>
        <w:t>אימתי</w:t>
      </w:r>
      <w:r>
        <w:rPr>
          <w:rFonts w:hint="cs"/>
          <w:rtl/>
        </w:rPr>
        <w:t>?</w:t>
      </w:r>
      <w:r>
        <w:rPr>
          <w:rtl/>
        </w:rPr>
        <w:t xml:space="preserve"> בזמן שמצאו בשדה</w:t>
      </w:r>
      <w:r>
        <w:rPr>
          <w:rFonts w:hint="cs"/>
          <w:rtl/>
        </w:rPr>
        <w:t>.</w:t>
      </w:r>
      <w:r>
        <w:rPr>
          <w:rtl/>
        </w:rPr>
        <w:t xml:space="preserve"> אבל אם מצאו בדרך קוברו או לימין הדרך או לשמאל הדרך</w:t>
      </w:r>
      <w:r>
        <w:rPr>
          <w:rFonts w:hint="cs"/>
          <w:rtl/>
        </w:rPr>
        <w:t>.</w:t>
      </w:r>
      <w:r>
        <w:rPr>
          <w:rtl/>
        </w:rPr>
        <w:t xml:space="preserve"> שדה בור ושדה ניר </w:t>
      </w:r>
      <w:r>
        <w:rPr>
          <w:rFonts w:hint="cs"/>
          <w:rtl/>
        </w:rPr>
        <w:t xml:space="preserve">- </w:t>
      </w:r>
      <w:r>
        <w:rPr>
          <w:rtl/>
        </w:rPr>
        <w:t>קוברו בשדה בור</w:t>
      </w:r>
      <w:r>
        <w:rPr>
          <w:rFonts w:hint="cs"/>
          <w:rtl/>
        </w:rPr>
        <w:t>.</w:t>
      </w:r>
      <w:r>
        <w:rPr>
          <w:rtl/>
        </w:rPr>
        <w:t xml:space="preserve"> שדה ניר ושדה זרע </w:t>
      </w:r>
      <w:r>
        <w:rPr>
          <w:rFonts w:hint="cs"/>
          <w:rtl/>
        </w:rPr>
        <w:t xml:space="preserve">- </w:t>
      </w:r>
      <w:r>
        <w:rPr>
          <w:rtl/>
        </w:rPr>
        <w:t>קוברין אותו בשדה ניר</w:t>
      </w:r>
      <w:r>
        <w:rPr>
          <w:rFonts w:hint="cs"/>
          <w:rtl/>
        </w:rPr>
        <w:t>.</w:t>
      </w:r>
      <w:r>
        <w:rPr>
          <w:rtl/>
        </w:rPr>
        <w:t xml:space="preserve"> שדה כרם ושדה זרע </w:t>
      </w:r>
      <w:r>
        <w:rPr>
          <w:rFonts w:hint="cs"/>
          <w:rtl/>
        </w:rPr>
        <w:t xml:space="preserve">- </w:t>
      </w:r>
      <w:r>
        <w:rPr>
          <w:rtl/>
        </w:rPr>
        <w:t xml:space="preserve">קוברו בשדה זרע </w:t>
      </w:r>
      <w:r>
        <w:rPr>
          <w:rFonts w:hint="cs"/>
          <w:rtl/>
        </w:rPr>
        <w:t>וכו' ". ראה שם נימוקים כגון: "</w:t>
      </w:r>
      <w:r>
        <w:rPr>
          <w:rtl/>
        </w:rPr>
        <w:t xml:space="preserve">בשדה אילן לא </w:t>
      </w:r>
      <w:r w:rsidR="00B108D9">
        <w:rPr>
          <w:rFonts w:hint="cs"/>
          <w:rtl/>
        </w:rPr>
        <w:t xml:space="preserve">- </w:t>
      </w:r>
      <w:r>
        <w:rPr>
          <w:rtl/>
        </w:rPr>
        <w:t xml:space="preserve">מפני אהל טומאה </w:t>
      </w:r>
      <w:r>
        <w:rPr>
          <w:rFonts w:hint="cs"/>
          <w:rtl/>
        </w:rPr>
        <w:t xml:space="preserve">... </w:t>
      </w:r>
      <w:r>
        <w:rPr>
          <w:rtl/>
        </w:rPr>
        <w:t xml:space="preserve">בשדה כרם לא </w:t>
      </w:r>
      <w:r w:rsidR="00B108D9">
        <w:rPr>
          <w:rFonts w:hint="cs"/>
          <w:rtl/>
        </w:rPr>
        <w:t xml:space="preserve">- </w:t>
      </w:r>
      <w:r>
        <w:rPr>
          <w:rtl/>
        </w:rPr>
        <w:t>מפני הכשר בצירה</w:t>
      </w:r>
      <w:r>
        <w:rPr>
          <w:rFonts w:hint="cs"/>
          <w:rtl/>
        </w:rPr>
        <w:t>". ואם החליף ולא נהג כפי שהורו חכמים: "</w:t>
      </w:r>
      <w:r>
        <w:rPr>
          <w:rtl/>
        </w:rPr>
        <w:t xml:space="preserve">רבי אימי בשם רבי </w:t>
      </w:r>
      <w:smartTag w:uri="urn:schemas-microsoft-com:office:smarttags" w:element="PersonName">
        <w:r>
          <w:rPr>
            <w:rtl/>
          </w:rPr>
          <w:t>שמעון</w:t>
        </w:r>
      </w:smartTag>
      <w:r>
        <w:rPr>
          <w:rtl/>
        </w:rPr>
        <w:t xml:space="preserve"> בן לקיש</w:t>
      </w:r>
      <w:r>
        <w:rPr>
          <w:rFonts w:hint="cs"/>
          <w:rtl/>
        </w:rPr>
        <w:t>:</w:t>
      </w:r>
      <w:r>
        <w:rPr>
          <w:rtl/>
        </w:rPr>
        <w:t xml:space="preserve"> עובר משום </w:t>
      </w:r>
      <w:r w:rsidRPr="00E711B1">
        <w:rPr>
          <w:rtl/>
        </w:rPr>
        <w:t>לא תטמא את אדמתך</w:t>
      </w:r>
      <w:r>
        <w:rPr>
          <w:rFonts w:hint="cs"/>
          <w:rtl/>
        </w:rPr>
        <w:t>".</w:t>
      </w:r>
    </w:p>
  </w:footnote>
  <w:footnote w:id="18">
    <w:p w14:paraId="1E339185" w14:textId="77777777" w:rsidR="00EF24D5" w:rsidRDefault="00EF24D5" w:rsidP="00CF1A68">
      <w:pPr>
        <w:pStyle w:val="a3"/>
        <w:rPr>
          <w:rFonts w:hint="cs"/>
          <w:rtl/>
        </w:rPr>
      </w:pPr>
      <w:r>
        <w:rPr>
          <w:rStyle w:val="a5"/>
        </w:rPr>
        <w:footnoteRef/>
      </w:r>
      <w:r>
        <w:rPr>
          <w:rtl/>
        </w:rPr>
        <w:t xml:space="preserve"> </w:t>
      </w:r>
      <w:r>
        <w:rPr>
          <w:rFonts w:hint="cs"/>
          <w:rtl/>
        </w:rPr>
        <w:t>רב ביבי אמנם מגביל את היכולת לקבור את מת המצווה בכל מקום שנוח ו</w:t>
      </w:r>
      <w:r w:rsidR="00CF1A68">
        <w:rPr>
          <w:rFonts w:hint="cs"/>
          <w:rtl/>
        </w:rPr>
        <w:t>ל</w:t>
      </w:r>
      <w:r>
        <w:rPr>
          <w:rFonts w:hint="cs"/>
          <w:rtl/>
        </w:rPr>
        <w:t>מנ</w:t>
      </w:r>
      <w:r w:rsidR="00CF1A68">
        <w:rPr>
          <w:rFonts w:hint="cs"/>
          <w:rtl/>
        </w:rPr>
        <w:t>ו</w:t>
      </w:r>
      <w:r>
        <w:rPr>
          <w:rFonts w:hint="cs"/>
          <w:rtl/>
        </w:rPr>
        <w:t xml:space="preserve">ע </w:t>
      </w:r>
      <w:r w:rsidR="00CF1A68">
        <w:rPr>
          <w:rFonts w:hint="cs"/>
          <w:rtl/>
        </w:rPr>
        <w:t xml:space="preserve">בכך </w:t>
      </w:r>
      <w:r>
        <w:rPr>
          <w:rFonts w:hint="cs"/>
          <w:rtl/>
        </w:rPr>
        <w:t>הפסד, רק למת שנמצא על דרך הרבים, היינו במקום שההפסד לציבור הוא ברור, אבל מסך כל הסוגיה</w:t>
      </w:r>
      <w:r w:rsidR="00204138">
        <w:rPr>
          <w:rFonts w:hint="cs"/>
          <w:rtl/>
        </w:rPr>
        <w:t xml:space="preserve">, וממקורות נוספים, </w:t>
      </w:r>
      <w:r>
        <w:rPr>
          <w:rFonts w:hint="cs"/>
          <w:rtl/>
        </w:rPr>
        <w:t>נראה שלכלל "מת מצווה קנה מקומו" יש מגבלות של "צורך הרבים"</w:t>
      </w:r>
      <w:r w:rsidR="00CF1A68">
        <w:rPr>
          <w:rFonts w:hint="cs"/>
          <w:rtl/>
        </w:rPr>
        <w:t>, הפחתת טומאה ואולי גם כבוד המת עצמו</w:t>
      </w:r>
      <w:r>
        <w:rPr>
          <w:rFonts w:hint="cs"/>
          <w:rtl/>
        </w:rPr>
        <w:t xml:space="preserve">. ראה </w:t>
      </w:r>
      <w:r>
        <w:rPr>
          <w:rtl/>
        </w:rPr>
        <w:t xml:space="preserve">תורת חיים </w:t>
      </w:r>
      <w:r>
        <w:rPr>
          <w:rFonts w:hint="cs"/>
          <w:rtl/>
        </w:rPr>
        <w:t>על סוגיה זו ב</w:t>
      </w:r>
      <w:r>
        <w:rPr>
          <w:rtl/>
        </w:rPr>
        <w:t>מסכת עירובין</w:t>
      </w:r>
      <w:r>
        <w:rPr>
          <w:rFonts w:hint="cs"/>
          <w:rtl/>
        </w:rPr>
        <w:t>: "</w:t>
      </w:r>
      <w:r>
        <w:rPr>
          <w:rtl/>
        </w:rPr>
        <w:t>ועוד דהא דמת מצוה קונה מקומו היינו שאין בעל הקרקע יכול למחות בו מלקברו שם</w:t>
      </w:r>
      <w:r>
        <w:rPr>
          <w:rFonts w:hint="cs"/>
          <w:rtl/>
        </w:rPr>
        <w:t>,</w:t>
      </w:r>
      <w:r>
        <w:rPr>
          <w:rtl/>
        </w:rPr>
        <w:t xml:space="preserve"> אבל כשהמוצא רוצה לעשות טובה למת להוליכו משם לקברות ישראל פשיטא דשפיר דמי</w:t>
      </w:r>
      <w:r>
        <w:rPr>
          <w:rFonts w:hint="cs"/>
          <w:rtl/>
        </w:rPr>
        <w:t>".</w:t>
      </w:r>
      <w:r>
        <w:rPr>
          <w:rtl/>
        </w:rPr>
        <w:t xml:space="preserve"> </w:t>
      </w:r>
      <w:r>
        <w:rPr>
          <w:rFonts w:hint="cs"/>
          <w:rtl/>
        </w:rPr>
        <w:t xml:space="preserve">עוד על פינוי מקומו של מת מצווה וקברים בכלל, ראה </w:t>
      </w:r>
      <w:r>
        <w:rPr>
          <w:rtl/>
        </w:rPr>
        <w:t>מסכת סנהדרין מז ע</w:t>
      </w:r>
      <w:r>
        <w:rPr>
          <w:rFonts w:hint="cs"/>
          <w:rtl/>
        </w:rPr>
        <w:t>"ב: "</w:t>
      </w:r>
      <w:r>
        <w:rPr>
          <w:rtl/>
        </w:rPr>
        <w:t xml:space="preserve">נמצא אתה אומר שלש קברות הן: קבר הנמצא, קבר הידוע, קבר המזיק את הרבים. קבר הנמצא - מותר לפנותו, פינהו - מקומו טהור ומותר בהנאה. קבר הידוע - אסור לפנותו, פינהו - מקומו טמא ואסור בהנאה. קבר המזיק את הרבים - מותר לפנותו, פינהו - מקומו טהור, ואסור בהנאה! </w:t>
      </w:r>
      <w:r>
        <w:rPr>
          <w:rFonts w:hint="cs"/>
          <w:rtl/>
        </w:rPr>
        <w:t xml:space="preserve">... </w:t>
      </w:r>
      <w:r>
        <w:rPr>
          <w:rtl/>
        </w:rPr>
        <w:t>דילמא מת מצוה הוא, ומת מצוה קנה מקומו! - שאני מת מצוה דקלא אית ליה</w:t>
      </w:r>
      <w:r>
        <w:rPr>
          <w:rFonts w:hint="cs"/>
          <w:rtl/>
        </w:rPr>
        <w:t>". היינו שאין לחשוש מפינוי קברים</w:t>
      </w:r>
      <w:r w:rsidR="00204138">
        <w:rPr>
          <w:rFonts w:hint="cs"/>
          <w:rtl/>
        </w:rPr>
        <w:t>, כולל האפשרות שמדובר ב</w:t>
      </w:r>
      <w:r>
        <w:rPr>
          <w:rFonts w:hint="cs"/>
          <w:rtl/>
        </w:rPr>
        <w:t xml:space="preserve">קבר של מת מצווה, משום שמת מצווה הוא דבר ידוע </w:t>
      </w:r>
      <w:r w:rsidR="00204138">
        <w:rPr>
          <w:rFonts w:hint="cs"/>
          <w:rtl/>
        </w:rPr>
        <w:t xml:space="preserve">(קלא אית ליה) </w:t>
      </w:r>
      <w:r>
        <w:rPr>
          <w:rFonts w:hint="cs"/>
          <w:rtl/>
        </w:rPr>
        <w:t xml:space="preserve">שכולם זוכרים. ואם אין זוכרים זאת, אין חשש שזה קבר של מת מצווה. </w:t>
      </w:r>
      <w:r w:rsidR="00BC6B17">
        <w:rPr>
          <w:rFonts w:hint="cs"/>
          <w:rtl/>
        </w:rPr>
        <w:t xml:space="preserve">ובירושלמי בבא בתרא פרק ה הלכה א מובאת שיטת רב חסדא (הראשונה) שמת מצוה מותר לפנותו על סמך המשנה במסכת נזיר פרק ט משנה ג הדנה בפינוי קברים בודדים: "המוצא מת בתחילה מושכב כדרכו - נוטלו ואת תבוסתו". וגם לפי שיטת ר' זעירא (זירא) שם שאין לפנות קבר של מת מצווה, הוא מסכים שאין מתי מצווה מצויין וניתן לדון ברוב מקרים שמדובר במת שאינו מת מצווה (שיטה מקובצת בבא בתרא קא ע"ב). וכן משמע במאירי נזיר נא ע"ב, בבא קמא פא ע"ב. </w:t>
      </w:r>
      <w:r>
        <w:rPr>
          <w:rFonts w:hint="cs"/>
          <w:rtl/>
        </w:rPr>
        <w:t>מכל הנ"ל אפשר להבין הלכה פשוטה בימינו</w:t>
      </w:r>
      <w:r w:rsidR="00BC6B17">
        <w:rPr>
          <w:rFonts w:hint="cs"/>
          <w:rtl/>
        </w:rPr>
        <w:t>, שלא נוהג למעשה דין מת מצווה,</w:t>
      </w:r>
      <w:r>
        <w:rPr>
          <w:rFonts w:hint="cs"/>
          <w:rtl/>
        </w:rPr>
        <w:t xml:space="preserve"> לגבי פינוי קברים שאין בהם שום קול וכלל לא ברור של מי הם וכן כשמדובר בצורך רבים ברור, אבל לא באנו להכריע בענייני דיומא ובוודאי לא לפסוק הלכות.</w:t>
      </w:r>
    </w:p>
  </w:footnote>
  <w:footnote w:id="19">
    <w:p w14:paraId="3B6260B3" w14:textId="77777777" w:rsidR="00EF24D5" w:rsidRDefault="00EF24D5" w:rsidP="00697AE8">
      <w:pPr>
        <w:pStyle w:val="a3"/>
        <w:rPr>
          <w:rFonts w:hint="cs"/>
          <w:rtl/>
        </w:rPr>
      </w:pPr>
      <w:r>
        <w:rPr>
          <w:rStyle w:val="a5"/>
        </w:rPr>
        <w:footnoteRef/>
      </w:r>
      <w:r>
        <w:rPr>
          <w:rtl/>
        </w:rPr>
        <w:t xml:space="preserve"> </w:t>
      </w:r>
      <w:r>
        <w:rPr>
          <w:rFonts w:hint="cs"/>
          <w:rtl/>
        </w:rPr>
        <w:t xml:space="preserve">ראה סיפור זה גם במסכת שמחות פרק ד </w:t>
      </w:r>
      <w:r w:rsidRPr="006463F2">
        <w:rPr>
          <w:rtl/>
        </w:rPr>
        <w:t>הלכה יט</w:t>
      </w:r>
      <w:r>
        <w:rPr>
          <w:rFonts w:hint="cs"/>
          <w:rtl/>
        </w:rPr>
        <w:t>: "</w:t>
      </w:r>
      <w:r w:rsidRPr="006463F2">
        <w:rPr>
          <w:rtl/>
        </w:rPr>
        <w:t>אמר רבי עקיבא</w:t>
      </w:r>
      <w:r>
        <w:rPr>
          <w:rFonts w:hint="cs"/>
          <w:rtl/>
        </w:rPr>
        <w:t>:</w:t>
      </w:r>
      <w:r w:rsidRPr="006463F2">
        <w:rPr>
          <w:rtl/>
        </w:rPr>
        <w:t xml:space="preserve"> זו היתה תחילת תשמישי לפני חכמים, השכמתי ומצאתי הרוג אחד והייתי מטפל בו בשלשה תחומי שבת עד שהבאתיו למקום קבורה וקברתיו</w:t>
      </w:r>
      <w:r>
        <w:rPr>
          <w:rFonts w:hint="cs"/>
          <w:rtl/>
        </w:rPr>
        <w:t>.</w:t>
      </w:r>
      <w:r w:rsidRPr="006463F2">
        <w:rPr>
          <w:rtl/>
        </w:rPr>
        <w:t xml:space="preserve"> וכשבאתי והשערתי דברים לפני חכמים, אמרו לי</w:t>
      </w:r>
      <w:r>
        <w:rPr>
          <w:rFonts w:hint="cs"/>
          <w:rtl/>
        </w:rPr>
        <w:t>:</w:t>
      </w:r>
      <w:r w:rsidRPr="006463F2">
        <w:rPr>
          <w:rtl/>
        </w:rPr>
        <w:t xml:space="preserve"> על כל פסיעה ופסיעה שהיית פוסע מעלין עליך כאילו היית שופך דמים</w:t>
      </w:r>
      <w:r>
        <w:rPr>
          <w:rFonts w:hint="cs"/>
          <w:rtl/>
        </w:rPr>
        <w:t>.</w:t>
      </w:r>
      <w:r w:rsidRPr="006463F2">
        <w:rPr>
          <w:rtl/>
        </w:rPr>
        <w:t xml:space="preserve"> ודנתי קל וחומר בעצמי</w:t>
      </w:r>
      <w:r>
        <w:rPr>
          <w:rFonts w:hint="cs"/>
          <w:rtl/>
        </w:rPr>
        <w:t>:</w:t>
      </w:r>
      <w:r w:rsidRPr="006463F2">
        <w:rPr>
          <w:rtl/>
        </w:rPr>
        <w:t xml:space="preserve"> ומה אם עכשיו שנתכוונתי לזכות </w:t>
      </w:r>
      <w:r w:rsidR="00697AE8">
        <w:rPr>
          <w:rFonts w:hint="cs"/>
          <w:rtl/>
        </w:rPr>
        <w:t xml:space="preserve">- </w:t>
      </w:r>
      <w:r w:rsidRPr="006463F2">
        <w:rPr>
          <w:rtl/>
        </w:rPr>
        <w:t>חטאתי, אילו נתכוונתי למעט</w:t>
      </w:r>
      <w:r w:rsidR="00697AE8">
        <w:rPr>
          <w:rFonts w:hint="cs"/>
          <w:rtl/>
        </w:rPr>
        <w:t xml:space="preserve"> -</w:t>
      </w:r>
      <w:r w:rsidRPr="006463F2">
        <w:rPr>
          <w:rtl/>
        </w:rPr>
        <w:t xml:space="preserve"> על אחת כמה וכמה. וכשהיו אומרים דבר זה לפני רבי עקיבא היה אומר</w:t>
      </w:r>
      <w:r>
        <w:rPr>
          <w:rFonts w:hint="cs"/>
          <w:rtl/>
        </w:rPr>
        <w:t>:</w:t>
      </w:r>
      <w:r w:rsidRPr="006463F2">
        <w:rPr>
          <w:rtl/>
        </w:rPr>
        <w:t xml:space="preserve"> זו היתה תחילת זכותי</w:t>
      </w:r>
      <w:r>
        <w:rPr>
          <w:rFonts w:hint="cs"/>
          <w:rtl/>
        </w:rPr>
        <w:t xml:space="preserve">". ובנוסח </w:t>
      </w:r>
      <w:r w:rsidR="00E12A06">
        <w:rPr>
          <w:rFonts w:hint="cs"/>
          <w:rtl/>
        </w:rPr>
        <w:t>ה</w:t>
      </w:r>
      <w:r>
        <w:rPr>
          <w:rtl/>
        </w:rPr>
        <w:t xml:space="preserve">ירושלמי מסכת נזיר פרק ז </w:t>
      </w:r>
      <w:r>
        <w:rPr>
          <w:rFonts w:hint="cs"/>
          <w:rtl/>
        </w:rPr>
        <w:t>הלכה א (מקור שכבר הבאנו מספר פעמים לעיל): "</w:t>
      </w:r>
      <w:r>
        <w:rPr>
          <w:rtl/>
        </w:rPr>
        <w:t>המוציא מת מצוה הרי זה מיטפל בו וקוברו במקומו</w:t>
      </w:r>
      <w:r>
        <w:rPr>
          <w:rFonts w:hint="cs"/>
          <w:rtl/>
        </w:rPr>
        <w:t>.</w:t>
      </w:r>
      <w:r>
        <w:rPr>
          <w:rtl/>
        </w:rPr>
        <w:t xml:space="preserve"> אימתי</w:t>
      </w:r>
      <w:r>
        <w:rPr>
          <w:rFonts w:hint="cs"/>
          <w:rtl/>
        </w:rPr>
        <w:t>?</w:t>
      </w:r>
      <w:r>
        <w:rPr>
          <w:rtl/>
        </w:rPr>
        <w:t xml:space="preserve"> בזמן שמצאו חוץ לתחום</w:t>
      </w:r>
      <w:r>
        <w:rPr>
          <w:rFonts w:hint="cs"/>
          <w:rtl/>
        </w:rPr>
        <w:t>,</w:t>
      </w:r>
      <w:r>
        <w:rPr>
          <w:rtl/>
        </w:rPr>
        <w:t xml:space="preserve"> אבל אם מצאו בתוך התחום הרי זה מביאו במקום הקברות וקוברו</w:t>
      </w:r>
      <w:r>
        <w:rPr>
          <w:rFonts w:hint="cs"/>
          <w:rtl/>
        </w:rPr>
        <w:t>.</w:t>
      </w:r>
      <w:r>
        <w:rPr>
          <w:rtl/>
        </w:rPr>
        <w:t xml:space="preserve"> אמר רבי עקיבה</w:t>
      </w:r>
      <w:r>
        <w:rPr>
          <w:rFonts w:hint="cs"/>
          <w:rtl/>
        </w:rPr>
        <w:t>:</w:t>
      </w:r>
      <w:r>
        <w:rPr>
          <w:rtl/>
        </w:rPr>
        <w:t xml:space="preserve"> כך היתה תחילת תשמישי לפני חכמים</w:t>
      </w:r>
      <w:r>
        <w:rPr>
          <w:rFonts w:hint="cs"/>
          <w:rtl/>
        </w:rPr>
        <w:t>.</w:t>
      </w:r>
      <w:r>
        <w:rPr>
          <w:rtl/>
        </w:rPr>
        <w:t xml:space="preserve"> פעם אחת הייתי מהלך בדרך ומצאתי מת מצוה וניטפלתי בו בארבעת מיל עד שהבאתיו למקום הקברות וקברתיו</w:t>
      </w:r>
      <w:r>
        <w:rPr>
          <w:rFonts w:hint="cs"/>
          <w:rtl/>
        </w:rPr>
        <w:t>.</w:t>
      </w:r>
      <w:r>
        <w:rPr>
          <w:rtl/>
        </w:rPr>
        <w:t xml:space="preserve"> וכשבאתי אצל רבי אליעזר ואצל רבי יהושע אמרתי להם את הדבר</w:t>
      </w:r>
      <w:r>
        <w:rPr>
          <w:rFonts w:hint="cs"/>
          <w:rtl/>
        </w:rPr>
        <w:t>.</w:t>
      </w:r>
      <w:r>
        <w:rPr>
          <w:rtl/>
        </w:rPr>
        <w:t xml:space="preserve"> אמרו לי</w:t>
      </w:r>
      <w:r>
        <w:rPr>
          <w:rFonts w:hint="cs"/>
          <w:rtl/>
        </w:rPr>
        <w:t>:</w:t>
      </w:r>
      <w:r>
        <w:rPr>
          <w:rtl/>
        </w:rPr>
        <w:t xml:space="preserve"> על כל פסיעה ופסיעה שהיית פוסע</w:t>
      </w:r>
      <w:r>
        <w:rPr>
          <w:rFonts w:hint="cs"/>
          <w:rtl/>
        </w:rPr>
        <w:t>,</w:t>
      </w:r>
      <w:r>
        <w:rPr>
          <w:rtl/>
        </w:rPr>
        <w:t xml:space="preserve"> מעלין עליך כאילו שפכת דמים</w:t>
      </w:r>
      <w:r>
        <w:rPr>
          <w:rFonts w:hint="cs"/>
          <w:rtl/>
        </w:rPr>
        <w:t>.</w:t>
      </w:r>
      <w:r>
        <w:rPr>
          <w:rtl/>
        </w:rPr>
        <w:t xml:space="preserve"> אמרתי</w:t>
      </w:r>
      <w:r>
        <w:rPr>
          <w:rFonts w:hint="cs"/>
          <w:rtl/>
        </w:rPr>
        <w:t>:</w:t>
      </w:r>
      <w:r>
        <w:rPr>
          <w:rtl/>
        </w:rPr>
        <w:t xml:space="preserve"> אם בשעה שנתכוונתי לזכות</w:t>
      </w:r>
      <w:r>
        <w:rPr>
          <w:rFonts w:hint="cs"/>
          <w:rtl/>
        </w:rPr>
        <w:t xml:space="preserve"> </w:t>
      </w:r>
      <w:r>
        <w:rPr>
          <w:rtl/>
        </w:rPr>
        <w:t>נתחייבתי</w:t>
      </w:r>
      <w:r>
        <w:rPr>
          <w:rFonts w:hint="cs"/>
          <w:rtl/>
        </w:rPr>
        <w:t>,</w:t>
      </w:r>
      <w:r>
        <w:rPr>
          <w:rtl/>
        </w:rPr>
        <w:t xml:space="preserve"> בשעה שלא נתכוונתי לזכות על אחת כמה וכמה</w:t>
      </w:r>
      <w:r>
        <w:rPr>
          <w:rFonts w:hint="cs"/>
          <w:rtl/>
        </w:rPr>
        <w:t>.</w:t>
      </w:r>
      <w:r>
        <w:rPr>
          <w:rtl/>
        </w:rPr>
        <w:t xml:space="preserve"> באותה שעה לא זזתי מלשמש חכמים</w:t>
      </w:r>
      <w:r>
        <w:rPr>
          <w:rFonts w:hint="cs"/>
          <w:rtl/>
        </w:rPr>
        <w:t>.</w:t>
      </w:r>
      <w:r>
        <w:rPr>
          <w:rtl/>
        </w:rPr>
        <w:t xml:space="preserve"> הוא היה אומר</w:t>
      </w:r>
      <w:r>
        <w:rPr>
          <w:rFonts w:hint="cs"/>
          <w:rtl/>
        </w:rPr>
        <w:t>:</w:t>
      </w:r>
      <w:r>
        <w:rPr>
          <w:rtl/>
        </w:rPr>
        <w:t xml:space="preserve"> דלא שימש חכימיא קטלא חייב</w:t>
      </w:r>
      <w:r>
        <w:rPr>
          <w:rFonts w:hint="cs"/>
          <w:rtl/>
        </w:rPr>
        <w:t xml:space="preserve">". </w:t>
      </w:r>
      <w:r w:rsidR="00CE5C8E">
        <w:rPr>
          <w:rFonts w:hint="cs"/>
          <w:rtl/>
        </w:rPr>
        <w:t xml:space="preserve">וכבר תמהו רבים וטובים על מעשה זה, ראה למשל </w:t>
      </w:r>
      <w:r w:rsidR="00CE5C8E">
        <w:rPr>
          <w:rtl/>
        </w:rPr>
        <w:t>שיטה מקובצת כתובות יז ע</w:t>
      </w:r>
      <w:r w:rsidR="00CE5C8E">
        <w:rPr>
          <w:rFonts w:hint="cs"/>
          <w:rtl/>
        </w:rPr>
        <w:t>"א: "</w:t>
      </w:r>
      <w:r w:rsidR="00CE5C8E">
        <w:rPr>
          <w:rtl/>
        </w:rPr>
        <w:t>ותימה</w:t>
      </w:r>
      <w:r w:rsidR="00CE5C8E">
        <w:rPr>
          <w:rFonts w:hint="cs"/>
          <w:rtl/>
        </w:rPr>
        <w:t>,</w:t>
      </w:r>
      <w:r w:rsidR="00CE5C8E">
        <w:rPr>
          <w:rtl/>
        </w:rPr>
        <w:t xml:space="preserve"> נהי דמת מצוה קנה מקומו</w:t>
      </w:r>
      <w:r w:rsidR="00CE5C8E">
        <w:rPr>
          <w:rFonts w:hint="cs"/>
          <w:rtl/>
        </w:rPr>
        <w:t>,</w:t>
      </w:r>
      <w:r w:rsidR="00CE5C8E">
        <w:rPr>
          <w:rtl/>
        </w:rPr>
        <w:t xml:space="preserve"> אבל אם רצה לסלקו משם בשביל להוליכו לבית הקברות ולקוברו לכבודו</w:t>
      </w:r>
      <w:r w:rsidR="00CE5C8E">
        <w:rPr>
          <w:rFonts w:hint="cs"/>
          <w:rtl/>
        </w:rPr>
        <w:t>,</w:t>
      </w:r>
      <w:r w:rsidR="00CE5C8E">
        <w:rPr>
          <w:rtl/>
        </w:rPr>
        <w:t xml:space="preserve"> מה איסורא יש בכך</w:t>
      </w:r>
      <w:r w:rsidR="00CE5C8E">
        <w:rPr>
          <w:rFonts w:hint="cs"/>
          <w:rtl/>
        </w:rPr>
        <w:t xml:space="preserve">?". </w:t>
      </w:r>
      <w:r w:rsidR="004C593C">
        <w:rPr>
          <w:rFonts w:hint="cs"/>
          <w:rtl/>
        </w:rPr>
        <w:t>ובתוספות (כתובות יז ע"א ד"ה מבטלין תלמוד תורה) מובאת דעתו של רבי יהודה מ</w:t>
      </w:r>
      <w:r w:rsidR="004C593C">
        <w:rPr>
          <w:rtl/>
        </w:rPr>
        <w:t xml:space="preserve">קורביל </w:t>
      </w:r>
      <w:r w:rsidR="004C593C">
        <w:rPr>
          <w:rFonts w:hint="cs"/>
          <w:rtl/>
        </w:rPr>
        <w:t>שטעותו של ר' עקיבא הייתה שביטל תורה ונמנע משימוש תלמידי חכמים ואילו היה קובר אותו במקום, היה מגיע קודם לבית המדרש (ראה הסכמה לשיטה זו ב</w:t>
      </w:r>
      <w:r w:rsidR="004C593C">
        <w:rPr>
          <w:rtl/>
        </w:rPr>
        <w:t>מגן שאול הלכות נזקי ממון פרק ה</w:t>
      </w:r>
      <w:r w:rsidR="004C593C">
        <w:rPr>
          <w:rFonts w:hint="cs"/>
          <w:rtl/>
        </w:rPr>
        <w:t>: "</w:t>
      </w:r>
      <w:r w:rsidR="004C593C">
        <w:rPr>
          <w:rtl/>
        </w:rPr>
        <w:t xml:space="preserve">שהיה לו לקוברו לצדדין </w:t>
      </w:r>
      <w:r w:rsidR="004C593C">
        <w:rPr>
          <w:rFonts w:hint="cs"/>
          <w:rtl/>
        </w:rPr>
        <w:t xml:space="preserve">... </w:t>
      </w:r>
      <w:r w:rsidR="004C593C">
        <w:rPr>
          <w:rtl/>
        </w:rPr>
        <w:t>ולא שיוליכו ד' מלין לבית הקברות שהוא רחוק הרבה ונמנעו על ידי זה משמוש ת</w:t>
      </w:r>
      <w:r w:rsidR="004C593C">
        <w:rPr>
          <w:rFonts w:hint="cs"/>
          <w:rtl/>
        </w:rPr>
        <w:t xml:space="preserve">למידי חכמים"). </w:t>
      </w:r>
      <w:r>
        <w:rPr>
          <w:rFonts w:hint="cs"/>
          <w:rtl/>
        </w:rPr>
        <w:t>ו</w:t>
      </w:r>
      <w:r w:rsidR="004C593C">
        <w:rPr>
          <w:rFonts w:hint="cs"/>
          <w:rtl/>
        </w:rPr>
        <w:t>נראה ש</w:t>
      </w:r>
      <w:r>
        <w:rPr>
          <w:rFonts w:hint="cs"/>
          <w:rtl/>
        </w:rPr>
        <w:t>יש לערוך סיפור זה</w:t>
      </w:r>
      <w:r w:rsidR="004C593C">
        <w:rPr>
          <w:rFonts w:hint="cs"/>
          <w:rtl/>
        </w:rPr>
        <w:t>, שרבים וטובים הבינו אותו כפשוטו,</w:t>
      </w:r>
      <w:r>
        <w:rPr>
          <w:rFonts w:hint="cs"/>
          <w:rtl/>
        </w:rPr>
        <w:t xml:space="preserve"> מול כל </w:t>
      </w:r>
      <w:r w:rsidR="00E12A06">
        <w:rPr>
          <w:rFonts w:hint="cs"/>
          <w:rtl/>
        </w:rPr>
        <w:t>המקורות ש</w:t>
      </w:r>
      <w:r>
        <w:rPr>
          <w:rFonts w:hint="cs"/>
          <w:rtl/>
        </w:rPr>
        <w:t xml:space="preserve">הבאנו </w:t>
      </w:r>
      <w:r w:rsidR="00E12A06">
        <w:rPr>
          <w:rFonts w:hint="cs"/>
          <w:rtl/>
        </w:rPr>
        <w:t xml:space="preserve">בהערה הקודמת, </w:t>
      </w:r>
      <w:r>
        <w:rPr>
          <w:rFonts w:hint="cs"/>
          <w:rtl/>
        </w:rPr>
        <w:t>שניתן לפנות מת מצווה</w:t>
      </w:r>
      <w:r w:rsidR="00E12A06">
        <w:rPr>
          <w:rFonts w:hint="cs"/>
          <w:rtl/>
        </w:rPr>
        <w:t xml:space="preserve"> </w:t>
      </w:r>
      <w:r>
        <w:rPr>
          <w:rFonts w:hint="cs"/>
          <w:rtl/>
        </w:rPr>
        <w:t>בגדרים מסוימים</w:t>
      </w:r>
      <w:r w:rsidR="00E12A06">
        <w:rPr>
          <w:rFonts w:hint="cs"/>
          <w:rtl/>
        </w:rPr>
        <w:t xml:space="preserve">, בפרט דברי תורת חיים, </w:t>
      </w:r>
      <w:r>
        <w:rPr>
          <w:rFonts w:hint="cs"/>
          <w:rtl/>
        </w:rPr>
        <w:t>ו</w:t>
      </w:r>
      <w:r w:rsidR="00CE5C8E">
        <w:rPr>
          <w:rFonts w:hint="cs"/>
          <w:rtl/>
        </w:rPr>
        <w:t>אפשר שתחילה יש לקבור את מת המצווה במקומו, מסיבות שנראה להלן, ורק אח"כ, כשישכך הדבר, ניתן לפנות</w:t>
      </w:r>
      <w:r w:rsidR="00454F56">
        <w:rPr>
          <w:rFonts w:hint="cs"/>
          <w:rtl/>
        </w:rPr>
        <w:t>ו</w:t>
      </w:r>
      <w:r w:rsidR="00CE5C8E">
        <w:rPr>
          <w:rFonts w:hint="cs"/>
          <w:rtl/>
        </w:rPr>
        <w:t>. ו</w:t>
      </w:r>
      <w:r>
        <w:rPr>
          <w:rFonts w:hint="cs"/>
          <w:rtl/>
        </w:rPr>
        <w:t>צריך עיון.</w:t>
      </w:r>
      <w:r w:rsidR="00A252DE">
        <w:rPr>
          <w:rFonts w:hint="cs"/>
          <w:rtl/>
        </w:rPr>
        <w:t xml:space="preserve"> ועכ"פ, לימים גדל ר' עקיבא בתורה עד ש</w:t>
      </w:r>
      <w:r w:rsidR="00697AE8">
        <w:rPr>
          <w:rFonts w:hint="cs"/>
          <w:rtl/>
        </w:rPr>
        <w:t xml:space="preserve">לא היסס לחלוק על </w:t>
      </w:r>
      <w:r w:rsidR="00A252DE">
        <w:rPr>
          <w:rFonts w:hint="cs"/>
          <w:rtl/>
        </w:rPr>
        <w:t>ר' יהושע ור' אליעזר רבותיו</w:t>
      </w:r>
      <w:r w:rsidR="00697AE8">
        <w:rPr>
          <w:rFonts w:hint="cs"/>
          <w:rtl/>
        </w:rPr>
        <w:t>,</w:t>
      </w:r>
      <w:r w:rsidR="00A252DE">
        <w:rPr>
          <w:rFonts w:hint="cs"/>
          <w:rtl/>
        </w:rPr>
        <w:t xml:space="preserve"> כפי שניתן ללמוד ממספר </w:t>
      </w:r>
      <w:r w:rsidR="00697AE8">
        <w:rPr>
          <w:rFonts w:hint="cs"/>
          <w:rtl/>
        </w:rPr>
        <w:t xml:space="preserve">רב של </w:t>
      </w:r>
      <w:r w:rsidR="00A252DE">
        <w:rPr>
          <w:rFonts w:hint="cs"/>
          <w:rtl/>
        </w:rPr>
        <w:t>מקומות. ראה</w:t>
      </w:r>
      <w:r w:rsidR="00697AE8">
        <w:rPr>
          <w:rFonts w:hint="cs"/>
          <w:rtl/>
        </w:rPr>
        <w:t xml:space="preserve"> המשל ב</w:t>
      </w:r>
      <w:r w:rsidR="00697AE8">
        <w:rPr>
          <w:rtl/>
        </w:rPr>
        <w:t>אבות דרבי נתן נוסח א פרק ו</w:t>
      </w:r>
      <w:r w:rsidR="00697AE8">
        <w:rPr>
          <w:rFonts w:hint="cs"/>
          <w:rtl/>
        </w:rPr>
        <w:t xml:space="preserve"> על ר"ע שעוקר את הסלע הגדול ומטילו לירדן בנוכחות שני רבותיו: "</w:t>
      </w:r>
      <w:r w:rsidR="00697AE8">
        <w:rPr>
          <w:rtl/>
        </w:rPr>
        <w:t>אין זה מקומך אלא מקום זה. כך עשה להם ר' עקיבא לר' אליעזר ולר' יהושע</w:t>
      </w:r>
      <w:r w:rsidR="00697AE8">
        <w:rPr>
          <w:rFonts w:hint="cs"/>
          <w:rtl/>
        </w:rPr>
        <w:t>" ובמ</w:t>
      </w:r>
      <w:r w:rsidR="00697AE8">
        <w:rPr>
          <w:rtl/>
        </w:rPr>
        <w:t>סכת כלה פרק א הלכה טז</w:t>
      </w:r>
      <w:r w:rsidR="00697AE8">
        <w:rPr>
          <w:rFonts w:hint="cs"/>
          <w:rtl/>
        </w:rPr>
        <w:t xml:space="preserve"> בדיון על שני התינוקות: "</w:t>
      </w:r>
      <w:r w:rsidR="00697AE8">
        <w:rPr>
          <w:rtl/>
        </w:rPr>
        <w:t>ר' אליעזר אומר ממזר, ר' יהושע אומר בן הנדה, ר' עקיבא אומר ממזר ובן הנדה</w:t>
      </w:r>
      <w:r w:rsidR="00697AE8">
        <w:rPr>
          <w:rFonts w:hint="cs"/>
          <w:rtl/>
        </w:rPr>
        <w:t>.</w:t>
      </w:r>
      <w:r w:rsidR="00697AE8">
        <w:rPr>
          <w:rtl/>
        </w:rPr>
        <w:t xml:space="preserve"> אמרו לו לר' עקיבא</w:t>
      </w:r>
      <w:r w:rsidR="00697AE8">
        <w:rPr>
          <w:rFonts w:hint="cs"/>
          <w:rtl/>
        </w:rPr>
        <w:t>:</w:t>
      </w:r>
      <w:r w:rsidR="00697AE8">
        <w:rPr>
          <w:rtl/>
        </w:rPr>
        <w:t xml:space="preserve"> היאך מלאך לבך לעבור על דברי חביריך</w:t>
      </w:r>
      <w:r w:rsidR="00697AE8">
        <w:rPr>
          <w:rFonts w:hint="cs"/>
          <w:rtl/>
        </w:rPr>
        <w:t>?</w:t>
      </w:r>
      <w:r w:rsidR="00697AE8">
        <w:rPr>
          <w:rtl/>
        </w:rPr>
        <w:t xml:space="preserve"> אמר להן</w:t>
      </w:r>
      <w:r w:rsidR="00697AE8">
        <w:rPr>
          <w:rFonts w:hint="cs"/>
          <w:rtl/>
        </w:rPr>
        <w:t>:</w:t>
      </w:r>
      <w:r w:rsidR="00697AE8">
        <w:rPr>
          <w:rtl/>
        </w:rPr>
        <w:t xml:space="preserve"> זה אני אקיימנו</w:t>
      </w:r>
      <w:r w:rsidR="00697AE8">
        <w:rPr>
          <w:rFonts w:hint="cs"/>
          <w:rtl/>
        </w:rPr>
        <w:t>".</w:t>
      </w:r>
    </w:p>
  </w:footnote>
  <w:footnote w:id="20">
    <w:p w14:paraId="48249482" w14:textId="77777777" w:rsidR="00EF24D5" w:rsidRDefault="00EF24D5" w:rsidP="00E12A06">
      <w:pPr>
        <w:pStyle w:val="a3"/>
        <w:rPr>
          <w:rFonts w:hint="cs"/>
          <w:rtl/>
        </w:rPr>
      </w:pPr>
      <w:r>
        <w:rPr>
          <w:rStyle w:val="a5"/>
        </w:rPr>
        <w:footnoteRef/>
      </w:r>
      <w:r>
        <w:rPr>
          <w:rtl/>
        </w:rPr>
        <w:t xml:space="preserve"> </w:t>
      </w:r>
      <w:r>
        <w:rPr>
          <w:rFonts w:hint="cs"/>
          <w:rtl/>
        </w:rPr>
        <w:t xml:space="preserve">מספר מקורות, </w:t>
      </w:r>
      <w:r w:rsidR="00E12A06">
        <w:rPr>
          <w:rFonts w:hint="cs"/>
          <w:rtl/>
        </w:rPr>
        <w:t xml:space="preserve">המשקפים </w:t>
      </w:r>
      <w:r>
        <w:rPr>
          <w:rFonts w:hint="cs"/>
          <w:rtl/>
        </w:rPr>
        <w:t>אולי גם מספר אירועים שונים</w:t>
      </w:r>
      <w:r w:rsidR="00E12A06">
        <w:rPr>
          <w:rFonts w:hint="cs"/>
          <w:rtl/>
        </w:rPr>
        <w:t>,</w:t>
      </w:r>
      <w:r>
        <w:rPr>
          <w:rFonts w:hint="cs"/>
          <w:rtl/>
        </w:rPr>
        <w:t xml:space="preserve"> יש לנו על תפיסתו של ר' עקיבא בבית הסוהר (אולי בעקבות מרד בר כוכבא), עירובין כא ע"ב (המקור לסיפור שכאן), ברכות סא ע"ב (עם פפוס בן יהודה והמשל על השועל והדגים), תוספתא סנהדרין פרק ב הלכה ח (ר' עקיבא </w:t>
      </w:r>
      <w:r w:rsidR="00E12A06">
        <w:rPr>
          <w:rFonts w:hint="cs"/>
          <w:rtl/>
        </w:rPr>
        <w:t xml:space="preserve">עיבר </w:t>
      </w:r>
      <w:r>
        <w:rPr>
          <w:rFonts w:hint="cs"/>
          <w:rtl/>
        </w:rPr>
        <w:t xml:space="preserve">שלוש שנים ברצף בהיותו בבית הסוהר), פסחים קיב ע"א (כשר' </w:t>
      </w:r>
      <w:smartTag w:uri="urn:schemas-microsoft-com:office:smarttags" w:element="PersonName">
        <w:r>
          <w:rPr>
            <w:rFonts w:hint="cs"/>
            <w:rtl/>
          </w:rPr>
          <w:t>שמעון</w:t>
        </w:r>
      </w:smartTag>
      <w:r>
        <w:rPr>
          <w:rFonts w:hint="cs"/>
          <w:rtl/>
        </w:rPr>
        <w:t xml:space="preserve"> בר יוחאי משמש לפניו</w:t>
      </w:r>
      <w:r w:rsidR="00E12A06">
        <w:rPr>
          <w:rFonts w:hint="cs"/>
          <w:rtl/>
        </w:rPr>
        <w:t xml:space="preserve"> וכופה עליו ללמדו תורה</w:t>
      </w:r>
      <w:r>
        <w:rPr>
          <w:rFonts w:hint="cs"/>
          <w:rtl/>
        </w:rPr>
        <w:t xml:space="preserve">). והבאנו מקור זה, שהוא עיבוד של הגמרא בעירובין כא, </w:t>
      </w:r>
      <w:r w:rsidR="00E12A06">
        <w:rPr>
          <w:rFonts w:hint="cs"/>
          <w:rtl/>
        </w:rPr>
        <w:t>ו</w:t>
      </w:r>
      <w:r>
        <w:rPr>
          <w:rFonts w:hint="cs"/>
          <w:rtl/>
        </w:rPr>
        <w:t>בשל הקשר למת מצווה וההרחבה של דין זה לצדיקים.</w:t>
      </w:r>
    </w:p>
  </w:footnote>
  <w:footnote w:id="21">
    <w:p w14:paraId="3E622521" w14:textId="77777777" w:rsidR="00EF24D5" w:rsidRDefault="00EF24D5" w:rsidP="00697AE8">
      <w:pPr>
        <w:pStyle w:val="a3"/>
        <w:rPr>
          <w:rFonts w:hint="cs"/>
          <w:rtl/>
        </w:rPr>
      </w:pPr>
      <w:r>
        <w:rPr>
          <w:rStyle w:val="a5"/>
        </w:rPr>
        <w:footnoteRef/>
      </w:r>
      <w:r>
        <w:rPr>
          <w:rtl/>
        </w:rPr>
        <w:t xml:space="preserve"> </w:t>
      </w:r>
      <w:r>
        <w:rPr>
          <w:rFonts w:hint="cs"/>
          <w:rtl/>
        </w:rPr>
        <w:t xml:space="preserve">בקטע זה השמטנו את הסיפור על קבורתו של ר' עקיבא לצידה של אשתו של </w:t>
      </w:r>
      <w:r w:rsidR="00697AE8">
        <w:rPr>
          <w:rFonts w:hint="cs"/>
          <w:rtl/>
        </w:rPr>
        <w:t xml:space="preserve">טורנוסרופוס </w:t>
      </w:r>
      <w:r>
        <w:rPr>
          <w:rFonts w:hint="cs"/>
          <w:rtl/>
        </w:rPr>
        <w:t>הרשע. ראה במקור שם</w:t>
      </w:r>
      <w:r w:rsidR="00697AE8">
        <w:rPr>
          <w:rFonts w:hint="cs"/>
          <w:rtl/>
        </w:rPr>
        <w:t xml:space="preserve"> וכן דברינו </w:t>
      </w:r>
      <w:hyperlink r:id="rId5" w:history="1">
        <w:r w:rsidR="00697AE8" w:rsidRPr="00007713">
          <w:rPr>
            <w:rStyle w:val="Hyperlink"/>
            <w:rFonts w:hint="cs"/>
            <w:rtl/>
          </w:rPr>
          <w:t>רבי עקיבא וטורנוסרופוס</w:t>
        </w:r>
      </w:hyperlink>
      <w:r w:rsidR="00697AE8">
        <w:rPr>
          <w:rFonts w:hint="cs"/>
          <w:rtl/>
        </w:rPr>
        <w:t xml:space="preserve"> בפרשת תזריע</w:t>
      </w:r>
      <w:r>
        <w:rPr>
          <w:rFonts w:hint="cs"/>
          <w:rtl/>
        </w:rPr>
        <w:t>.</w:t>
      </w:r>
    </w:p>
  </w:footnote>
  <w:footnote w:id="22">
    <w:p w14:paraId="56373E06" w14:textId="77777777" w:rsidR="00EF24D5" w:rsidRDefault="00EF24D5" w:rsidP="00F77AC0">
      <w:pPr>
        <w:pStyle w:val="a3"/>
        <w:rPr>
          <w:rFonts w:hint="cs"/>
          <w:rtl/>
        </w:rPr>
      </w:pPr>
      <w:r>
        <w:rPr>
          <w:rStyle w:val="a5"/>
        </w:rPr>
        <w:footnoteRef/>
      </w:r>
      <w:r>
        <w:rPr>
          <w:rtl/>
        </w:rPr>
        <w:t xml:space="preserve"> </w:t>
      </w:r>
      <w:r>
        <w:rPr>
          <w:rFonts w:hint="cs"/>
          <w:rtl/>
        </w:rPr>
        <w:t>ראה איזה חירות נטל לו בעל מדרש זה השוזר את שתי האמירות שראינו בויקרא רבה בתחילת דברינו, עם הסיפור של תפיסת ר' עקיבא שבגמרא עירובין כא</w:t>
      </w:r>
      <w:r w:rsidR="00F77AC0">
        <w:rPr>
          <w:rFonts w:hint="cs"/>
          <w:rtl/>
        </w:rPr>
        <w:t xml:space="preserve">. בכך הוא </w:t>
      </w:r>
      <w:r>
        <w:rPr>
          <w:rFonts w:hint="cs"/>
          <w:rtl/>
        </w:rPr>
        <w:t>אולי גם מרמז לכל המקורות לעיל על תחילת שימושו של ר' עקיבא וחטאו במת מצווה, ויוצר מדרש חדש ומפתיע המרשה או אפילו מצווה לכהנים להיטמא ולהשתתף בקבורת צדיקים שהם מעין מת מצווה. אלא שבא</w:t>
      </w:r>
      <w:r w:rsidR="00E12A06">
        <w:rPr>
          <w:rFonts w:hint="cs"/>
          <w:rtl/>
        </w:rPr>
        <w:t>מ</w:t>
      </w:r>
      <w:r>
        <w:rPr>
          <w:rFonts w:hint="cs"/>
          <w:rtl/>
        </w:rPr>
        <w:t>ת, אין כאן הפתעה</w:t>
      </w:r>
      <w:r w:rsidR="00E12A06">
        <w:rPr>
          <w:rFonts w:hint="cs"/>
          <w:rtl/>
        </w:rPr>
        <w:t xml:space="preserve"> </w:t>
      </w:r>
      <w:r>
        <w:rPr>
          <w:rFonts w:hint="cs"/>
          <w:rtl/>
        </w:rPr>
        <w:t>גמורה</w:t>
      </w:r>
      <w:r w:rsidR="00E12A06">
        <w:rPr>
          <w:rFonts w:hint="cs"/>
          <w:rtl/>
        </w:rPr>
        <w:t>,</w:t>
      </w:r>
      <w:r>
        <w:rPr>
          <w:rFonts w:hint="cs"/>
          <w:rtl/>
        </w:rPr>
        <w:t xml:space="preserve"> שכן לעניין השתתפות כהנים בלוויות אנשים חשובים</w:t>
      </w:r>
      <w:r w:rsidR="00E12A06">
        <w:rPr>
          <w:rFonts w:hint="cs"/>
          <w:rtl/>
        </w:rPr>
        <w:t>,</w:t>
      </w:r>
      <w:r>
        <w:rPr>
          <w:rFonts w:hint="cs"/>
          <w:rtl/>
        </w:rPr>
        <w:t xml:space="preserve"> מתבסס מדרש זה על הירושלמי</w:t>
      </w:r>
      <w:r w:rsidRPr="00ED0211">
        <w:rPr>
          <w:rtl/>
        </w:rPr>
        <w:t xml:space="preserve"> </w:t>
      </w:r>
      <w:r>
        <w:rPr>
          <w:rFonts w:hint="cs"/>
          <w:rtl/>
        </w:rPr>
        <w:t>ב</w:t>
      </w:r>
      <w:r>
        <w:rPr>
          <w:rtl/>
        </w:rPr>
        <w:t xml:space="preserve">מסכת נזיר פרק ז </w:t>
      </w:r>
      <w:r>
        <w:rPr>
          <w:rFonts w:hint="cs"/>
          <w:rtl/>
        </w:rPr>
        <w:t>הלכה א שכבר ראינו לעיל במספר מקומות המדבר בכמות האנשים שצריכים לטפל במת מצווה על מנת לפטור את הכהן:</w:t>
      </w:r>
      <w:r w:rsidRPr="00CC2888">
        <w:rPr>
          <w:rtl/>
        </w:rPr>
        <w:t xml:space="preserve"> </w:t>
      </w:r>
      <w:r>
        <w:rPr>
          <w:rFonts w:hint="cs"/>
          <w:rtl/>
        </w:rPr>
        <w:t>"</w:t>
      </w:r>
      <w:r>
        <w:rPr>
          <w:rtl/>
        </w:rPr>
        <w:t>עד היכן</w:t>
      </w:r>
      <w:r>
        <w:rPr>
          <w:rFonts w:hint="cs"/>
          <w:rtl/>
        </w:rPr>
        <w:t>?</w:t>
      </w:r>
      <w:r>
        <w:rPr>
          <w:rtl/>
        </w:rPr>
        <w:t xml:space="preserve"> עד כדי נושאי המיטה וחילופיהן וחילופי חילופיהן</w:t>
      </w:r>
      <w:r>
        <w:rPr>
          <w:rFonts w:hint="cs"/>
          <w:rtl/>
        </w:rPr>
        <w:t xml:space="preserve">". משם ממשיך הירושלמי לדון באנשים שלכבודם צריך הרבה מלווים ובעצם אין גבול וכל אחד </w:t>
      </w:r>
      <w:r w:rsidR="00E12A06">
        <w:rPr>
          <w:rFonts w:hint="cs"/>
          <w:rtl/>
        </w:rPr>
        <w:t xml:space="preserve">נחשב </w:t>
      </w:r>
      <w:r>
        <w:rPr>
          <w:rFonts w:hint="cs"/>
          <w:rtl/>
        </w:rPr>
        <w:t xml:space="preserve">כאילו </w:t>
      </w:r>
      <w:r w:rsidR="00E12A06">
        <w:rPr>
          <w:rFonts w:hint="cs"/>
          <w:rtl/>
        </w:rPr>
        <w:t xml:space="preserve">הוא </w:t>
      </w:r>
      <w:r>
        <w:rPr>
          <w:rFonts w:hint="cs"/>
          <w:rtl/>
        </w:rPr>
        <w:t>מלווה יחיד: "</w:t>
      </w:r>
      <w:r>
        <w:rPr>
          <w:rtl/>
        </w:rPr>
        <w:t>והנשיא כבודו לכן</w:t>
      </w:r>
      <w:r>
        <w:rPr>
          <w:rFonts w:hint="cs"/>
          <w:rtl/>
        </w:rPr>
        <w:t>.</w:t>
      </w:r>
      <w:r>
        <w:rPr>
          <w:rtl/>
        </w:rPr>
        <w:t xml:space="preserve"> ומהו שיטמא כהן לכבוד הנשיא</w:t>
      </w:r>
      <w:r>
        <w:rPr>
          <w:rFonts w:hint="cs"/>
          <w:rtl/>
        </w:rPr>
        <w:t>?</w:t>
      </w:r>
      <w:r>
        <w:rPr>
          <w:rtl/>
        </w:rPr>
        <w:t xml:space="preserve"> כד דמך ר' יודן נשייא אכריז רבי ינאי ואמ</w:t>
      </w:r>
      <w:r>
        <w:rPr>
          <w:rFonts w:hint="cs"/>
          <w:rtl/>
        </w:rPr>
        <w:t>ר:</w:t>
      </w:r>
      <w:r>
        <w:rPr>
          <w:rtl/>
        </w:rPr>
        <w:t xml:space="preserve"> אין כהונה היום</w:t>
      </w:r>
      <w:r>
        <w:rPr>
          <w:rFonts w:hint="cs"/>
          <w:rtl/>
        </w:rPr>
        <w:t>.</w:t>
      </w:r>
      <w:r>
        <w:rPr>
          <w:rtl/>
        </w:rPr>
        <w:t xml:space="preserve"> כד דמך ר' יודן נשייא בר בריה דרבי יודן נשייא דחף רבי חייה לרבי זעירא בר בא בכנישתא דגופנא דציפורין ומסאביה</w:t>
      </w:r>
      <w:r w:rsidR="00F77AC0">
        <w:rPr>
          <w:rFonts w:hint="cs"/>
          <w:rtl/>
        </w:rPr>
        <w:t xml:space="preserve"> (וטמאו) ... </w:t>
      </w:r>
      <w:r>
        <w:rPr>
          <w:rtl/>
        </w:rPr>
        <w:t>אמר רבי נסא</w:t>
      </w:r>
      <w:r>
        <w:rPr>
          <w:rFonts w:hint="cs"/>
          <w:rtl/>
        </w:rPr>
        <w:t>:</w:t>
      </w:r>
      <w:r>
        <w:rPr>
          <w:rtl/>
        </w:rPr>
        <w:t xml:space="preserve"> במיתתן עשו אותן כמת מצוה</w:t>
      </w:r>
      <w:r w:rsidR="00932FBE">
        <w:rPr>
          <w:rFonts w:hint="cs"/>
          <w:rtl/>
        </w:rPr>
        <w:t>"</w:t>
      </w:r>
      <w:r>
        <w:rPr>
          <w:rFonts w:hint="cs"/>
          <w:rtl/>
        </w:rPr>
        <w:t>.</w:t>
      </w:r>
      <w:r>
        <w:rPr>
          <w:rtl/>
        </w:rPr>
        <w:t xml:space="preserve"> </w:t>
      </w:r>
      <w:r>
        <w:rPr>
          <w:rFonts w:hint="cs"/>
          <w:rtl/>
        </w:rPr>
        <w:t>אפשר שהשתנו דברים אחר החורבן כשלא הייתה טהרה לטומאת מת וכולם בעצם טמאים בלאו הכי (</w:t>
      </w:r>
      <w:r w:rsidR="00F77AC0">
        <w:rPr>
          <w:rFonts w:hint="cs"/>
          <w:rtl/>
        </w:rPr>
        <w:t>אבל "</w:t>
      </w:r>
      <w:r>
        <w:rPr>
          <w:rFonts w:hint="cs"/>
          <w:rtl/>
        </w:rPr>
        <w:t>אין להוסיף טומאה על טומאה</w:t>
      </w:r>
      <w:r w:rsidR="00F77AC0">
        <w:rPr>
          <w:rFonts w:hint="cs"/>
          <w:rtl/>
        </w:rPr>
        <w:t>"</w:t>
      </w:r>
      <w:r>
        <w:rPr>
          <w:rFonts w:hint="cs"/>
          <w:rtl/>
        </w:rPr>
        <w:t xml:space="preserve"> ולכן בכ"ז יש כאן חידוש).</w:t>
      </w:r>
      <w:r w:rsidR="00454F56">
        <w:rPr>
          <w:rFonts w:hint="cs"/>
          <w:rtl/>
        </w:rPr>
        <w:t xml:space="preserve"> ראה בהמשך הירושלמי שם שכהנים מיטמאים גם למטרות אחרות: "</w:t>
      </w:r>
      <w:r w:rsidR="00454F56">
        <w:rPr>
          <w:rtl/>
        </w:rPr>
        <w:t>תני</w:t>
      </w:r>
      <w:r w:rsidR="00007713">
        <w:rPr>
          <w:rFonts w:hint="cs"/>
          <w:rtl/>
        </w:rPr>
        <w:t>:</w:t>
      </w:r>
      <w:r w:rsidR="00454F56">
        <w:rPr>
          <w:rtl/>
        </w:rPr>
        <w:t xml:space="preserve"> מיטמא הוא כהן ויוצא לחוץ לארץ לדיני ממונות ודיני נפשות ולקידוש החדש ולעיבור השנה ולהציל שדה מן הגוי וללמוד תורה ולשאת אשה</w:t>
      </w:r>
      <w:r w:rsidR="00454F56">
        <w:rPr>
          <w:rFonts w:hint="cs"/>
          <w:rtl/>
        </w:rPr>
        <w:t>.</w:t>
      </w:r>
      <w:r w:rsidR="00454F56">
        <w:rPr>
          <w:rtl/>
        </w:rPr>
        <w:t xml:space="preserve"> רבי יודה אומר</w:t>
      </w:r>
      <w:r w:rsidR="00007713">
        <w:rPr>
          <w:rFonts w:hint="cs"/>
          <w:rtl/>
        </w:rPr>
        <w:t>:</w:t>
      </w:r>
      <w:r w:rsidR="00454F56">
        <w:rPr>
          <w:rtl/>
        </w:rPr>
        <w:t xml:space="preserve"> אם יש לו מאין ללמוד אל יטמא</w:t>
      </w:r>
      <w:r w:rsidR="00007713">
        <w:rPr>
          <w:rFonts w:hint="cs"/>
          <w:rtl/>
        </w:rPr>
        <w:t>.</w:t>
      </w:r>
      <w:r w:rsidR="00454F56">
        <w:rPr>
          <w:rtl/>
        </w:rPr>
        <w:t xml:space="preserve"> רבי יוסי אומר</w:t>
      </w:r>
      <w:r w:rsidR="00007713">
        <w:rPr>
          <w:rFonts w:hint="cs"/>
          <w:rtl/>
        </w:rPr>
        <w:t>:</w:t>
      </w:r>
      <w:r w:rsidR="00454F56">
        <w:rPr>
          <w:rtl/>
        </w:rPr>
        <w:t xml:space="preserve"> אפילו יש לו מאין ללמוד</w:t>
      </w:r>
      <w:r w:rsidR="00007713">
        <w:rPr>
          <w:rFonts w:hint="cs"/>
          <w:rtl/>
        </w:rPr>
        <w:t xml:space="preserve"> </w:t>
      </w:r>
      <w:r w:rsidR="00007713">
        <w:rPr>
          <w:rtl/>
        </w:rPr>
        <w:t>–</w:t>
      </w:r>
      <w:r w:rsidR="00454F56">
        <w:rPr>
          <w:rtl/>
        </w:rPr>
        <w:t xml:space="preserve"> יטמא</w:t>
      </w:r>
      <w:r w:rsidR="00007713">
        <w:rPr>
          <w:rFonts w:hint="cs"/>
          <w:rtl/>
        </w:rPr>
        <w:t>,</w:t>
      </w:r>
      <w:r w:rsidR="00454F56">
        <w:rPr>
          <w:rtl/>
        </w:rPr>
        <w:t xml:space="preserve"> שלא מהכל אדם זוכה ללמוד</w:t>
      </w:r>
      <w:r w:rsidR="00454F56">
        <w:rPr>
          <w:rFonts w:hint="cs"/>
          <w:rtl/>
        </w:rPr>
        <w:t>.</w:t>
      </w:r>
      <w:r w:rsidR="00454F56">
        <w:rPr>
          <w:rtl/>
        </w:rPr>
        <w:t xml:space="preserve"> אמרו עליו על רבי יוסף כהן שהיה יוצא אחר רבו ומיטמא אחר רבו לציידן</w:t>
      </w:r>
      <w:r w:rsidR="00454F56">
        <w:rPr>
          <w:rFonts w:hint="cs"/>
          <w:rtl/>
        </w:rPr>
        <w:t>". זה אותו יוסף הכהן (</w:t>
      </w:r>
      <w:r w:rsidR="00454F56">
        <w:rPr>
          <w:rFonts w:hint="cs"/>
          <w:rtl/>
          <w:lang w:eastAsia="en-US"/>
        </w:rPr>
        <w:t>ב</w:t>
      </w:r>
      <w:r w:rsidR="00454F56">
        <w:rPr>
          <w:rFonts w:hint="cs"/>
          <w:rtl/>
        </w:rPr>
        <w:t xml:space="preserve">גמרא </w:t>
      </w:r>
      <w:r w:rsidR="00454F56">
        <w:rPr>
          <w:rtl/>
          <w:lang w:eastAsia="en-US"/>
        </w:rPr>
        <w:t>זבחים ק ע</w:t>
      </w:r>
      <w:r w:rsidR="00454F56">
        <w:rPr>
          <w:rFonts w:hint="cs"/>
          <w:rtl/>
          <w:lang w:eastAsia="en-US"/>
        </w:rPr>
        <w:t xml:space="preserve">"א שהבאנו בסוף הערה </w:t>
      </w:r>
      <w:r w:rsidR="00D06EDF">
        <w:rPr>
          <w:rFonts w:hint="cs"/>
          <w:rtl/>
          <w:lang w:eastAsia="en-US"/>
        </w:rPr>
        <w:t>1</w:t>
      </w:r>
      <w:r w:rsidR="00454F56">
        <w:rPr>
          <w:rFonts w:hint="cs"/>
          <w:rtl/>
          <w:lang w:eastAsia="en-US"/>
        </w:rPr>
        <w:t xml:space="preserve">) שלא רצה להיטמא לאשתו בערב </w:t>
      </w:r>
      <w:r w:rsidR="00454F56">
        <w:rPr>
          <w:rtl/>
          <w:lang w:eastAsia="en-US"/>
        </w:rPr>
        <w:t xml:space="preserve">פסח </w:t>
      </w:r>
      <w:r w:rsidR="00454F56">
        <w:rPr>
          <w:rFonts w:hint="cs"/>
          <w:rtl/>
          <w:lang w:eastAsia="en-US"/>
        </w:rPr>
        <w:t xml:space="preserve">והכריחו אותו </w:t>
      </w:r>
      <w:r w:rsidR="00454F56">
        <w:rPr>
          <w:rtl/>
          <w:lang w:eastAsia="en-US"/>
        </w:rPr>
        <w:t>אחיו הכהנים וטימאוהו בעל כ</w:t>
      </w:r>
      <w:r w:rsidR="00594E03">
        <w:rPr>
          <w:rFonts w:hint="cs"/>
          <w:rtl/>
          <w:lang w:eastAsia="en-US"/>
        </w:rPr>
        <w:t>ו</w:t>
      </w:r>
      <w:r w:rsidR="00454F56">
        <w:rPr>
          <w:rtl/>
          <w:lang w:eastAsia="en-US"/>
        </w:rPr>
        <w:t>רחו</w:t>
      </w:r>
      <w:r w:rsidR="00454F56">
        <w:rPr>
          <w:rFonts w:hint="cs"/>
          <w:rtl/>
          <w:lang w:eastAsia="en-US"/>
        </w:rPr>
        <w:t xml:space="preserve">. </w:t>
      </w:r>
      <w:r w:rsidR="00F77AC0">
        <w:rPr>
          <w:rFonts w:hint="cs"/>
          <w:rtl/>
        </w:rPr>
        <w:t xml:space="preserve">וכבר הקדשנו דף מיוחד לנושא </w:t>
      </w:r>
      <w:hyperlink r:id="rId6" w:history="1">
        <w:r w:rsidR="00F77AC0" w:rsidRPr="00F77AC0">
          <w:rPr>
            <w:rStyle w:val="Hyperlink"/>
            <w:rFonts w:hint="cs"/>
            <w:rtl/>
          </w:rPr>
          <w:t>אין טומאה לצדיקים</w:t>
        </w:r>
      </w:hyperlink>
      <w:r w:rsidR="00F77AC0">
        <w:rPr>
          <w:rFonts w:hint="cs"/>
          <w:rtl/>
        </w:rPr>
        <w:t xml:space="preserve"> בדפים המיוחדים.</w:t>
      </w:r>
      <w:r w:rsidR="00454F56">
        <w:rPr>
          <w:rFonts w:hint="cs"/>
          <w:rtl/>
        </w:rPr>
        <w:t>.</w:t>
      </w:r>
    </w:p>
  </w:footnote>
  <w:footnote w:id="23">
    <w:p w14:paraId="2053609F" w14:textId="77777777" w:rsidR="00BC6B17" w:rsidRDefault="00BC6B17" w:rsidP="00601C7C">
      <w:pPr>
        <w:pStyle w:val="a3"/>
        <w:rPr>
          <w:rFonts w:hint="cs"/>
          <w:rtl/>
        </w:rPr>
      </w:pPr>
      <w:r>
        <w:rPr>
          <w:rStyle w:val="a5"/>
        </w:rPr>
        <w:footnoteRef/>
      </w:r>
      <w:r>
        <w:rPr>
          <w:rtl/>
        </w:rPr>
        <w:t xml:space="preserve"> </w:t>
      </w:r>
      <w:r w:rsidRPr="00BC6B17">
        <w:rPr>
          <w:rtl/>
        </w:rPr>
        <w:t>רבי יצחק יעקב וייס</w:t>
      </w:r>
      <w:r w:rsidR="00601C7C">
        <w:rPr>
          <w:rFonts w:hint="cs"/>
          <w:rtl/>
        </w:rPr>
        <w:t xml:space="preserve">, </w:t>
      </w:r>
      <w:r w:rsidRPr="00BC6B17">
        <w:rPr>
          <w:rtl/>
        </w:rPr>
        <w:t xml:space="preserve">פולין </w:t>
      </w:r>
      <w:r w:rsidR="00601C7C">
        <w:rPr>
          <w:rFonts w:hint="cs"/>
          <w:rtl/>
        </w:rPr>
        <w:t xml:space="preserve">190ג2 </w:t>
      </w:r>
      <w:r w:rsidR="00601C7C">
        <w:rPr>
          <w:rtl/>
        </w:rPr>
        <w:t>–</w:t>
      </w:r>
      <w:r w:rsidR="00601C7C">
        <w:rPr>
          <w:rFonts w:hint="cs"/>
          <w:rtl/>
        </w:rPr>
        <w:t xml:space="preserve"> ירושלים 1989. </w:t>
      </w:r>
      <w:r w:rsidRPr="00BC6B17">
        <w:rPr>
          <w:rtl/>
        </w:rPr>
        <w:t xml:space="preserve">בשנת </w:t>
      </w:r>
      <w:r w:rsidR="00601C7C">
        <w:rPr>
          <w:rFonts w:hint="cs"/>
          <w:rtl/>
        </w:rPr>
        <w:t xml:space="preserve">1948 </w:t>
      </w:r>
      <w:r w:rsidRPr="00BC6B17">
        <w:rPr>
          <w:rtl/>
        </w:rPr>
        <w:t xml:space="preserve">עבר לאנגליה ונהיה אב בית דין במנצ'סטר. בשנת </w:t>
      </w:r>
      <w:r w:rsidR="00601C7C">
        <w:rPr>
          <w:rFonts w:hint="cs"/>
          <w:rtl/>
        </w:rPr>
        <w:t xml:space="preserve">1970 </w:t>
      </w:r>
      <w:r w:rsidRPr="00BC6B17">
        <w:rPr>
          <w:rtl/>
        </w:rPr>
        <w:t xml:space="preserve">עלה לארץ ישראל, התיישב בירושלים וכיהן כאב בית דין </w:t>
      </w:r>
      <w:r w:rsidR="00601C7C">
        <w:rPr>
          <w:rFonts w:hint="cs"/>
          <w:rtl/>
        </w:rPr>
        <w:t>ש</w:t>
      </w:r>
      <w:r w:rsidRPr="00BC6B17">
        <w:rPr>
          <w:rtl/>
        </w:rPr>
        <w:t>ל</w:t>
      </w:r>
      <w:r w:rsidR="00601C7C">
        <w:rPr>
          <w:rFonts w:hint="cs"/>
          <w:rtl/>
        </w:rPr>
        <w:t xml:space="preserve"> ה</w:t>
      </w:r>
      <w:r w:rsidRPr="00BC6B17">
        <w:rPr>
          <w:rtl/>
        </w:rPr>
        <w:t xml:space="preserve">עדה החרדית. </w:t>
      </w:r>
    </w:p>
  </w:footnote>
  <w:footnote w:id="24">
    <w:p w14:paraId="39AE7194" w14:textId="77777777" w:rsidR="00601C7C" w:rsidRDefault="00601C7C" w:rsidP="0002010A">
      <w:pPr>
        <w:pStyle w:val="a3"/>
        <w:rPr>
          <w:rFonts w:hint="cs"/>
          <w:rtl/>
        </w:rPr>
      </w:pPr>
      <w:r>
        <w:rPr>
          <w:rStyle w:val="a5"/>
        </w:rPr>
        <w:footnoteRef/>
      </w:r>
      <w:r>
        <w:rPr>
          <w:rtl/>
        </w:rPr>
        <w:t xml:space="preserve"> </w:t>
      </w:r>
      <w:r>
        <w:rPr>
          <w:rFonts w:hint="cs"/>
          <w:rtl/>
        </w:rPr>
        <w:t xml:space="preserve">שם הוא מביא </w:t>
      </w:r>
      <w:r w:rsidR="0002010A">
        <w:rPr>
          <w:rFonts w:hint="cs"/>
          <w:rtl/>
        </w:rPr>
        <w:t xml:space="preserve">עוד </w:t>
      </w:r>
      <w:r>
        <w:rPr>
          <w:rFonts w:hint="cs"/>
          <w:rtl/>
        </w:rPr>
        <w:t xml:space="preserve">את דבריו של ים של שלמה (המהרש"ל) בבא קמא פרק ז תקנה י שהיה אולי הראשון להתיר פינוי קבר של מת מצווה (אם כי הוא מדבר שם בעיקר על חו"ל). ראה גם </w:t>
      </w:r>
      <w:r>
        <w:rPr>
          <w:rtl/>
        </w:rPr>
        <w:t>שו"ת פסקי עוזיאל בשאלות הזמן סימן לה</w:t>
      </w:r>
      <w:r>
        <w:rPr>
          <w:rFonts w:hint="cs"/>
          <w:rtl/>
        </w:rPr>
        <w:t>: "</w:t>
      </w:r>
      <w:r>
        <w:rPr>
          <w:rtl/>
        </w:rPr>
        <w:t>וכל שלא ידענו שהוא מת מצוה הרי הוא בחזקת רוב ככל המתים שאינם מת מצוה ומפנים אותו מקברו הגזול אפילו אם אין זה משום כפרה או כבוד</w:t>
      </w:r>
      <w:r>
        <w:rPr>
          <w:rFonts w:hint="cs"/>
          <w:rtl/>
        </w:rPr>
        <w:t>.</w:t>
      </w:r>
      <w:r>
        <w:rPr>
          <w:rtl/>
        </w:rPr>
        <w:t xml:space="preserve"> ולעולם מת מצוה נקבר במקום שנמצא בו או קרוב לו, ואחרי שנקבר מותר לפנותו מקברו להעלותו לא"י או לכבודו</w:t>
      </w:r>
      <w:r>
        <w:rPr>
          <w:rFonts w:hint="cs"/>
          <w:rtl/>
        </w:rPr>
        <w:t>"</w:t>
      </w:r>
      <w:r>
        <w:rPr>
          <w:rtl/>
        </w:rPr>
        <w:t>.</w:t>
      </w:r>
      <w:r w:rsidR="00CE5C8E">
        <w:rPr>
          <w:rFonts w:hint="cs"/>
          <w:rtl/>
        </w:rPr>
        <w:t xml:space="preserve"> מעיון לא-מעמיק בספרות השו"ת של ימינו, נראה שאין נוהגים </w:t>
      </w:r>
      <w:r w:rsidR="00454F56">
        <w:rPr>
          <w:rFonts w:hint="cs"/>
          <w:rtl/>
        </w:rPr>
        <w:t xml:space="preserve">בימינו </w:t>
      </w:r>
      <w:r w:rsidR="00CE5C8E">
        <w:rPr>
          <w:rFonts w:hint="cs"/>
          <w:rtl/>
        </w:rPr>
        <w:t>למעשה דין מת מצווה, משום שאין מצב שאין לאדם מכירים ושהמוצא לא יכול להזעיק אחרים ולפרסם את האירוע (לצווח בלשון מסכת שמחות). וגם לפנות קברים, בגדרי ההלכה המותרים, ולהביאם לקבר ישראל בכבוד, פשיטא שמותר ואין לחשוש שמא המת הוא מת מצווה שקנה מקומו. וכאמור, אין אנו מביאים דברים להלכה!</w:t>
      </w:r>
    </w:p>
  </w:footnote>
  <w:footnote w:id="25">
    <w:p w14:paraId="74480EFB" w14:textId="77777777" w:rsidR="00BC1A1F" w:rsidRDefault="00BC1A1F" w:rsidP="0002010A">
      <w:pPr>
        <w:pStyle w:val="a3"/>
        <w:rPr>
          <w:rFonts w:hint="cs"/>
          <w:rtl/>
        </w:rPr>
      </w:pPr>
      <w:r>
        <w:rPr>
          <w:rStyle w:val="a5"/>
        </w:rPr>
        <w:footnoteRef/>
      </w:r>
      <w:r>
        <w:rPr>
          <w:rtl/>
        </w:rPr>
        <w:t xml:space="preserve"> </w:t>
      </w:r>
      <w:r w:rsidR="00BA7203">
        <w:rPr>
          <w:rFonts w:hint="cs"/>
          <w:rtl/>
        </w:rPr>
        <w:t xml:space="preserve">את דברי רמב"ם אלה ניתן לראות כהמשך לדבריו לעיל על מת מצווה שבא מהדין הכללי של כבוד המת והחובה לקבור את המתים ולכבדם. כאן </w:t>
      </w:r>
      <w:r w:rsidR="00454F56">
        <w:rPr>
          <w:rFonts w:hint="cs"/>
          <w:rtl/>
        </w:rPr>
        <w:t xml:space="preserve">יש </w:t>
      </w:r>
      <w:r w:rsidR="00BA7203">
        <w:rPr>
          <w:rFonts w:hint="cs"/>
          <w:rtl/>
        </w:rPr>
        <w:t xml:space="preserve">אולי צעד נוסף קדימה. </w:t>
      </w:r>
      <w:r>
        <w:rPr>
          <w:rFonts w:hint="cs"/>
          <w:rtl/>
        </w:rPr>
        <w:t>מצוות מת מצווה איננו שונה ממצוות לווית מת וטיפול בקבורתו הכללית, ואי לכך מקורה הוא ב</w:t>
      </w:r>
      <w:r w:rsidR="00932FBE">
        <w:rPr>
          <w:rFonts w:hint="cs"/>
          <w:rtl/>
        </w:rPr>
        <w:t xml:space="preserve">מצוות </w:t>
      </w:r>
      <w:r>
        <w:rPr>
          <w:rFonts w:hint="cs"/>
          <w:rtl/>
        </w:rPr>
        <w:t>גמילות חסדים</w:t>
      </w:r>
      <w:r w:rsidR="00932FBE">
        <w:rPr>
          <w:rFonts w:hint="cs"/>
          <w:rtl/>
        </w:rPr>
        <w:t xml:space="preserve"> הכללית</w:t>
      </w:r>
      <w:r>
        <w:rPr>
          <w:rFonts w:hint="cs"/>
          <w:rtl/>
        </w:rPr>
        <w:t xml:space="preserve">. </w:t>
      </w:r>
      <w:r w:rsidR="00932FBE">
        <w:rPr>
          <w:rFonts w:hint="cs"/>
          <w:rtl/>
        </w:rPr>
        <w:t xml:space="preserve">ראה </w:t>
      </w:r>
      <w:r w:rsidR="00932FBE">
        <w:rPr>
          <w:rtl/>
        </w:rPr>
        <w:t>מסכת בבא מציעא ל ע</w:t>
      </w:r>
      <w:r w:rsidR="00932FBE">
        <w:rPr>
          <w:rFonts w:hint="cs"/>
          <w:rtl/>
        </w:rPr>
        <w:t>"</w:t>
      </w:r>
      <w:r w:rsidR="00932FBE">
        <w:rPr>
          <w:rtl/>
        </w:rPr>
        <w:t>ב</w:t>
      </w:r>
      <w:r w:rsidR="00932FBE">
        <w:rPr>
          <w:rFonts w:hint="cs"/>
          <w:rtl/>
        </w:rPr>
        <w:t xml:space="preserve"> בדרשת רב יוסף על הפסוק בשמות יח כ, ערב מתן תורה, דברי יתרו למשה: "</w:t>
      </w:r>
      <w:r w:rsidR="00932FBE">
        <w:rPr>
          <w:rtl/>
        </w:rPr>
        <w:t>וְהוֹדַעְתָּ לָהֶם אֶת הַדֶּרֶךְ יֵלְכוּ בָהּ וְאֶת הַמַּעֲשֶׂה אֲשֶׁר יַעֲשׂוּן</w:t>
      </w:r>
      <w:r w:rsidR="00932FBE">
        <w:rPr>
          <w:rFonts w:hint="cs"/>
          <w:rtl/>
        </w:rPr>
        <w:t>". "</w:t>
      </w:r>
      <w:r w:rsidR="00932FBE">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sidR="00932FBE">
        <w:rPr>
          <w:rFonts w:hint="cs"/>
          <w:rtl/>
        </w:rPr>
        <w:t>"</w:t>
      </w:r>
      <w:r w:rsidR="00932FBE">
        <w:rPr>
          <w:rtl/>
        </w:rPr>
        <w:t>.</w:t>
      </w:r>
      <w:r w:rsidR="00932FBE">
        <w:rPr>
          <w:rFonts w:hint="cs"/>
          <w:rtl/>
        </w:rPr>
        <w:t xml:space="preserve"> </w:t>
      </w:r>
      <w:r>
        <w:rPr>
          <w:rFonts w:hint="cs"/>
          <w:rtl/>
        </w:rPr>
        <w:t xml:space="preserve">הצורך בפסוקים מיוחדים </w:t>
      </w:r>
      <w:r w:rsidR="00932FBE">
        <w:rPr>
          <w:rFonts w:hint="cs"/>
          <w:rtl/>
        </w:rPr>
        <w:t xml:space="preserve">בדין מת מצווה </w:t>
      </w:r>
      <w:r>
        <w:rPr>
          <w:rFonts w:hint="cs"/>
          <w:rtl/>
        </w:rPr>
        <w:t xml:space="preserve">הוא רק לעניין טומאת כהנים. עיקר הדין, בא מהפסוק: "ואהבת לרעך כמוך" ומהכלל האנושי הפשוט שכל מה שאתה רוצה שיעשו לך, לך ועשה לאחרים. גם למי שכבר איננו בחיים ולא יוכל להשיב לך כגמולך (ולפיכך זו גמילות חסדים של אמת) וגם למישהו אנונימי שאף אחד לא מכיר ולא מטפל בו. </w:t>
      </w:r>
    </w:p>
  </w:footnote>
  <w:footnote w:id="26">
    <w:p w14:paraId="0B73B9AF" w14:textId="77777777" w:rsidR="004C7B3F" w:rsidRDefault="004C7B3F">
      <w:pPr>
        <w:pStyle w:val="a3"/>
        <w:rPr>
          <w:rFonts w:hint="cs"/>
          <w:rtl/>
        </w:rPr>
      </w:pPr>
      <w:r>
        <w:rPr>
          <w:rStyle w:val="a5"/>
        </w:rPr>
        <w:footnoteRef/>
      </w:r>
      <w:r>
        <w:rPr>
          <w:rtl/>
        </w:rPr>
        <w:t xml:space="preserve"> </w:t>
      </w:r>
      <w:r>
        <w:rPr>
          <w:rFonts w:hint="cs"/>
          <w:rtl/>
        </w:rPr>
        <w:t>בדברינו על עגלה ערופה ראינו שמגיעים למקום גם זקני בית הדין בירושלים. ועושים 'רעש גדול' ומפרסמים את האירוע על מנת שיימצא מי שהרג אותו (רמב"ם שם). ואילו כאן, משתמע שאדם בודד הולך במקום בודד ומנותק מיישוב ואם הוא צועק ואף אחד לא שומע אותו, הוא מתחייב בדין מת מצווה. ראה שוב הסיפור על ר'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D34B" w14:textId="77777777" w:rsidR="00EF24D5" w:rsidRDefault="00EF24D5" w:rsidP="00594E03">
    <w:pPr>
      <w:pStyle w:val="1"/>
      <w:tabs>
        <w:tab w:val="clear" w:pos="9469"/>
        <w:tab w:val="right" w:pos="9185"/>
      </w:tabs>
      <w:rPr>
        <w:rFonts w:hint="cs"/>
        <w:rtl/>
      </w:rPr>
    </w:pPr>
    <w:r>
      <w:rPr>
        <w:rtl/>
      </w:rPr>
      <w:t xml:space="preserve">פרשת </w:t>
    </w:r>
    <w:fldSimple w:instr=" SUBJECT  \* MERGEFORMAT ">
      <w:r w:rsidR="00C073D6">
        <w:rPr>
          <w:rtl/>
        </w:rPr>
        <w:t>אמור</w:t>
      </w:r>
    </w:fldSimple>
    <w:r>
      <w:rPr>
        <w:rtl/>
      </w:rPr>
      <w:tab/>
    </w:r>
    <w:r>
      <w:rPr>
        <w:rFonts w:hint="cs"/>
        <w:rtl/>
      </w:rPr>
      <w:t>תש"ע</w:t>
    </w:r>
    <w:r w:rsidR="00DB040F">
      <w:rPr>
        <w:rFonts w:hint="cs"/>
        <w:rtl/>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4AC" w14:textId="77777777" w:rsidR="00EF24D5" w:rsidRDefault="00EF24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73D6">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0E2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MTQ2NDe3tDAyMTFV0lEKTi0uzszPAykwrgUA6P9HGiwAAAA="/>
  </w:docVars>
  <w:rsids>
    <w:rsidRoot w:val="005A09C5"/>
    <w:rsid w:val="00007713"/>
    <w:rsid w:val="0002010A"/>
    <w:rsid w:val="00035C0F"/>
    <w:rsid w:val="0004503D"/>
    <w:rsid w:val="00051644"/>
    <w:rsid w:val="0005527A"/>
    <w:rsid w:val="00056223"/>
    <w:rsid w:val="000A2C1B"/>
    <w:rsid w:val="000A3BD8"/>
    <w:rsid w:val="000B1BCB"/>
    <w:rsid w:val="000D3C98"/>
    <w:rsid w:val="000E49CE"/>
    <w:rsid w:val="0012603B"/>
    <w:rsid w:val="00132D0D"/>
    <w:rsid w:val="00135616"/>
    <w:rsid w:val="001824BB"/>
    <w:rsid w:val="00191FBA"/>
    <w:rsid w:val="001F15F9"/>
    <w:rsid w:val="001F215D"/>
    <w:rsid w:val="00204138"/>
    <w:rsid w:val="00250316"/>
    <w:rsid w:val="00271139"/>
    <w:rsid w:val="002C063C"/>
    <w:rsid w:val="002C61DA"/>
    <w:rsid w:val="002D7513"/>
    <w:rsid w:val="002E498D"/>
    <w:rsid w:val="002E56BE"/>
    <w:rsid w:val="002E6AA6"/>
    <w:rsid w:val="0031079D"/>
    <w:rsid w:val="00313D8F"/>
    <w:rsid w:val="00314F1A"/>
    <w:rsid w:val="0032173C"/>
    <w:rsid w:val="003453BE"/>
    <w:rsid w:val="003466BC"/>
    <w:rsid w:val="003857B3"/>
    <w:rsid w:val="003857E2"/>
    <w:rsid w:val="00392C0E"/>
    <w:rsid w:val="003E5862"/>
    <w:rsid w:val="003F730F"/>
    <w:rsid w:val="004059B3"/>
    <w:rsid w:val="00407DB8"/>
    <w:rsid w:val="00436D9F"/>
    <w:rsid w:val="004457CF"/>
    <w:rsid w:val="00450403"/>
    <w:rsid w:val="00451971"/>
    <w:rsid w:val="00454F56"/>
    <w:rsid w:val="00491306"/>
    <w:rsid w:val="004A239B"/>
    <w:rsid w:val="004B749E"/>
    <w:rsid w:val="004C593C"/>
    <w:rsid w:val="004C7B3F"/>
    <w:rsid w:val="004E4DC9"/>
    <w:rsid w:val="00504632"/>
    <w:rsid w:val="00516CAF"/>
    <w:rsid w:val="00570966"/>
    <w:rsid w:val="0058211C"/>
    <w:rsid w:val="005843D6"/>
    <w:rsid w:val="00594E03"/>
    <w:rsid w:val="00595AA3"/>
    <w:rsid w:val="005A0993"/>
    <w:rsid w:val="005A09C5"/>
    <w:rsid w:val="005E0A67"/>
    <w:rsid w:val="005F292C"/>
    <w:rsid w:val="00601C7C"/>
    <w:rsid w:val="0061358C"/>
    <w:rsid w:val="0062706A"/>
    <w:rsid w:val="00640A13"/>
    <w:rsid w:val="006463F2"/>
    <w:rsid w:val="00667FD0"/>
    <w:rsid w:val="00675CE3"/>
    <w:rsid w:val="00685FF3"/>
    <w:rsid w:val="0069511C"/>
    <w:rsid w:val="00697AE8"/>
    <w:rsid w:val="006C5A75"/>
    <w:rsid w:val="006D2E7B"/>
    <w:rsid w:val="006E22BC"/>
    <w:rsid w:val="006E6D4F"/>
    <w:rsid w:val="006F36B0"/>
    <w:rsid w:val="006F5E6B"/>
    <w:rsid w:val="0071197E"/>
    <w:rsid w:val="00724748"/>
    <w:rsid w:val="00731FB9"/>
    <w:rsid w:val="00736297"/>
    <w:rsid w:val="007659EE"/>
    <w:rsid w:val="007811FC"/>
    <w:rsid w:val="007D658F"/>
    <w:rsid w:val="00842C8F"/>
    <w:rsid w:val="008513B7"/>
    <w:rsid w:val="008563A4"/>
    <w:rsid w:val="008611CA"/>
    <w:rsid w:val="0089219F"/>
    <w:rsid w:val="00894C5A"/>
    <w:rsid w:val="00897273"/>
    <w:rsid w:val="008C25C8"/>
    <w:rsid w:val="008C4554"/>
    <w:rsid w:val="008D023A"/>
    <w:rsid w:val="008D6C89"/>
    <w:rsid w:val="00917959"/>
    <w:rsid w:val="00924DAF"/>
    <w:rsid w:val="00932FBE"/>
    <w:rsid w:val="00942488"/>
    <w:rsid w:val="00946DCA"/>
    <w:rsid w:val="0098143E"/>
    <w:rsid w:val="00982E12"/>
    <w:rsid w:val="009A29C9"/>
    <w:rsid w:val="00A0283E"/>
    <w:rsid w:val="00A10649"/>
    <w:rsid w:val="00A252DE"/>
    <w:rsid w:val="00A273E9"/>
    <w:rsid w:val="00A373A1"/>
    <w:rsid w:val="00A57D9F"/>
    <w:rsid w:val="00A648AB"/>
    <w:rsid w:val="00A72848"/>
    <w:rsid w:val="00A9765A"/>
    <w:rsid w:val="00AA686A"/>
    <w:rsid w:val="00AA7389"/>
    <w:rsid w:val="00AF7845"/>
    <w:rsid w:val="00B108D9"/>
    <w:rsid w:val="00B1135B"/>
    <w:rsid w:val="00B22831"/>
    <w:rsid w:val="00B5770C"/>
    <w:rsid w:val="00B6461B"/>
    <w:rsid w:val="00B70183"/>
    <w:rsid w:val="00B71F25"/>
    <w:rsid w:val="00B973E0"/>
    <w:rsid w:val="00BA64DC"/>
    <w:rsid w:val="00BA7203"/>
    <w:rsid w:val="00BC1A1F"/>
    <w:rsid w:val="00BC6B17"/>
    <w:rsid w:val="00BD2A08"/>
    <w:rsid w:val="00BE2DAA"/>
    <w:rsid w:val="00BE319E"/>
    <w:rsid w:val="00BF6417"/>
    <w:rsid w:val="00C01523"/>
    <w:rsid w:val="00C02861"/>
    <w:rsid w:val="00C063AC"/>
    <w:rsid w:val="00C073D6"/>
    <w:rsid w:val="00C45B02"/>
    <w:rsid w:val="00C6287C"/>
    <w:rsid w:val="00CB1429"/>
    <w:rsid w:val="00CB5F8E"/>
    <w:rsid w:val="00CC2888"/>
    <w:rsid w:val="00CD174B"/>
    <w:rsid w:val="00CD19C0"/>
    <w:rsid w:val="00CD6960"/>
    <w:rsid w:val="00CE5C8E"/>
    <w:rsid w:val="00CF1A68"/>
    <w:rsid w:val="00D06EDF"/>
    <w:rsid w:val="00D20E2C"/>
    <w:rsid w:val="00D302E6"/>
    <w:rsid w:val="00D324AD"/>
    <w:rsid w:val="00D32A5D"/>
    <w:rsid w:val="00D372A7"/>
    <w:rsid w:val="00D51DB0"/>
    <w:rsid w:val="00D752AC"/>
    <w:rsid w:val="00D75469"/>
    <w:rsid w:val="00D80840"/>
    <w:rsid w:val="00D812E0"/>
    <w:rsid w:val="00DA6A90"/>
    <w:rsid w:val="00DB040F"/>
    <w:rsid w:val="00DC3C77"/>
    <w:rsid w:val="00DF2AE0"/>
    <w:rsid w:val="00E008E5"/>
    <w:rsid w:val="00E107C0"/>
    <w:rsid w:val="00E12A06"/>
    <w:rsid w:val="00E27540"/>
    <w:rsid w:val="00E34881"/>
    <w:rsid w:val="00E570A9"/>
    <w:rsid w:val="00E711B1"/>
    <w:rsid w:val="00E868B3"/>
    <w:rsid w:val="00EA593E"/>
    <w:rsid w:val="00ED0211"/>
    <w:rsid w:val="00ED3F3E"/>
    <w:rsid w:val="00EF1899"/>
    <w:rsid w:val="00EF1D41"/>
    <w:rsid w:val="00EF24D5"/>
    <w:rsid w:val="00F015A5"/>
    <w:rsid w:val="00F12053"/>
    <w:rsid w:val="00F14496"/>
    <w:rsid w:val="00F14F6B"/>
    <w:rsid w:val="00F522C2"/>
    <w:rsid w:val="00F741FA"/>
    <w:rsid w:val="00F77AC0"/>
    <w:rsid w:val="00FC6903"/>
    <w:rsid w:val="00FD646C"/>
    <w:rsid w:val="00FE7C9B"/>
    <w:rsid w:val="00FF09D4"/>
    <w:rsid w:val="00FF5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7ECF9B"/>
  <w15:chartTrackingRefBased/>
  <w15:docId w15:val="{D3E40260-D16C-4F8F-AFE3-83BCF9D1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E2C"/>
    <w:pPr>
      <w:bidi/>
    </w:pPr>
    <w:rPr>
      <w:rFonts w:cs="Narkisim"/>
      <w:sz w:val="22"/>
      <w:szCs w:val="22"/>
      <w:lang w:eastAsia="he-IL"/>
    </w:rPr>
  </w:style>
  <w:style w:type="paragraph" w:styleId="1">
    <w:name w:val="heading 1"/>
    <w:basedOn w:val="a"/>
    <w:next w:val="a"/>
    <w:link w:val="10"/>
    <w:qFormat/>
    <w:rsid w:val="00D20E2C"/>
    <w:pPr>
      <w:keepNext/>
      <w:tabs>
        <w:tab w:val="right" w:pos="9469"/>
      </w:tabs>
      <w:jc w:val="both"/>
      <w:outlineLvl w:val="0"/>
    </w:pPr>
    <w:rPr>
      <w:rFonts w:cs="David"/>
      <w:b/>
      <w:bCs/>
      <w:szCs w:val="28"/>
    </w:rPr>
  </w:style>
  <w:style w:type="character" w:default="1" w:styleId="a0">
    <w:name w:val="Default Paragraph Font"/>
    <w:uiPriority w:val="1"/>
    <w:semiHidden/>
    <w:unhideWhenUsed/>
    <w:rsid w:val="00D20E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0E2C"/>
  </w:style>
  <w:style w:type="paragraph" w:styleId="a3">
    <w:name w:val="footnote text"/>
    <w:basedOn w:val="a"/>
    <w:link w:val="a4"/>
    <w:rsid w:val="00D20E2C"/>
    <w:pPr>
      <w:ind w:left="170" w:hanging="170"/>
      <w:jc w:val="both"/>
    </w:pPr>
    <w:rPr>
      <w:sz w:val="20"/>
      <w:szCs w:val="20"/>
    </w:rPr>
  </w:style>
  <w:style w:type="character" w:styleId="a5">
    <w:name w:val="footnote reference"/>
    <w:semiHidden/>
    <w:rsid w:val="00D20E2C"/>
    <w:rPr>
      <w:vertAlign w:val="superscript"/>
    </w:rPr>
  </w:style>
  <w:style w:type="paragraph" w:styleId="a6">
    <w:name w:val="header"/>
    <w:basedOn w:val="a"/>
    <w:link w:val="a7"/>
    <w:rsid w:val="00D20E2C"/>
    <w:pPr>
      <w:tabs>
        <w:tab w:val="center" w:pos="4153"/>
        <w:tab w:val="right" w:pos="8306"/>
      </w:tabs>
    </w:pPr>
  </w:style>
  <w:style w:type="paragraph" w:styleId="a8">
    <w:name w:val="footer"/>
    <w:basedOn w:val="a"/>
    <w:link w:val="a9"/>
    <w:rsid w:val="00D20E2C"/>
    <w:pPr>
      <w:tabs>
        <w:tab w:val="center" w:pos="4153"/>
        <w:tab w:val="right" w:pos="8306"/>
      </w:tabs>
    </w:pPr>
  </w:style>
  <w:style w:type="paragraph" w:customStyle="1" w:styleId="aa">
    <w:name w:val="כותרת"/>
    <w:basedOn w:val="a"/>
    <w:rsid w:val="00D20E2C"/>
    <w:pPr>
      <w:spacing w:before="240" w:line="320" w:lineRule="atLeast"/>
      <w:jc w:val="center"/>
    </w:pPr>
    <w:rPr>
      <w:rFonts w:cs="David"/>
      <w:b/>
      <w:bCs/>
      <w:spacing w:val="20"/>
      <w:szCs w:val="32"/>
    </w:rPr>
  </w:style>
  <w:style w:type="paragraph" w:customStyle="1" w:styleId="ab">
    <w:name w:val="כותרת קטע"/>
    <w:basedOn w:val="a"/>
    <w:rsid w:val="00D20E2C"/>
    <w:pPr>
      <w:spacing w:before="240" w:line="300" w:lineRule="atLeast"/>
    </w:pPr>
    <w:rPr>
      <w:rFonts w:cs="Arial"/>
      <w:b/>
      <w:bCs/>
      <w:szCs w:val="24"/>
    </w:rPr>
  </w:style>
  <w:style w:type="paragraph" w:customStyle="1" w:styleId="ac">
    <w:name w:val="מקור"/>
    <w:basedOn w:val="a"/>
    <w:rsid w:val="00D20E2C"/>
    <w:pPr>
      <w:spacing w:line="320" w:lineRule="atLeast"/>
      <w:jc w:val="both"/>
    </w:pPr>
    <w:rPr>
      <w:rFonts w:cs="David"/>
      <w:szCs w:val="24"/>
    </w:rPr>
  </w:style>
  <w:style w:type="paragraph" w:customStyle="1" w:styleId="ad">
    <w:name w:val="מחלקי המים"/>
    <w:basedOn w:val="a"/>
    <w:rsid w:val="00D20E2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20E2C"/>
    <w:rPr>
      <w:rFonts w:ascii="Tahoma" w:hAnsi="Tahoma" w:cs="Tahoma"/>
      <w:sz w:val="16"/>
      <w:szCs w:val="16"/>
    </w:rPr>
  </w:style>
  <w:style w:type="character" w:styleId="af1">
    <w:name w:val="page number"/>
    <w:basedOn w:val="a0"/>
    <w:rsid w:val="005F292C"/>
  </w:style>
  <w:style w:type="character" w:styleId="Hyperlink">
    <w:name w:val="Hyperlink"/>
    <w:rsid w:val="00D20E2C"/>
    <w:rPr>
      <w:color w:val="0000FF"/>
      <w:u w:val="single"/>
    </w:rPr>
  </w:style>
  <w:style w:type="character" w:customStyle="1" w:styleId="a4">
    <w:name w:val="טקסט הערת שוליים תו"/>
    <w:link w:val="a3"/>
    <w:rsid w:val="00D20E2C"/>
    <w:rPr>
      <w:rFonts w:cs="Narkisim"/>
      <w:lang w:eastAsia="he-IL"/>
    </w:rPr>
  </w:style>
  <w:style w:type="character" w:customStyle="1" w:styleId="10">
    <w:name w:val="כותרת 1 תו"/>
    <w:link w:val="1"/>
    <w:rsid w:val="00D20E2C"/>
    <w:rPr>
      <w:rFonts w:cs="David"/>
      <w:b/>
      <w:bCs/>
      <w:sz w:val="22"/>
      <w:szCs w:val="28"/>
      <w:lang w:eastAsia="he-IL"/>
    </w:rPr>
  </w:style>
  <w:style w:type="character" w:customStyle="1" w:styleId="a7">
    <w:name w:val="כותרת עליונה תו"/>
    <w:link w:val="a6"/>
    <w:rsid w:val="00D20E2C"/>
    <w:rPr>
      <w:rFonts w:cs="Narkisim"/>
      <w:sz w:val="22"/>
      <w:szCs w:val="22"/>
      <w:lang w:eastAsia="he-IL"/>
    </w:rPr>
  </w:style>
  <w:style w:type="character" w:customStyle="1" w:styleId="a9">
    <w:name w:val="כותרת תחתונה תו"/>
    <w:link w:val="a8"/>
    <w:rsid w:val="00D20E2C"/>
    <w:rPr>
      <w:rFonts w:cs="Narkisim"/>
      <w:sz w:val="22"/>
      <w:szCs w:val="22"/>
      <w:lang w:eastAsia="he-IL"/>
    </w:rPr>
  </w:style>
  <w:style w:type="paragraph" w:styleId="NormalWeb">
    <w:name w:val="Normal (Web)"/>
    <w:basedOn w:val="a"/>
    <w:uiPriority w:val="99"/>
    <w:unhideWhenUsed/>
    <w:rsid w:val="00BC6B17"/>
    <w:pPr>
      <w:bidi w:val="0"/>
      <w:spacing w:before="100" w:beforeAutospacing="1" w:after="100" w:afterAutospacing="1"/>
    </w:pPr>
    <w:rPr>
      <w:rFonts w:eastAsia="Calibri" w:cs="Times New Roman"/>
      <w:sz w:val="24"/>
      <w:szCs w:val="24"/>
      <w:lang w:eastAsia="en-US"/>
    </w:rPr>
  </w:style>
  <w:style w:type="character" w:customStyle="1" w:styleId="af0">
    <w:name w:val="טקסט בלונים תו"/>
    <w:link w:val="af"/>
    <w:uiPriority w:val="99"/>
    <w:semiHidden/>
    <w:rsid w:val="00D20E2C"/>
    <w:rPr>
      <w:rFonts w:ascii="Tahoma" w:hAnsi="Tahoma" w:cs="Tahoma"/>
      <w:sz w:val="16"/>
      <w:szCs w:val="16"/>
      <w:lang w:eastAsia="he-IL"/>
    </w:rPr>
  </w:style>
  <w:style w:type="character" w:styleId="FollowedHyperlink">
    <w:name w:val="FollowedHyperlink"/>
    <w:rsid w:val="00CD19C0"/>
    <w:rPr>
      <w:color w:val="800080"/>
      <w:u w:val="single"/>
    </w:rPr>
  </w:style>
  <w:style w:type="paragraph" w:customStyle="1" w:styleId="af2">
    <w:name w:val="פסוק"/>
    <w:basedOn w:val="ac"/>
    <w:qFormat/>
    <w:rsid w:val="00D20E2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AA_%D7%9E%D7%A6%D7%95%D7%95%D7%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3%D7%99%D7%9F-%D7%A2%D7%92%D7%9C%D7%94-%D7%A2%D7%A8%D7%95%D7%A4%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2684" TargetMode="External"/><Relationship Id="rId2" Type="http://schemas.openxmlformats.org/officeDocument/2006/relationships/hyperlink" Target="http://www.mayim.org.il/?parasha=%D7%95%D7%94%D7%AA%D7%A2%D7%9C%D7%9E%D7%AA-%D7%A4%D7%A2%D7%9E%D7%99%D7%9D-%D7%A9%D7%90%D7%AA%D7%94-%D7%9E%D7%AA%D7%A2%D7%9C%D7%9D1" TargetMode="External"/><Relationship Id="rId1" Type="http://schemas.openxmlformats.org/officeDocument/2006/relationships/hyperlink" Target="http://www.mayim.org.il/?parasha=%D7%90%D7%A1%D7%A8%D7%AA%D7%99-%D7%9C%D7%9A-%D7%94%D7%AA%D7%A8%D7%AA%D7%99-%D7%9C%D7%9A" TargetMode="External"/><Relationship Id="rId6" Type="http://schemas.openxmlformats.org/officeDocument/2006/relationships/hyperlink" Target="https://www.mayim.org.il/?meyuhadim=%D7%90%D7%99%D7%9F-%D7%98%D7%95%D7%9E%D7%90%D7%94-%D7%9C%D7%A6%D7%93%D7%99%D7%A7%D7%99%D7%9D" TargetMode="External"/><Relationship Id="rId5" Type="http://schemas.openxmlformats.org/officeDocument/2006/relationships/hyperlink" Target="https://www.mayim.org.il/?parasha=%d7%98%d7%95%d7%a8%d7%a0%d7%95%d7%a1%d7%a8%d7%95%d7%a4%d7%95%d7%a1-%d7%95%d7%a8%d7%91%d7%99-%d7%a2%d7%a7%d7%99%d7%91%d7%90" TargetMode="External"/><Relationship Id="rId4" Type="http://schemas.openxmlformats.org/officeDocument/2006/relationships/hyperlink" Target="http://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EE49-781D-4F13-904E-F807FC5C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1194</Words>
  <Characters>5975</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 מצוה</vt:lpstr>
      <vt:lpstr>מת מצוה</vt:lpstr>
    </vt:vector>
  </TitlesOfParts>
  <Company> </Company>
  <LinksUpToDate>false</LinksUpToDate>
  <CharactersWithSpaces>7155</CharactersWithSpaces>
  <SharedDoc>false</SharedDoc>
  <HLinks>
    <vt:vector size="48" baseType="variant">
      <vt:variant>
        <vt:i4>3014718</vt:i4>
      </vt:variant>
      <vt:variant>
        <vt:i4>6</vt:i4>
      </vt:variant>
      <vt:variant>
        <vt:i4>0</vt:i4>
      </vt:variant>
      <vt:variant>
        <vt:i4>5</vt:i4>
      </vt:variant>
      <vt:variant>
        <vt:lpwstr>http://www.mayim.org.il/?parasha=%D7%93%D7%99%D7%9F-%D7%A2%D7%92%D7%9C%D7%94-%D7%A2%D7%A8%D7%95%D7%A4%D7%94</vt:lpwstr>
      </vt:variant>
      <vt:variant>
        <vt:lpwstr/>
      </vt:variant>
      <vt:variant>
        <vt:i4>5308524</vt:i4>
      </vt:variant>
      <vt:variant>
        <vt:i4>3</vt:i4>
      </vt:variant>
      <vt:variant>
        <vt:i4>0</vt:i4>
      </vt:variant>
      <vt:variant>
        <vt:i4>5</vt:i4>
      </vt:variant>
      <vt:variant>
        <vt:lpwstr>https://he.wikipedia.org/wiki/%D7%9E%D7%AA_%D7%9E%D7%A6%D7%95%D7%95%D7%94</vt:lpwstr>
      </vt:variant>
      <vt:variant>
        <vt:lpwstr/>
      </vt:variant>
      <vt:variant>
        <vt:i4>1572866</vt:i4>
      </vt:variant>
      <vt:variant>
        <vt:i4>15</vt:i4>
      </vt:variant>
      <vt:variant>
        <vt:i4>0</vt:i4>
      </vt:variant>
      <vt:variant>
        <vt:i4>5</vt:i4>
      </vt:variant>
      <vt:variant>
        <vt:lpwstr>https://www.mayim.org.il/?meyuhadim=%D7%90%D7%99%D7%9F-%D7%98%D7%95%D7%9E%D7%90%D7%94-%D7%9C%D7%A6%D7%93%D7%99%D7%A7%D7%99%D7%9D</vt:lpwstr>
      </vt:variant>
      <vt:variant>
        <vt:lpwstr/>
      </vt:variant>
      <vt:variant>
        <vt:i4>4194383</vt:i4>
      </vt:variant>
      <vt:variant>
        <vt:i4>12</vt:i4>
      </vt:variant>
      <vt:variant>
        <vt:i4>0</vt:i4>
      </vt:variant>
      <vt:variant>
        <vt:i4>5</vt:i4>
      </vt:variant>
      <vt:variant>
        <vt:lpwstr>https://www.mayim.org.il/?parasha=%d7%98%d7%95%d7%a8%d7%a0%d7%95%d7%a1%d7%a8%d7%95%d7%a4%d7%95%d7%a1-%d7%95%d7%a8%d7%91%d7%99-%d7%a2%d7%a7%d7%99%d7%91%d7%90</vt:lpwstr>
      </vt:variant>
      <vt:variant>
        <vt:lpwstr/>
      </vt:variant>
      <vt:variant>
        <vt:i4>917507</vt:i4>
      </vt:variant>
      <vt:variant>
        <vt:i4>9</vt:i4>
      </vt:variant>
      <vt:variant>
        <vt:i4>0</vt:i4>
      </vt:variant>
      <vt:variant>
        <vt:i4>5</vt:i4>
      </vt:variant>
      <vt:variant>
        <vt:lpwstr>http://www.mayim.org.il/?parasha=%D7%A0%D7%96%D7%99%D7%A8-%D7%A7%D7%93%D7%95%D7%A9-%D7%90%D7%95-%D7%97%D7%95%D7%98%D7%90</vt:lpwstr>
      </vt:variant>
      <vt:variant>
        <vt:lpwstr/>
      </vt:variant>
      <vt:variant>
        <vt:i4>1507414</vt:i4>
      </vt:variant>
      <vt:variant>
        <vt:i4>6</vt:i4>
      </vt:variant>
      <vt:variant>
        <vt:i4>0</vt:i4>
      </vt:variant>
      <vt:variant>
        <vt:i4>5</vt:i4>
      </vt:variant>
      <vt:variant>
        <vt:lpwstr>http://www.daat.ac.il/encyclopedia/value.asp?id1=2684</vt:lpwstr>
      </vt:variant>
      <vt:variant>
        <vt:lpwstr/>
      </vt:variant>
      <vt:variant>
        <vt:i4>7340073</vt:i4>
      </vt:variant>
      <vt:variant>
        <vt:i4>3</vt:i4>
      </vt:variant>
      <vt:variant>
        <vt:i4>0</vt:i4>
      </vt:variant>
      <vt:variant>
        <vt:i4>5</vt:i4>
      </vt:variant>
      <vt:variant>
        <vt:lpwstr>http://www.mayim.org.il/?parasha=%D7%95%D7%94%D7%AA%D7%A2%D7%9C%D7%9E%D7%AA-%D7%A4%D7%A2%D7%9E%D7%99%D7%9D-%D7%A9%D7%90%D7%AA%D7%94-%D7%9E%D7%AA%D7%A2%D7%9C%D7%9D1</vt:lpwstr>
      </vt:variant>
      <vt:variant>
        <vt:lpwstr/>
      </vt:variant>
      <vt:variant>
        <vt:i4>786517</vt:i4>
      </vt:variant>
      <vt:variant>
        <vt:i4>0</vt:i4>
      </vt:variant>
      <vt:variant>
        <vt:i4>0</vt:i4>
      </vt:variant>
      <vt:variant>
        <vt:i4>5</vt:i4>
      </vt:variant>
      <vt:variant>
        <vt:lpwstr>http://www.mayim.org.il/?parasha=%D7%90%D7%A1%D7%A8%D7%AA%D7%99-%D7%9C%D7%9A-%D7%94%D7%AA%D7%A8%D7%AA%D7%99-%D7%9C%D7%9A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 מצוה</dc:title>
  <dc:subject>אמור</dc:subject>
  <dc:creator>Asher Yuval</dc:creator>
  <cp:keywords/>
  <dc:description/>
  <cp:lastModifiedBy>Shimon Afek</cp:lastModifiedBy>
  <cp:revision>2</cp:revision>
  <cp:lastPrinted>2013-04-26T06:26:00Z</cp:lastPrinted>
  <dcterms:created xsi:type="dcterms:W3CDTF">2021-04-29T05:37:00Z</dcterms:created>
  <dcterms:modified xsi:type="dcterms:W3CDTF">2021-04-29T05:37:00Z</dcterms:modified>
</cp:coreProperties>
</file>