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456BB" w14:textId="77777777" w:rsidR="003A5180" w:rsidRPr="00294D25" w:rsidRDefault="00F021B4">
      <w:pPr>
        <w:pStyle w:val="aa"/>
        <w:bidi w:val="0"/>
        <w:rPr>
          <w:rFonts w:hint="cs"/>
          <w:rtl/>
        </w:rPr>
      </w:pPr>
      <w:r>
        <w:rPr>
          <w:rFonts w:hint="cs"/>
          <w:rtl/>
        </w:rPr>
        <w:t>אם כל עדת ישראל ישגו</w:t>
      </w:r>
    </w:p>
    <w:p w14:paraId="7400214B" w14:textId="77777777" w:rsidR="008D6BD9" w:rsidRDefault="00F021B4" w:rsidP="00F525AF">
      <w:pPr>
        <w:autoSpaceDE w:val="0"/>
        <w:autoSpaceDN w:val="0"/>
        <w:adjustRightInd w:val="0"/>
        <w:spacing w:before="240" w:line="320" w:lineRule="atLeast"/>
        <w:jc w:val="both"/>
        <w:rPr>
          <w:rFonts w:ascii="David" w:hint="cs"/>
          <w:rtl/>
          <w:lang w:eastAsia="en-US"/>
        </w:rPr>
      </w:pPr>
      <w:r w:rsidRPr="00F021B4">
        <w:rPr>
          <w:rFonts w:ascii="David" w:cs="David"/>
          <w:b/>
          <w:bCs/>
          <w:sz w:val="24"/>
          <w:szCs w:val="24"/>
          <w:rtl/>
          <w:lang w:eastAsia="en-US"/>
        </w:rPr>
        <w:t xml:space="preserve">וְאִם כָּל־עֲדַת יִשְׂרָאֵל יִשְׁגּוּ וְנֶעְלַם דָּבָר מֵעֵינֵי הַקָּהָל וְעָשׂוּ אַחַת מִכָּל־מִצְוֹת </w:t>
      </w:r>
      <w:r>
        <w:rPr>
          <w:rFonts w:ascii="David" w:cs="David" w:hint="cs"/>
          <w:b/>
          <w:bCs/>
          <w:sz w:val="24"/>
          <w:szCs w:val="24"/>
          <w:rtl/>
          <w:lang w:eastAsia="en-US"/>
        </w:rPr>
        <w:t>ה'</w:t>
      </w:r>
      <w:r w:rsidRPr="00F021B4">
        <w:rPr>
          <w:rFonts w:ascii="David" w:cs="David"/>
          <w:b/>
          <w:bCs/>
          <w:sz w:val="24"/>
          <w:szCs w:val="24"/>
          <w:rtl/>
          <w:lang w:eastAsia="en-US"/>
        </w:rPr>
        <w:t xml:space="preserve"> אֲשֶׁר לֹא־ תֵעָשֶׂינָה וְאָשֵׁמוּ:</w:t>
      </w:r>
      <w:r>
        <w:rPr>
          <w:rFonts w:ascii="David" w:cs="David" w:hint="cs"/>
          <w:b/>
          <w:bCs/>
          <w:sz w:val="24"/>
          <w:szCs w:val="24"/>
          <w:rtl/>
          <w:lang w:eastAsia="en-US"/>
        </w:rPr>
        <w:t xml:space="preserve"> </w:t>
      </w:r>
      <w:r w:rsidRPr="00F021B4">
        <w:rPr>
          <w:rFonts w:ascii="David" w:cs="David"/>
          <w:b/>
          <w:bCs/>
          <w:sz w:val="24"/>
          <w:szCs w:val="24"/>
          <w:rtl/>
          <w:lang w:eastAsia="en-US"/>
        </w:rPr>
        <w:t>וְנוֹדְעָה הַחַטָּאת אֲשֶׁר חָטְאוּ עָלֶיהָ וְהִקְרִיבוּ הַקָּהָל פַּר בֶּן־בָּקָר לְחַטָּאת וְהֵבִיאוּ אֹתוֹ לִפְנֵי אֹהֶל מוֹעֵד</w:t>
      </w:r>
      <w:r w:rsidR="00C642D5">
        <w:rPr>
          <w:rFonts w:ascii="David" w:cs="David" w:hint="cs"/>
          <w:b/>
          <w:bCs/>
          <w:sz w:val="24"/>
          <w:szCs w:val="24"/>
          <w:rtl/>
          <w:lang w:eastAsia="en-US"/>
        </w:rPr>
        <w:t>:</w:t>
      </w:r>
      <w:r w:rsidR="008D6BD9" w:rsidRPr="00294D25">
        <w:rPr>
          <w:rFonts w:ascii="David" w:cs="David" w:hint="cs"/>
          <w:b/>
          <w:bCs/>
          <w:sz w:val="24"/>
          <w:szCs w:val="24"/>
          <w:rtl/>
          <w:lang w:eastAsia="en-US"/>
        </w:rPr>
        <w:t xml:space="preserve"> </w:t>
      </w:r>
      <w:r w:rsidR="008D6BD9" w:rsidRPr="00294D25">
        <w:rPr>
          <w:rFonts w:ascii="David" w:hint="cs"/>
          <w:rtl/>
          <w:lang w:eastAsia="en-US"/>
        </w:rPr>
        <w:t xml:space="preserve">(ויקרא </w:t>
      </w:r>
      <w:r>
        <w:rPr>
          <w:rFonts w:ascii="David" w:hint="cs"/>
          <w:rtl/>
          <w:lang w:eastAsia="en-US"/>
        </w:rPr>
        <w:t>ד יג-יד</w:t>
      </w:r>
      <w:r w:rsidR="008D6BD9" w:rsidRPr="00294D25">
        <w:rPr>
          <w:rFonts w:ascii="David" w:hint="cs"/>
          <w:rtl/>
          <w:lang w:eastAsia="en-US"/>
        </w:rPr>
        <w:t>)</w:t>
      </w:r>
      <w:r w:rsidR="00F569D7">
        <w:rPr>
          <w:rFonts w:ascii="David" w:hint="cs"/>
          <w:rtl/>
          <w:lang w:eastAsia="en-US"/>
        </w:rPr>
        <w:t>.</w:t>
      </w:r>
      <w:r w:rsidR="00F569D7">
        <w:rPr>
          <w:rStyle w:val="a5"/>
          <w:rFonts w:ascii="David"/>
          <w:rtl/>
          <w:lang w:eastAsia="en-US"/>
        </w:rPr>
        <w:footnoteReference w:id="1"/>
      </w:r>
    </w:p>
    <w:p w14:paraId="440A2086" w14:textId="77777777" w:rsidR="00EE2177" w:rsidRPr="00294D25" w:rsidRDefault="00EE2177" w:rsidP="00F525AF">
      <w:pPr>
        <w:autoSpaceDE w:val="0"/>
        <w:autoSpaceDN w:val="0"/>
        <w:adjustRightInd w:val="0"/>
        <w:spacing w:before="120" w:line="280" w:lineRule="atLeast"/>
        <w:jc w:val="both"/>
        <w:rPr>
          <w:rFonts w:ascii="David" w:hint="cs"/>
          <w:rtl/>
          <w:lang w:eastAsia="en-US"/>
        </w:rPr>
      </w:pPr>
      <w:r w:rsidRPr="00EE2177">
        <w:rPr>
          <w:rFonts w:ascii="David" w:cs="David"/>
          <w:b/>
          <w:bCs/>
          <w:sz w:val="24"/>
          <w:szCs w:val="24"/>
          <w:rtl/>
          <w:lang w:eastAsia="en-US"/>
        </w:rPr>
        <w:t xml:space="preserve">וְכִי תִשְׁגּוּ וְלֹא תַעֲשׂוּ אֵת כָּל־הַמִּצְוֹת הָאֵלֶּה </w:t>
      </w:r>
      <w:r w:rsidRPr="00EE2177">
        <w:rPr>
          <w:rFonts w:ascii="David" w:cs="David" w:hint="cs"/>
          <w:b/>
          <w:bCs/>
          <w:sz w:val="24"/>
          <w:szCs w:val="24"/>
          <w:rtl/>
          <w:lang w:eastAsia="en-US"/>
        </w:rPr>
        <w:t xml:space="preserve">... </w:t>
      </w:r>
      <w:r w:rsidRPr="00EE2177">
        <w:rPr>
          <w:rFonts w:ascii="David" w:cs="David"/>
          <w:b/>
          <w:bCs/>
          <w:sz w:val="24"/>
          <w:szCs w:val="24"/>
          <w:rtl/>
          <w:lang w:eastAsia="en-US"/>
        </w:rPr>
        <w:t xml:space="preserve">וְהָיָה אִם מֵעֵינֵי הָעֵדָה נֶעֶשְׂתָה לִשְׁגָגָה </w:t>
      </w:r>
      <w:r w:rsidRPr="00EE2177">
        <w:rPr>
          <w:rFonts w:ascii="David" w:cs="David" w:hint="cs"/>
          <w:b/>
          <w:bCs/>
          <w:sz w:val="24"/>
          <w:szCs w:val="24"/>
          <w:rtl/>
          <w:lang w:eastAsia="en-US"/>
        </w:rPr>
        <w:t xml:space="preserve"> ...</w:t>
      </w:r>
      <w:r w:rsidR="00C642D5">
        <w:rPr>
          <w:rFonts w:cs="David" w:hint="cs"/>
          <w:rtl/>
        </w:rPr>
        <w:t>:</w:t>
      </w:r>
      <w:r>
        <w:rPr>
          <w:rFonts w:cs="David"/>
          <w:rtl/>
        </w:rPr>
        <w:t xml:space="preserve">  </w:t>
      </w:r>
      <w:r w:rsidRPr="00EE2177">
        <w:rPr>
          <w:rFonts w:ascii="David"/>
          <w:rtl/>
          <w:lang w:eastAsia="en-US"/>
        </w:rPr>
        <w:t>(במדבר טו כב</w:t>
      </w:r>
      <w:r w:rsidRPr="00EE2177">
        <w:rPr>
          <w:rFonts w:ascii="David" w:hint="cs"/>
          <w:rtl/>
          <w:lang w:eastAsia="en-US"/>
        </w:rPr>
        <w:t xml:space="preserve"> כד</w:t>
      </w:r>
      <w:r w:rsidRPr="00EE2177">
        <w:rPr>
          <w:rFonts w:ascii="David"/>
          <w:rtl/>
          <w:lang w:eastAsia="en-US"/>
        </w:rPr>
        <w:t>)</w:t>
      </w:r>
      <w:r>
        <w:rPr>
          <w:rFonts w:ascii="David" w:hint="cs"/>
          <w:rtl/>
          <w:lang w:eastAsia="en-US"/>
        </w:rPr>
        <w:t>.</w:t>
      </w:r>
      <w:r>
        <w:rPr>
          <w:rStyle w:val="a5"/>
          <w:rFonts w:ascii="David"/>
          <w:rtl/>
          <w:lang w:eastAsia="en-US"/>
        </w:rPr>
        <w:footnoteReference w:id="2"/>
      </w:r>
    </w:p>
    <w:p w14:paraId="538E8C45" w14:textId="77777777" w:rsidR="00E65AC8" w:rsidRDefault="00E65AC8" w:rsidP="003626C7">
      <w:pPr>
        <w:pStyle w:val="ab"/>
        <w:rPr>
          <w:rtl/>
        </w:rPr>
      </w:pPr>
      <w:r>
        <w:rPr>
          <w:rtl/>
        </w:rPr>
        <w:t>משנה מסכת הוריות</w:t>
      </w:r>
      <w:r w:rsidR="00534316">
        <w:rPr>
          <w:rFonts w:hint="cs"/>
          <w:rtl/>
        </w:rPr>
        <w:t xml:space="preserve"> </w:t>
      </w:r>
      <w:r>
        <w:rPr>
          <w:rFonts w:hint="cs"/>
          <w:rtl/>
        </w:rPr>
        <w:t xml:space="preserve">פרק א </w:t>
      </w:r>
      <w:r w:rsidRPr="00534316">
        <w:rPr>
          <w:rtl/>
        </w:rPr>
        <w:t>משנה א</w:t>
      </w:r>
      <w:r w:rsidR="003626C7">
        <w:rPr>
          <w:rFonts w:hint="cs"/>
          <w:rtl/>
        </w:rPr>
        <w:t xml:space="preserve"> </w:t>
      </w:r>
      <w:r w:rsidR="003626C7">
        <w:rPr>
          <w:rtl/>
        </w:rPr>
        <w:t>–</w:t>
      </w:r>
      <w:r w:rsidR="003626C7">
        <w:rPr>
          <w:rFonts w:hint="cs"/>
          <w:rtl/>
        </w:rPr>
        <w:t xml:space="preserve"> מדובר בטעות של בית הדין הגדול </w:t>
      </w:r>
      <w:r w:rsidR="00534316">
        <w:rPr>
          <w:rStyle w:val="a5"/>
          <w:rtl/>
        </w:rPr>
        <w:footnoteReference w:id="3"/>
      </w:r>
    </w:p>
    <w:p w14:paraId="1EA819DF" w14:textId="77777777" w:rsidR="00E65AC8" w:rsidRDefault="00E65AC8" w:rsidP="00DA7964">
      <w:pPr>
        <w:pStyle w:val="ac"/>
        <w:rPr>
          <w:rtl/>
        </w:rPr>
      </w:pPr>
      <w:r>
        <w:rPr>
          <w:rtl/>
        </w:rPr>
        <w:t>הורו בית דין לעבור על אחת מכל מצות האמורות בתורה והלך היחיד ועשה שוגג על פיהם</w:t>
      </w:r>
      <w:r w:rsidR="00DA7964">
        <w:rPr>
          <w:rFonts w:hint="cs"/>
          <w:rtl/>
        </w:rPr>
        <w:t xml:space="preserve"> ...</w:t>
      </w:r>
      <w:r>
        <w:rPr>
          <w:rtl/>
        </w:rPr>
        <w:t xml:space="preserve"> פטור</w:t>
      </w:r>
      <w:r w:rsidR="00DA7964">
        <w:rPr>
          <w:rFonts w:hint="cs"/>
          <w:rtl/>
        </w:rPr>
        <w:t>,</w:t>
      </w:r>
      <w:r>
        <w:rPr>
          <w:rtl/>
        </w:rPr>
        <w:t xml:space="preserve"> מפני שתלה בבית דין</w:t>
      </w:r>
      <w:r w:rsidR="00DA7964">
        <w:rPr>
          <w:rFonts w:hint="cs"/>
          <w:rtl/>
        </w:rPr>
        <w:t>.</w:t>
      </w:r>
      <w:r w:rsidR="00DA7964">
        <w:rPr>
          <w:rStyle w:val="a5"/>
          <w:rtl/>
        </w:rPr>
        <w:footnoteReference w:id="4"/>
      </w:r>
      <w:r>
        <w:rPr>
          <w:rtl/>
        </w:rPr>
        <w:t xml:space="preserve"> הורו בית דין</w:t>
      </w:r>
      <w:r w:rsidR="00DA7964">
        <w:rPr>
          <w:rFonts w:hint="cs"/>
          <w:rtl/>
        </w:rPr>
        <w:t>,</w:t>
      </w:r>
      <w:r>
        <w:rPr>
          <w:rtl/>
        </w:rPr>
        <w:t xml:space="preserve"> וידע אחד מהן שטעו</w:t>
      </w:r>
      <w:r w:rsidR="00DA7964">
        <w:rPr>
          <w:rFonts w:hint="cs"/>
          <w:rtl/>
        </w:rPr>
        <w:t>,</w:t>
      </w:r>
      <w:r>
        <w:rPr>
          <w:rtl/>
        </w:rPr>
        <w:t xml:space="preserve"> או תלמיד והוא ראוי להוראה</w:t>
      </w:r>
      <w:r w:rsidR="00DA7964">
        <w:rPr>
          <w:rFonts w:hint="cs"/>
          <w:rtl/>
        </w:rPr>
        <w:t>,</w:t>
      </w:r>
      <w:r>
        <w:rPr>
          <w:rtl/>
        </w:rPr>
        <w:t xml:space="preserve"> והלך ועשה על פיהן </w:t>
      </w:r>
      <w:r w:rsidR="00DA7964">
        <w:rPr>
          <w:rFonts w:hint="cs"/>
          <w:rtl/>
        </w:rPr>
        <w:t>...</w:t>
      </w:r>
      <w:r>
        <w:rPr>
          <w:rtl/>
        </w:rPr>
        <w:t xml:space="preserve"> הרי זה חייב</w:t>
      </w:r>
      <w:r w:rsidR="00DA7964">
        <w:rPr>
          <w:rFonts w:hint="cs"/>
          <w:rtl/>
        </w:rPr>
        <w:t>,</w:t>
      </w:r>
      <w:r>
        <w:rPr>
          <w:rtl/>
        </w:rPr>
        <w:t xml:space="preserve"> מפני שלא תלה בבית דין</w:t>
      </w:r>
      <w:r w:rsidR="00DA7964">
        <w:rPr>
          <w:rFonts w:hint="cs"/>
          <w:rtl/>
        </w:rPr>
        <w:t>.</w:t>
      </w:r>
      <w:r>
        <w:rPr>
          <w:rtl/>
        </w:rPr>
        <w:t xml:space="preserve"> זה הכלל</w:t>
      </w:r>
      <w:r w:rsidR="00DA7964">
        <w:rPr>
          <w:rFonts w:hint="cs"/>
          <w:rtl/>
        </w:rPr>
        <w:t>:</w:t>
      </w:r>
      <w:r>
        <w:rPr>
          <w:rtl/>
        </w:rPr>
        <w:t xml:space="preserve"> התולה בעצמו </w:t>
      </w:r>
      <w:r w:rsidR="00DA7964">
        <w:rPr>
          <w:rtl/>
        </w:rPr>
        <w:t>–</w:t>
      </w:r>
      <w:r w:rsidR="00DA7964">
        <w:rPr>
          <w:rFonts w:hint="cs"/>
          <w:rtl/>
        </w:rPr>
        <w:t xml:space="preserve"> </w:t>
      </w:r>
      <w:r>
        <w:rPr>
          <w:rtl/>
        </w:rPr>
        <w:t>חייב</w:t>
      </w:r>
      <w:r w:rsidR="00DA7964">
        <w:rPr>
          <w:rFonts w:hint="cs"/>
          <w:rtl/>
        </w:rPr>
        <w:t>,</w:t>
      </w:r>
      <w:r>
        <w:rPr>
          <w:rtl/>
        </w:rPr>
        <w:t xml:space="preserve"> והתולה בבית דין </w:t>
      </w:r>
      <w:r w:rsidR="00DA7964">
        <w:rPr>
          <w:rtl/>
        </w:rPr>
        <w:t>–</w:t>
      </w:r>
      <w:r w:rsidR="00DA7964">
        <w:rPr>
          <w:rFonts w:hint="cs"/>
          <w:rtl/>
        </w:rPr>
        <w:t xml:space="preserve"> </w:t>
      </w:r>
      <w:r>
        <w:rPr>
          <w:rtl/>
        </w:rPr>
        <w:t>פטור</w:t>
      </w:r>
      <w:r w:rsidR="00DA7964">
        <w:rPr>
          <w:rFonts w:hint="cs"/>
          <w:rtl/>
        </w:rPr>
        <w:t>.</w:t>
      </w:r>
      <w:r w:rsidR="00630E8B">
        <w:rPr>
          <w:rStyle w:val="a5"/>
          <w:rtl/>
        </w:rPr>
        <w:footnoteReference w:id="5"/>
      </w:r>
      <w:r>
        <w:rPr>
          <w:rtl/>
        </w:rPr>
        <w:t xml:space="preserve"> </w:t>
      </w:r>
    </w:p>
    <w:p w14:paraId="31F53B95" w14:textId="77777777" w:rsidR="00E65AC8" w:rsidRDefault="00527F0C" w:rsidP="009D31F7">
      <w:pPr>
        <w:pStyle w:val="ab"/>
        <w:rPr>
          <w:rtl/>
        </w:rPr>
      </w:pPr>
      <w:r>
        <w:rPr>
          <w:rFonts w:hint="cs"/>
          <w:rtl/>
        </w:rPr>
        <w:t xml:space="preserve">שם </w:t>
      </w:r>
      <w:r w:rsidR="00E65AC8">
        <w:rPr>
          <w:rtl/>
        </w:rPr>
        <w:t>משנה ב</w:t>
      </w:r>
      <w:r w:rsidR="00252250">
        <w:rPr>
          <w:rFonts w:hint="cs"/>
          <w:rtl/>
        </w:rPr>
        <w:t xml:space="preserve"> </w:t>
      </w:r>
      <w:r w:rsidR="00252250">
        <w:rPr>
          <w:rtl/>
        </w:rPr>
        <w:t>–</w:t>
      </w:r>
      <w:r w:rsidR="00252250">
        <w:rPr>
          <w:rFonts w:hint="cs"/>
          <w:rtl/>
        </w:rPr>
        <w:t xml:space="preserve"> אחריות היחיד כאשר בית הדין חזר בו</w:t>
      </w:r>
    </w:p>
    <w:p w14:paraId="27FB861E" w14:textId="77777777" w:rsidR="00BB640A" w:rsidRDefault="00E65AC8" w:rsidP="001B4D97">
      <w:pPr>
        <w:pStyle w:val="ac"/>
        <w:rPr>
          <w:rFonts w:hint="cs"/>
          <w:rtl/>
        </w:rPr>
      </w:pPr>
      <w:r>
        <w:rPr>
          <w:rtl/>
        </w:rPr>
        <w:t>הורו בית דין וידעו שטעו וחזרו בהן</w:t>
      </w:r>
      <w:r w:rsidR="001B4D97">
        <w:rPr>
          <w:rFonts w:hint="cs"/>
          <w:rtl/>
        </w:rPr>
        <w:t>,</w:t>
      </w:r>
      <w:r>
        <w:rPr>
          <w:rtl/>
        </w:rPr>
        <w:t xml:space="preserve"> בין שהביאו כ</w:t>
      </w:r>
      <w:r w:rsidR="001B4D97">
        <w:rPr>
          <w:rtl/>
        </w:rPr>
        <w:t>ַּ</w:t>
      </w:r>
      <w:r>
        <w:rPr>
          <w:rtl/>
        </w:rPr>
        <w:t>פ</w:t>
      </w:r>
      <w:r w:rsidR="001B4D97">
        <w:rPr>
          <w:rtl/>
        </w:rPr>
        <w:t>ָּ</w:t>
      </w:r>
      <w:r>
        <w:rPr>
          <w:rtl/>
        </w:rPr>
        <w:t>ר</w:t>
      </w:r>
      <w:r w:rsidR="001B4D97">
        <w:rPr>
          <w:rtl/>
        </w:rPr>
        <w:t>ָ</w:t>
      </w:r>
      <w:r>
        <w:rPr>
          <w:rtl/>
        </w:rPr>
        <w:t>ת</w:t>
      </w:r>
      <w:r w:rsidR="001B4D97">
        <w:rPr>
          <w:rtl/>
        </w:rPr>
        <w:t>ָ</w:t>
      </w:r>
      <w:r>
        <w:rPr>
          <w:rtl/>
        </w:rPr>
        <w:t xml:space="preserve">ן ובין שלא הביאו </w:t>
      </w:r>
      <w:r w:rsidR="001B4D97">
        <w:rPr>
          <w:rtl/>
        </w:rPr>
        <w:t>כַּפָּרָתָן</w:t>
      </w:r>
      <w:r w:rsidR="001B4D97">
        <w:rPr>
          <w:rFonts w:hint="cs"/>
          <w:rtl/>
        </w:rPr>
        <w:t>,</w:t>
      </w:r>
      <w:r>
        <w:rPr>
          <w:rtl/>
        </w:rPr>
        <w:t xml:space="preserve"> והלך ועשה על פיהן</w:t>
      </w:r>
      <w:r w:rsidR="001B4D97">
        <w:rPr>
          <w:rFonts w:hint="cs"/>
          <w:rtl/>
        </w:rPr>
        <w:t xml:space="preserve"> - </w:t>
      </w:r>
      <w:r>
        <w:rPr>
          <w:rtl/>
        </w:rPr>
        <w:t>רבי שמעון פוטר</w:t>
      </w:r>
      <w:r w:rsidR="001B4D97">
        <w:rPr>
          <w:rFonts w:hint="cs"/>
          <w:rtl/>
        </w:rPr>
        <w:t>.</w:t>
      </w:r>
      <w:r>
        <w:rPr>
          <w:rtl/>
        </w:rPr>
        <w:t xml:space="preserve"> ורבי אליעזר אומר</w:t>
      </w:r>
      <w:r w:rsidR="001B4D97">
        <w:rPr>
          <w:rFonts w:hint="cs"/>
          <w:rtl/>
        </w:rPr>
        <w:t>:</w:t>
      </w:r>
      <w:r>
        <w:rPr>
          <w:rtl/>
        </w:rPr>
        <w:t xml:space="preserve"> ספק</w:t>
      </w:r>
      <w:r w:rsidR="001B4D97">
        <w:rPr>
          <w:rFonts w:hint="cs"/>
          <w:rtl/>
        </w:rPr>
        <w:t>.</w:t>
      </w:r>
      <w:r>
        <w:rPr>
          <w:rtl/>
        </w:rPr>
        <w:t xml:space="preserve"> איזהו ספק</w:t>
      </w:r>
      <w:r w:rsidR="001B4D97">
        <w:rPr>
          <w:rFonts w:hint="cs"/>
          <w:rtl/>
        </w:rPr>
        <w:t>?</w:t>
      </w:r>
      <w:r>
        <w:rPr>
          <w:rtl/>
        </w:rPr>
        <w:t xml:space="preserve"> ישב לו בתוך ביתו </w:t>
      </w:r>
      <w:r w:rsidR="001B4D97">
        <w:rPr>
          <w:rtl/>
        </w:rPr>
        <w:t>–</w:t>
      </w:r>
      <w:r w:rsidR="001B4D97">
        <w:rPr>
          <w:rFonts w:hint="cs"/>
          <w:rtl/>
        </w:rPr>
        <w:t xml:space="preserve"> </w:t>
      </w:r>
      <w:r>
        <w:rPr>
          <w:rtl/>
        </w:rPr>
        <w:t>חייב</w:t>
      </w:r>
      <w:r w:rsidR="001B4D97">
        <w:rPr>
          <w:rFonts w:hint="cs"/>
          <w:rtl/>
        </w:rPr>
        <w:t>.</w:t>
      </w:r>
      <w:r>
        <w:rPr>
          <w:rtl/>
        </w:rPr>
        <w:t xml:space="preserve"> הלך לו למדינת הים </w:t>
      </w:r>
      <w:r w:rsidR="001B4D97">
        <w:rPr>
          <w:rtl/>
        </w:rPr>
        <w:t>–</w:t>
      </w:r>
      <w:r w:rsidR="001B4D97">
        <w:rPr>
          <w:rFonts w:hint="cs"/>
          <w:rtl/>
        </w:rPr>
        <w:t xml:space="preserve"> </w:t>
      </w:r>
      <w:r>
        <w:rPr>
          <w:rtl/>
        </w:rPr>
        <w:t>פטור</w:t>
      </w:r>
      <w:r w:rsidR="001B4D97">
        <w:rPr>
          <w:rFonts w:hint="cs"/>
          <w:rtl/>
        </w:rPr>
        <w:t xml:space="preserve">... </w:t>
      </w:r>
      <w:r>
        <w:rPr>
          <w:rtl/>
        </w:rPr>
        <w:t>שהיושב בביתו אפשר היה לו שישמע</w:t>
      </w:r>
      <w:r w:rsidR="001B4D97">
        <w:rPr>
          <w:rFonts w:hint="cs"/>
          <w:rtl/>
        </w:rPr>
        <w:t>,</w:t>
      </w:r>
      <w:r>
        <w:rPr>
          <w:rtl/>
        </w:rPr>
        <w:t xml:space="preserve"> וזה לא היה אפשר לו שישמע</w:t>
      </w:r>
      <w:r w:rsidR="001B4D97">
        <w:rPr>
          <w:rFonts w:hint="cs"/>
          <w:rtl/>
        </w:rPr>
        <w:t>.</w:t>
      </w:r>
      <w:r w:rsidR="005040B5">
        <w:rPr>
          <w:rStyle w:val="a5"/>
          <w:rtl/>
        </w:rPr>
        <w:footnoteReference w:id="6"/>
      </w:r>
    </w:p>
    <w:p w14:paraId="7754EF35" w14:textId="77777777" w:rsidR="00E65AC8" w:rsidRDefault="00252250" w:rsidP="005040B5">
      <w:pPr>
        <w:pStyle w:val="ab"/>
        <w:rPr>
          <w:rtl/>
        </w:rPr>
      </w:pPr>
      <w:r>
        <w:rPr>
          <w:rFonts w:hint="cs"/>
          <w:rtl/>
        </w:rPr>
        <w:lastRenderedPageBreak/>
        <w:t xml:space="preserve">שם </w:t>
      </w:r>
      <w:r w:rsidR="00E65AC8">
        <w:rPr>
          <w:rtl/>
        </w:rPr>
        <w:t>משנה ג</w:t>
      </w:r>
      <w:r w:rsidR="00807640">
        <w:rPr>
          <w:rFonts w:hint="cs"/>
          <w:rtl/>
        </w:rPr>
        <w:t xml:space="preserve"> </w:t>
      </w:r>
      <w:r w:rsidR="00807640">
        <w:rPr>
          <w:rtl/>
        </w:rPr>
        <w:t>–</w:t>
      </w:r>
      <w:r w:rsidR="00807640">
        <w:rPr>
          <w:rFonts w:hint="cs"/>
          <w:rtl/>
        </w:rPr>
        <w:t xml:space="preserve"> מתי בית הדין חייב ומתי היחיד שעשה על פיהם</w:t>
      </w:r>
    </w:p>
    <w:p w14:paraId="1069BAF2" w14:textId="77777777" w:rsidR="005040B5" w:rsidRDefault="00E65AC8" w:rsidP="00D04E81">
      <w:pPr>
        <w:pStyle w:val="ac"/>
        <w:rPr>
          <w:rFonts w:hint="cs"/>
          <w:rtl/>
        </w:rPr>
      </w:pPr>
      <w:r>
        <w:rPr>
          <w:rtl/>
        </w:rPr>
        <w:t>הורו בית דין לעקור את כל הגוף</w:t>
      </w:r>
      <w:r w:rsidR="005040B5">
        <w:rPr>
          <w:rFonts w:hint="cs"/>
          <w:rtl/>
        </w:rPr>
        <w:t>,</w:t>
      </w:r>
      <w:r>
        <w:rPr>
          <w:rtl/>
        </w:rPr>
        <w:t xml:space="preserve"> אמרו</w:t>
      </w:r>
      <w:r w:rsidR="005040B5">
        <w:rPr>
          <w:rFonts w:hint="cs"/>
          <w:rtl/>
        </w:rPr>
        <w:t>:</w:t>
      </w:r>
      <w:r>
        <w:rPr>
          <w:rtl/>
        </w:rPr>
        <w:t xml:space="preserve"> אין נדה בתורה</w:t>
      </w:r>
      <w:r w:rsidR="005040B5">
        <w:rPr>
          <w:rFonts w:hint="cs"/>
          <w:rtl/>
        </w:rPr>
        <w:t>,</w:t>
      </w:r>
      <w:r>
        <w:rPr>
          <w:rtl/>
        </w:rPr>
        <w:t xml:space="preserve"> אין שבת בתורה</w:t>
      </w:r>
      <w:r w:rsidR="005040B5">
        <w:rPr>
          <w:rFonts w:hint="cs"/>
          <w:rtl/>
        </w:rPr>
        <w:t>,</w:t>
      </w:r>
      <w:r>
        <w:rPr>
          <w:rtl/>
        </w:rPr>
        <w:t xml:space="preserve"> אין עבודה זרה בתורה </w:t>
      </w:r>
      <w:r w:rsidR="005040B5">
        <w:rPr>
          <w:rFonts w:hint="cs"/>
          <w:rtl/>
        </w:rPr>
        <w:t xml:space="preserve">- </w:t>
      </w:r>
      <w:r>
        <w:rPr>
          <w:rtl/>
        </w:rPr>
        <w:t>הרי אלו פטורין</w:t>
      </w:r>
      <w:r w:rsidR="005040B5">
        <w:rPr>
          <w:rFonts w:hint="cs"/>
          <w:rtl/>
        </w:rPr>
        <w:t>.</w:t>
      </w:r>
      <w:r w:rsidR="005040B5">
        <w:rPr>
          <w:rStyle w:val="a5"/>
          <w:rtl/>
        </w:rPr>
        <w:footnoteReference w:id="7"/>
      </w:r>
      <w:r>
        <w:rPr>
          <w:rtl/>
        </w:rPr>
        <w:t xml:space="preserve"> הורו לבטל מקצת ולקיים מקצת</w:t>
      </w:r>
      <w:r w:rsidR="005040B5">
        <w:rPr>
          <w:rFonts w:hint="cs"/>
          <w:rtl/>
        </w:rPr>
        <w:t>,</w:t>
      </w:r>
      <w:r>
        <w:rPr>
          <w:rtl/>
        </w:rPr>
        <w:t xml:space="preserve"> הרי אלו חייבי</w:t>
      </w:r>
      <w:r w:rsidR="005040B5">
        <w:rPr>
          <w:rFonts w:hint="cs"/>
          <w:rtl/>
        </w:rPr>
        <w:t>ם.</w:t>
      </w:r>
      <w:r>
        <w:rPr>
          <w:rtl/>
        </w:rPr>
        <w:t xml:space="preserve"> כיצד</w:t>
      </w:r>
      <w:r w:rsidR="005040B5">
        <w:rPr>
          <w:rFonts w:hint="cs"/>
          <w:rtl/>
        </w:rPr>
        <w:t>?</w:t>
      </w:r>
      <w:r>
        <w:rPr>
          <w:rtl/>
        </w:rPr>
        <w:t xml:space="preserve"> אמרו יש נדה בתורה</w:t>
      </w:r>
      <w:r w:rsidR="005040B5">
        <w:rPr>
          <w:rFonts w:hint="cs"/>
          <w:rtl/>
        </w:rPr>
        <w:t>,</w:t>
      </w:r>
      <w:r>
        <w:rPr>
          <w:rtl/>
        </w:rPr>
        <w:t xml:space="preserve"> אבל הבא על שומרת יום כנגד יום פטור</w:t>
      </w:r>
      <w:r w:rsidR="005040B5">
        <w:rPr>
          <w:rFonts w:hint="cs"/>
          <w:rtl/>
        </w:rPr>
        <w:t>,</w:t>
      </w:r>
      <w:r>
        <w:rPr>
          <w:rtl/>
        </w:rPr>
        <w:t xml:space="preserve"> יש שבת בתורה אבל המוציא מרשות היחיד לרשות הרבים פטור</w:t>
      </w:r>
      <w:r w:rsidR="005040B5">
        <w:rPr>
          <w:rFonts w:hint="cs"/>
          <w:rtl/>
        </w:rPr>
        <w:t>,</w:t>
      </w:r>
      <w:r>
        <w:rPr>
          <w:rtl/>
        </w:rPr>
        <w:t xml:space="preserve"> יש עבודה זרה בתורה אבל המשתחוה פטור</w:t>
      </w:r>
      <w:r w:rsidR="00D04E81">
        <w:rPr>
          <w:rFonts w:hint="cs"/>
          <w:rtl/>
        </w:rPr>
        <w:t>,</w:t>
      </w:r>
      <w:r>
        <w:rPr>
          <w:rtl/>
        </w:rPr>
        <w:t xml:space="preserve"> הרי אלו חייבין</w:t>
      </w:r>
      <w:r w:rsidR="005040B5">
        <w:rPr>
          <w:rFonts w:hint="cs"/>
          <w:rtl/>
        </w:rPr>
        <w:t>,</w:t>
      </w:r>
      <w:r>
        <w:rPr>
          <w:rtl/>
        </w:rPr>
        <w:t xml:space="preserve"> שנאמר</w:t>
      </w:r>
      <w:r w:rsidR="005040B5">
        <w:rPr>
          <w:rFonts w:hint="cs"/>
          <w:rtl/>
        </w:rPr>
        <w:t>: "</w:t>
      </w:r>
      <w:r>
        <w:rPr>
          <w:rtl/>
        </w:rPr>
        <w:t>ונעלם דבר</w:t>
      </w:r>
      <w:r w:rsidR="00D04E81">
        <w:rPr>
          <w:rFonts w:hint="cs"/>
          <w:rtl/>
        </w:rPr>
        <w:t>"</w:t>
      </w:r>
      <w:r w:rsidR="005040B5">
        <w:rPr>
          <w:rFonts w:hint="cs"/>
          <w:rtl/>
        </w:rPr>
        <w:t>-</w:t>
      </w:r>
      <w:r>
        <w:rPr>
          <w:rtl/>
        </w:rPr>
        <w:t xml:space="preserve"> דבר ולא כל הגוף</w:t>
      </w:r>
      <w:r w:rsidR="005040B5">
        <w:rPr>
          <w:rFonts w:hint="cs"/>
          <w:rtl/>
        </w:rPr>
        <w:t>.</w:t>
      </w:r>
      <w:r w:rsidR="00096B92">
        <w:rPr>
          <w:rStyle w:val="a5"/>
          <w:rtl/>
        </w:rPr>
        <w:footnoteReference w:id="8"/>
      </w:r>
    </w:p>
    <w:p w14:paraId="43357E9A" w14:textId="77777777" w:rsidR="00E65AC8" w:rsidRDefault="00807640" w:rsidP="00096B92">
      <w:pPr>
        <w:pStyle w:val="ab"/>
        <w:rPr>
          <w:rtl/>
        </w:rPr>
      </w:pPr>
      <w:r>
        <w:rPr>
          <w:rFonts w:hint="cs"/>
          <w:rtl/>
        </w:rPr>
        <w:t xml:space="preserve">שם </w:t>
      </w:r>
      <w:r w:rsidR="00E65AC8">
        <w:rPr>
          <w:rtl/>
        </w:rPr>
        <w:t>משנה ד</w:t>
      </w:r>
      <w:r w:rsidR="00C60D3E">
        <w:rPr>
          <w:rFonts w:hint="cs"/>
          <w:rtl/>
        </w:rPr>
        <w:t xml:space="preserve"> </w:t>
      </w:r>
      <w:r w:rsidR="00C60D3E">
        <w:rPr>
          <w:rtl/>
        </w:rPr>
        <w:t>–</w:t>
      </w:r>
      <w:r w:rsidR="00C60D3E">
        <w:rPr>
          <w:rFonts w:hint="cs"/>
          <w:rtl/>
        </w:rPr>
        <w:t xml:space="preserve"> אחריות היחיד ואחריות הקהל</w:t>
      </w:r>
    </w:p>
    <w:p w14:paraId="7646A59F" w14:textId="77777777" w:rsidR="00420A28" w:rsidRDefault="00E65AC8" w:rsidP="00420A28">
      <w:pPr>
        <w:pStyle w:val="ac"/>
        <w:rPr>
          <w:rFonts w:hint="cs"/>
          <w:rtl/>
        </w:rPr>
      </w:pPr>
      <w:r>
        <w:rPr>
          <w:rtl/>
        </w:rPr>
        <w:t>הורו בית דין וידע אחד מהן שטעו ואמר להן</w:t>
      </w:r>
      <w:r w:rsidR="00420A28">
        <w:rPr>
          <w:rFonts w:hint="cs"/>
          <w:rtl/>
        </w:rPr>
        <w:t>:</w:t>
      </w:r>
      <w:r>
        <w:rPr>
          <w:rtl/>
        </w:rPr>
        <w:t xml:space="preserve"> טועין אתם</w:t>
      </w:r>
      <w:r w:rsidR="00420A28">
        <w:rPr>
          <w:rFonts w:hint="cs"/>
          <w:rtl/>
        </w:rPr>
        <w:t>.</w:t>
      </w:r>
      <w:r>
        <w:rPr>
          <w:rtl/>
        </w:rPr>
        <w:t xml:space="preserve"> או שלא היה מופלא של בית דין שם</w:t>
      </w:r>
      <w:r w:rsidR="00420A28">
        <w:rPr>
          <w:rFonts w:hint="cs"/>
          <w:rtl/>
        </w:rPr>
        <w:t>,</w:t>
      </w:r>
      <w:r w:rsidR="005F33FD">
        <w:rPr>
          <w:rStyle w:val="a5"/>
          <w:rtl/>
        </w:rPr>
        <w:footnoteReference w:id="9"/>
      </w:r>
      <w:r>
        <w:rPr>
          <w:rtl/>
        </w:rPr>
        <w:t xml:space="preserve"> או שהיה אחד מהן גר או ממזר או נתין</w:t>
      </w:r>
      <w:r w:rsidR="00420A28">
        <w:rPr>
          <w:rFonts w:hint="cs"/>
          <w:rtl/>
        </w:rPr>
        <w:t>,</w:t>
      </w:r>
      <w:r>
        <w:rPr>
          <w:rtl/>
        </w:rPr>
        <w:t xml:space="preserve"> או זקן שלא ראה לו בנים הרי אלו פטורין</w:t>
      </w:r>
      <w:r w:rsidR="00420A28">
        <w:rPr>
          <w:rFonts w:hint="cs"/>
          <w:rtl/>
        </w:rPr>
        <w:t>,</w:t>
      </w:r>
      <w:r>
        <w:rPr>
          <w:rtl/>
        </w:rPr>
        <w:t xml:space="preserve"> שנאמר כאן </w:t>
      </w:r>
      <w:r w:rsidR="00420A28">
        <w:rPr>
          <w:rFonts w:hint="cs"/>
          <w:rtl/>
        </w:rPr>
        <w:t>"</w:t>
      </w:r>
      <w:r>
        <w:rPr>
          <w:rtl/>
        </w:rPr>
        <w:t>עדה</w:t>
      </w:r>
      <w:r w:rsidR="00420A28">
        <w:rPr>
          <w:rFonts w:hint="cs"/>
          <w:rtl/>
        </w:rPr>
        <w:t>"</w:t>
      </w:r>
      <w:r>
        <w:rPr>
          <w:rtl/>
        </w:rPr>
        <w:t xml:space="preserve"> </w:t>
      </w:r>
      <w:r w:rsidR="00420A28">
        <w:rPr>
          <w:rFonts w:hint="cs"/>
          <w:rtl/>
        </w:rPr>
        <w:t xml:space="preserve">... </w:t>
      </w:r>
      <w:r>
        <w:rPr>
          <w:rtl/>
        </w:rPr>
        <w:t>עד שיהיו כולם ראויים להוראה</w:t>
      </w:r>
      <w:r w:rsidR="00420A28">
        <w:rPr>
          <w:rFonts w:hint="cs"/>
          <w:rtl/>
        </w:rPr>
        <w:t>.</w:t>
      </w:r>
      <w:r w:rsidR="00A2663B">
        <w:rPr>
          <w:rStyle w:val="a5"/>
          <w:rtl/>
        </w:rPr>
        <w:footnoteReference w:id="10"/>
      </w:r>
    </w:p>
    <w:p w14:paraId="0F4CB023" w14:textId="77777777" w:rsidR="009852F3" w:rsidRDefault="00E65AC8" w:rsidP="00420A28">
      <w:pPr>
        <w:pStyle w:val="ac"/>
        <w:rPr>
          <w:rFonts w:hint="cs"/>
          <w:rtl/>
        </w:rPr>
      </w:pPr>
      <w:r>
        <w:rPr>
          <w:rtl/>
        </w:rPr>
        <w:t xml:space="preserve">הורו בית דין שוגגים ועשו כל הקהל שוגגין </w:t>
      </w:r>
      <w:r>
        <w:rPr>
          <w:rFonts w:hint="cs"/>
          <w:rtl/>
        </w:rPr>
        <w:t xml:space="preserve">- </w:t>
      </w:r>
      <w:r>
        <w:rPr>
          <w:rtl/>
        </w:rPr>
        <w:t>מביאין פר</w:t>
      </w:r>
      <w:r>
        <w:rPr>
          <w:rFonts w:hint="cs"/>
          <w:rtl/>
        </w:rPr>
        <w:t>.</w:t>
      </w:r>
      <w:r>
        <w:rPr>
          <w:rtl/>
        </w:rPr>
        <w:t xml:space="preserve"> מזידין ועשו שוגגין </w:t>
      </w:r>
      <w:r>
        <w:rPr>
          <w:rFonts w:hint="cs"/>
          <w:rtl/>
        </w:rPr>
        <w:t xml:space="preserve">- </w:t>
      </w:r>
      <w:r>
        <w:rPr>
          <w:rtl/>
        </w:rPr>
        <w:t>מביאין כשבה ושעירה</w:t>
      </w:r>
      <w:r>
        <w:rPr>
          <w:rFonts w:hint="cs"/>
          <w:rtl/>
        </w:rPr>
        <w:t>.</w:t>
      </w:r>
      <w:r>
        <w:rPr>
          <w:rtl/>
        </w:rPr>
        <w:t xml:space="preserve"> שוגגין ועשו מזידין </w:t>
      </w:r>
      <w:r>
        <w:rPr>
          <w:rFonts w:hint="cs"/>
          <w:rtl/>
        </w:rPr>
        <w:t xml:space="preserve">- </w:t>
      </w:r>
      <w:r>
        <w:rPr>
          <w:rtl/>
        </w:rPr>
        <w:t>הרי אלו פטורין</w:t>
      </w:r>
      <w:r w:rsidR="009852F3">
        <w:rPr>
          <w:rFonts w:hint="cs"/>
          <w:rtl/>
        </w:rPr>
        <w:t>.</w:t>
      </w:r>
      <w:r w:rsidR="00A05DBC">
        <w:rPr>
          <w:rStyle w:val="a5"/>
          <w:rtl/>
        </w:rPr>
        <w:footnoteReference w:id="11"/>
      </w:r>
    </w:p>
    <w:p w14:paraId="0C0DED6F" w14:textId="77777777" w:rsidR="00C4277D" w:rsidRDefault="00C4277D" w:rsidP="00C4277D">
      <w:pPr>
        <w:pStyle w:val="ab"/>
        <w:rPr>
          <w:rtl/>
        </w:rPr>
      </w:pPr>
      <w:r>
        <w:rPr>
          <w:rtl/>
        </w:rPr>
        <w:t>רמב"ם הלכות שגגות פרק יד הלכה ד</w:t>
      </w:r>
      <w:r w:rsidR="00F57C35">
        <w:rPr>
          <w:rFonts w:hint="cs"/>
          <w:rtl/>
        </w:rPr>
        <w:t xml:space="preserve"> </w:t>
      </w:r>
      <w:r w:rsidR="00F57C35">
        <w:rPr>
          <w:rtl/>
        </w:rPr>
        <w:t>–</w:t>
      </w:r>
      <w:r w:rsidR="00F57C35">
        <w:rPr>
          <w:rFonts w:hint="cs"/>
          <w:rtl/>
        </w:rPr>
        <w:t xml:space="preserve"> איך נודע לבית הדין שטעה</w:t>
      </w:r>
    </w:p>
    <w:p w14:paraId="0D5A7014" w14:textId="77777777" w:rsidR="00C4277D" w:rsidRDefault="00C4277D" w:rsidP="00C4277D">
      <w:pPr>
        <w:pStyle w:val="ac"/>
        <w:rPr>
          <w:rFonts w:hint="cs"/>
          <w:rtl/>
        </w:rPr>
      </w:pPr>
      <w:r>
        <w:rPr>
          <w:rtl/>
        </w:rPr>
        <w:t>בית דין שהורו בשגגה ושכחו עצמו של חטא שהורו בו, אף על פי שהן יודעים בודאי שחטאו בשגגה ואף על פי שהעם מודיעין אותן ואומרים להן בכך וכך הוריתם לנו, הם פטורין והעושים על פיהם חייבין בפני עצמן, שנאמר</w:t>
      </w:r>
      <w:r w:rsidR="00ED6DAF">
        <w:rPr>
          <w:rFonts w:hint="cs"/>
          <w:rtl/>
        </w:rPr>
        <w:t>:</w:t>
      </w:r>
      <w:r>
        <w:rPr>
          <w:rtl/>
        </w:rPr>
        <w:t xml:space="preserve"> </w:t>
      </w:r>
      <w:r w:rsidR="00ED6DAF">
        <w:rPr>
          <w:rFonts w:hint="cs"/>
          <w:rtl/>
        </w:rPr>
        <w:t>"</w:t>
      </w:r>
      <w:r>
        <w:rPr>
          <w:rtl/>
        </w:rPr>
        <w:t>ונודעה החטאת אשר חטאו עליה</w:t>
      </w:r>
      <w:r w:rsidR="00ED6DAF">
        <w:rPr>
          <w:rFonts w:hint="cs"/>
          <w:rtl/>
        </w:rPr>
        <w:t>" -</w:t>
      </w:r>
      <w:r>
        <w:rPr>
          <w:rtl/>
        </w:rPr>
        <w:t xml:space="preserve"> לא שיודיעו אותו החוטאים</w:t>
      </w:r>
      <w:r w:rsidR="00ED6DAF">
        <w:rPr>
          <w:rFonts w:hint="cs"/>
          <w:rtl/>
        </w:rPr>
        <w:t>.</w:t>
      </w:r>
      <w:r w:rsidR="00C017FB">
        <w:rPr>
          <w:rStyle w:val="a5"/>
          <w:rtl/>
        </w:rPr>
        <w:footnoteReference w:id="12"/>
      </w:r>
    </w:p>
    <w:p w14:paraId="618A5DF2" w14:textId="77777777" w:rsidR="00183CA1" w:rsidRDefault="00183CA1" w:rsidP="00693FC3">
      <w:pPr>
        <w:pStyle w:val="ab"/>
        <w:rPr>
          <w:rtl/>
        </w:rPr>
      </w:pPr>
      <w:r>
        <w:rPr>
          <w:rtl/>
        </w:rPr>
        <w:lastRenderedPageBreak/>
        <w:t>רמב"ן דברים פרק יז פסוק יא</w:t>
      </w:r>
      <w:r w:rsidR="00CD25D7">
        <w:rPr>
          <w:rFonts w:hint="cs"/>
          <w:rtl/>
        </w:rPr>
        <w:t xml:space="preserve"> </w:t>
      </w:r>
      <w:r w:rsidR="00CD25D7">
        <w:rPr>
          <w:rtl/>
        </w:rPr>
        <w:t>–</w:t>
      </w:r>
      <w:r w:rsidR="00CD25D7">
        <w:rPr>
          <w:rFonts w:hint="cs"/>
          <w:rtl/>
        </w:rPr>
        <w:t xml:space="preserve"> אפילו אם תחשוב שהם טועים</w:t>
      </w:r>
    </w:p>
    <w:p w14:paraId="1442ECFA" w14:textId="77777777" w:rsidR="001B4D97" w:rsidRDefault="00EA476C" w:rsidP="003D5418">
      <w:pPr>
        <w:pStyle w:val="ac"/>
        <w:rPr>
          <w:rFonts w:hint="cs"/>
          <w:rtl/>
        </w:rPr>
      </w:pPr>
      <w:r>
        <w:rPr>
          <w:rFonts w:hint="cs"/>
          <w:rtl/>
        </w:rPr>
        <w:t xml:space="preserve">"על פי התורה אשר יורוך ועל המשפט אשר יאמרו לך תעשה" - </w:t>
      </w:r>
      <w:r w:rsidR="00183CA1">
        <w:rPr>
          <w:rtl/>
        </w:rPr>
        <w:t>וענינו, אפילו תחשוב בלבך שהם טועים, והדבר פשוט בעיניך כאשר אתה יודע בין ימינך לשמאלך, תעשה כמצותם</w:t>
      </w:r>
      <w:r w:rsidR="00183CA1">
        <w:rPr>
          <w:rFonts w:hint="cs"/>
          <w:rtl/>
        </w:rPr>
        <w:t>.</w:t>
      </w:r>
      <w:r w:rsidR="00183CA1">
        <w:rPr>
          <w:rtl/>
        </w:rPr>
        <w:t xml:space="preserve"> ואל תאמר איך אוכל החלב הגמור הזה או אהרוג האיש הנקי הזה, אבל תאמר</w:t>
      </w:r>
      <w:r w:rsidR="00183CA1">
        <w:rPr>
          <w:rFonts w:hint="cs"/>
          <w:rtl/>
        </w:rPr>
        <w:t>:</w:t>
      </w:r>
      <w:r w:rsidR="00183CA1">
        <w:rPr>
          <w:rtl/>
        </w:rPr>
        <w:t xml:space="preserve"> כך צוה אותי האדון המצוה על המצות שאעשה בכל מצותיו ככל אשר יורוני העומדים לפניו </w:t>
      </w:r>
      <w:r w:rsidR="00183CA1">
        <w:rPr>
          <w:rFonts w:hint="cs"/>
          <w:rtl/>
        </w:rPr>
        <w:t xml:space="preserve">... </w:t>
      </w:r>
      <w:r w:rsidR="00183CA1">
        <w:rPr>
          <w:rtl/>
        </w:rPr>
        <w:t>ועל משמעות דעתם נתן לי התורה אפילו יטעו</w:t>
      </w:r>
      <w:r w:rsidR="003D5418">
        <w:rPr>
          <w:rFonts w:hint="cs"/>
          <w:rtl/>
        </w:rPr>
        <w:t xml:space="preserve"> ...</w:t>
      </w:r>
      <w:r w:rsidR="009B0428">
        <w:rPr>
          <w:rStyle w:val="a5"/>
          <w:rtl/>
        </w:rPr>
        <w:footnoteReference w:id="13"/>
      </w:r>
    </w:p>
    <w:p w14:paraId="6689E10D" w14:textId="77777777" w:rsidR="00994B14" w:rsidRDefault="00994B14" w:rsidP="00693FC3">
      <w:pPr>
        <w:pStyle w:val="ab"/>
        <w:rPr>
          <w:rFonts w:hint="cs"/>
          <w:rtl/>
        </w:rPr>
      </w:pPr>
      <w:r>
        <w:rPr>
          <w:rFonts w:hint="cs"/>
          <w:rtl/>
        </w:rPr>
        <w:t>מסכת חגיגה דף ג עמוד ב</w:t>
      </w:r>
      <w:r w:rsidR="00A42434">
        <w:rPr>
          <w:rFonts w:hint="cs"/>
          <w:rtl/>
        </w:rPr>
        <w:t xml:space="preserve"> </w:t>
      </w:r>
      <w:r w:rsidR="00A42434">
        <w:rPr>
          <w:rtl/>
        </w:rPr>
        <w:t>–</w:t>
      </w:r>
      <w:r w:rsidR="00A42434">
        <w:rPr>
          <w:rFonts w:hint="cs"/>
          <w:rtl/>
        </w:rPr>
        <w:t xml:space="preserve"> קנה לך לב מבין </w:t>
      </w:r>
    </w:p>
    <w:p w14:paraId="528B8C55" w14:textId="77777777" w:rsidR="00994B14" w:rsidRDefault="00994B14" w:rsidP="00525859">
      <w:pPr>
        <w:pStyle w:val="ac"/>
        <w:rPr>
          <w:rFonts w:hint="cs"/>
          <w:rtl/>
        </w:rPr>
      </w:pPr>
      <w:r>
        <w:rPr>
          <w:rFonts w:hint="cs"/>
          <w:rtl/>
        </w:rPr>
        <w:t>"דברי חכמים כד</w:t>
      </w:r>
      <w:r w:rsidR="00A57A28">
        <w:rPr>
          <w:rFonts w:hint="cs"/>
          <w:rtl/>
        </w:rPr>
        <w:t>ו</w:t>
      </w:r>
      <w:r>
        <w:rPr>
          <w:rFonts w:hint="cs"/>
          <w:rtl/>
        </w:rPr>
        <w:t>רבנות וכמשמרות נטועים בעלי אס</w:t>
      </w:r>
      <w:r w:rsidR="00A57A28">
        <w:rPr>
          <w:rFonts w:hint="eastAsia"/>
          <w:rtl/>
        </w:rPr>
        <w:t>ֻ</w:t>
      </w:r>
      <w:r>
        <w:rPr>
          <w:rFonts w:hint="cs"/>
          <w:rtl/>
        </w:rPr>
        <w:t>פ</w:t>
      </w:r>
      <w:r w:rsidR="00A57A28">
        <w:rPr>
          <w:rFonts w:hint="eastAsia"/>
          <w:rtl/>
        </w:rPr>
        <w:t>ּ</w:t>
      </w:r>
      <w:r>
        <w:rPr>
          <w:rFonts w:hint="cs"/>
          <w:rtl/>
        </w:rPr>
        <w:t>ו</w:t>
      </w:r>
      <w:r w:rsidR="00A57A28">
        <w:rPr>
          <w:rFonts w:hint="eastAsia"/>
          <w:rtl/>
        </w:rPr>
        <w:t>ֹ</w:t>
      </w:r>
      <w:r>
        <w:rPr>
          <w:rFonts w:hint="cs"/>
          <w:rtl/>
        </w:rPr>
        <w:t>ת נתנו מר</w:t>
      </w:r>
      <w:r w:rsidR="00A57A28">
        <w:rPr>
          <w:rFonts w:hint="cs"/>
          <w:rtl/>
        </w:rPr>
        <w:t>ו</w:t>
      </w:r>
      <w:r>
        <w:rPr>
          <w:rFonts w:hint="cs"/>
          <w:rtl/>
        </w:rPr>
        <w:t>עה אחד" ... "בעלי אס</w:t>
      </w:r>
      <w:r w:rsidR="00F525AF">
        <w:rPr>
          <w:rFonts w:hint="cs"/>
          <w:rtl/>
        </w:rPr>
        <w:t>ו</w:t>
      </w:r>
      <w:r>
        <w:rPr>
          <w:rFonts w:hint="cs"/>
          <w:rtl/>
        </w:rPr>
        <w:t>פות" - אלו תלמידי חכמים שיושבין אסופות אסופות ועוסקין בתורה. הללו מטמאין והללו מטהרין, הללו אוסרין והללו מתירין, הללו פוסלין והללו מכשירין. שמא יאמר אדם: היאך אני למד תורה מעתה? תלמוד לומר: כולם נתנו מר</w:t>
      </w:r>
      <w:r w:rsidR="00E53AEA">
        <w:rPr>
          <w:rFonts w:hint="cs"/>
          <w:rtl/>
        </w:rPr>
        <w:t>ו</w:t>
      </w:r>
      <w:r>
        <w:rPr>
          <w:rFonts w:hint="cs"/>
          <w:rtl/>
        </w:rPr>
        <w:t xml:space="preserve">עה אחד - אל אחד נתנן, פרנס אחד אמרן, מפי אדון כל המעשים ברוך הוא, דכתיב: "וידבר אלהים את כל הדברים האלה" (שמות כ </w:t>
      </w:r>
      <w:r w:rsidR="00525859">
        <w:rPr>
          <w:rFonts w:hint="cs"/>
          <w:rtl/>
        </w:rPr>
        <w:t>א</w:t>
      </w:r>
      <w:r>
        <w:rPr>
          <w:rFonts w:hint="cs"/>
          <w:rtl/>
        </w:rPr>
        <w:t>). אף אתה עשה אזניך כאפרכסת, וקנה לך לב מבין לשמוע את דברי מטמאים ואת דברי מטהרים, את דברי אוסרין ואת דברי מתירין, את דברי פוסלין ואת דברי מכשירין.</w:t>
      </w:r>
      <w:r>
        <w:rPr>
          <w:rStyle w:val="a5"/>
          <w:rtl/>
        </w:rPr>
        <w:footnoteReference w:id="14"/>
      </w:r>
    </w:p>
    <w:p w14:paraId="4E938633" w14:textId="77777777" w:rsidR="00A83E99" w:rsidRDefault="00A83E99" w:rsidP="00693FC3">
      <w:pPr>
        <w:pStyle w:val="ab"/>
        <w:rPr>
          <w:rtl/>
        </w:rPr>
      </w:pPr>
      <w:r>
        <w:rPr>
          <w:rtl/>
        </w:rPr>
        <w:t>הקדמת הרמב"ם למשנה</w:t>
      </w:r>
      <w:r w:rsidR="001B0A88">
        <w:rPr>
          <w:rFonts w:hint="cs"/>
          <w:rtl/>
        </w:rPr>
        <w:t xml:space="preserve"> </w:t>
      </w:r>
      <w:r w:rsidR="001B0A88">
        <w:rPr>
          <w:rtl/>
        </w:rPr>
        <w:t>–</w:t>
      </w:r>
      <w:r w:rsidR="001B0A88">
        <w:rPr>
          <w:rFonts w:hint="cs"/>
          <w:rtl/>
        </w:rPr>
        <w:t xml:space="preserve"> למה מסכתות אבות והוריות בסוף סדר נזיקין</w:t>
      </w:r>
      <w:r w:rsidR="001B4D97">
        <w:rPr>
          <w:rStyle w:val="a5"/>
          <w:rtl/>
        </w:rPr>
        <w:footnoteReference w:id="15"/>
      </w:r>
      <w:r>
        <w:rPr>
          <w:rtl/>
        </w:rPr>
        <w:t xml:space="preserve"> </w:t>
      </w:r>
    </w:p>
    <w:p w14:paraId="0C902CE5" w14:textId="77777777" w:rsidR="00A83E99" w:rsidRDefault="00E65AC8" w:rsidP="001B12C0">
      <w:pPr>
        <w:pStyle w:val="ac"/>
        <w:rPr>
          <w:rFonts w:hint="cs"/>
          <w:rtl/>
        </w:rPr>
      </w:pPr>
      <w:r>
        <w:rPr>
          <w:rFonts w:hint="cs"/>
          <w:rtl/>
        </w:rPr>
        <w:t xml:space="preserve">... </w:t>
      </w:r>
      <w:r w:rsidR="00A83E99">
        <w:rPr>
          <w:rtl/>
        </w:rPr>
        <w:t>וכיון שהדיין צריך לכל דברי מוסר אלה להתנהג בהם, כמה נאה סדור אבות אחר סנהדרין וכל הנספח לה</w:t>
      </w:r>
      <w:r w:rsidR="001B12C0">
        <w:rPr>
          <w:rFonts w:hint="cs"/>
          <w:rtl/>
        </w:rPr>
        <w:t>,</w:t>
      </w:r>
      <w:r w:rsidR="00A83E99">
        <w:rPr>
          <w:rtl/>
        </w:rPr>
        <w:t xml:space="preserve"> שהיא כוללת כל דברי המוסר הללו</w:t>
      </w:r>
      <w:r w:rsidR="001B12C0">
        <w:rPr>
          <w:rFonts w:hint="cs"/>
          <w:rtl/>
        </w:rPr>
        <w:t>.</w:t>
      </w:r>
      <w:r w:rsidR="00A83E99">
        <w:rPr>
          <w:rtl/>
        </w:rPr>
        <w:t xml:space="preserve"> ונוסף לכך דברי מוסר המביאים לידי פרישות בעולם, וכבוד התורה ולומדיה ולכל מעשה הצדק ויראת שמים. וכאשר גמר דברי המוסר לדיינים דבר על שגגתם, לפי שמטבעו של אדם לא יבצר שלא יחטא, ולכן קבע הוריות אחר אבות, ובה חתם סדר נזקין. ובזה נשלמה חלוקת הדברים בסדר נזיקין שמונה מסכתות.</w:t>
      </w:r>
      <w:r w:rsidR="00FC3F40">
        <w:rPr>
          <w:rStyle w:val="a5"/>
          <w:rtl/>
        </w:rPr>
        <w:footnoteReference w:id="16"/>
      </w:r>
    </w:p>
    <w:p w14:paraId="121702EB" w14:textId="77777777" w:rsidR="006E4612" w:rsidRPr="00AE06CF" w:rsidRDefault="006E4612" w:rsidP="009B0428">
      <w:pPr>
        <w:pStyle w:val="ab"/>
        <w:rPr>
          <w:rtl/>
          <w:lang w:val="he-IL"/>
        </w:rPr>
      </w:pPr>
      <w:r w:rsidRPr="00AE06CF">
        <w:rPr>
          <w:rtl/>
          <w:lang w:val="he-IL"/>
        </w:rPr>
        <w:lastRenderedPageBreak/>
        <w:t xml:space="preserve">תלמוד ירושלמי מסכת הוריות פרק ג </w:t>
      </w:r>
      <w:r w:rsidR="00357F87">
        <w:rPr>
          <w:rFonts w:hint="cs"/>
          <w:rtl/>
          <w:lang w:val="he-IL"/>
        </w:rPr>
        <w:t>הלכה ה</w:t>
      </w:r>
      <w:r w:rsidR="00D011BA">
        <w:rPr>
          <w:rFonts w:hint="cs"/>
          <w:rtl/>
          <w:lang w:val="he-IL"/>
        </w:rPr>
        <w:t xml:space="preserve"> </w:t>
      </w:r>
      <w:r w:rsidR="00D011BA">
        <w:rPr>
          <w:rtl/>
          <w:lang w:val="he-IL"/>
        </w:rPr>
        <w:t>–</w:t>
      </w:r>
      <w:r w:rsidR="00D011BA">
        <w:rPr>
          <w:rFonts w:hint="cs"/>
          <w:rtl/>
          <w:lang w:val="he-IL"/>
        </w:rPr>
        <w:t xml:space="preserve"> בין הלכה לאגדה</w:t>
      </w:r>
    </w:p>
    <w:p w14:paraId="17D7ADEA" w14:textId="77777777" w:rsidR="006E4612" w:rsidRDefault="006E4612" w:rsidP="004D5E13">
      <w:pPr>
        <w:pStyle w:val="ac"/>
        <w:rPr>
          <w:rFonts w:hint="cs"/>
          <w:rtl/>
          <w:lang w:val="he-IL"/>
        </w:rPr>
      </w:pPr>
      <w:r w:rsidRPr="00AE06CF">
        <w:rPr>
          <w:rtl/>
          <w:lang w:val="he-IL"/>
        </w:rPr>
        <w:t>דרש רבי שמואל ברי</w:t>
      </w:r>
      <w:r w:rsidR="004D5E13">
        <w:rPr>
          <w:rFonts w:hint="cs"/>
          <w:rtl/>
          <w:lang w:val="he-IL"/>
        </w:rPr>
        <w:t>ה</w:t>
      </w:r>
      <w:r w:rsidRPr="00AE06CF">
        <w:rPr>
          <w:rtl/>
          <w:lang w:val="he-IL"/>
        </w:rPr>
        <w:t xml:space="preserve"> דרבי יוסי בי רבי בון</w:t>
      </w:r>
      <w:r w:rsidR="004D5E13">
        <w:rPr>
          <w:rFonts w:hint="cs"/>
          <w:rtl/>
          <w:lang w:val="he-IL"/>
        </w:rPr>
        <w:t>:</w:t>
      </w:r>
      <w:r w:rsidRPr="00AE06CF">
        <w:rPr>
          <w:rtl/>
          <w:lang w:val="he-IL"/>
        </w:rPr>
        <w:t xml:space="preserve"> </w:t>
      </w:r>
      <w:r w:rsidR="004D5E13">
        <w:rPr>
          <w:rFonts w:hint="cs"/>
          <w:rtl/>
          <w:lang w:val="he-IL"/>
        </w:rPr>
        <w:t>"</w:t>
      </w:r>
      <w:r w:rsidRPr="00AE06CF">
        <w:rPr>
          <w:rtl/>
          <w:lang w:val="he-IL"/>
        </w:rPr>
        <w:t>חכם בעיניו איש עשיר ודל מבין יחקרנו</w:t>
      </w:r>
      <w:r w:rsidR="004D5E13">
        <w:rPr>
          <w:rFonts w:hint="cs"/>
          <w:rtl/>
          <w:lang w:val="he-IL"/>
        </w:rPr>
        <w:t>" (</w:t>
      </w:r>
      <w:r w:rsidR="004D5E13" w:rsidRPr="00AE06CF">
        <w:rPr>
          <w:rtl/>
          <w:lang w:val="he-IL"/>
        </w:rPr>
        <w:t>משלי כח יא</w:t>
      </w:r>
      <w:r w:rsidR="004D5E13">
        <w:rPr>
          <w:rFonts w:hint="cs"/>
          <w:rtl/>
          <w:lang w:val="he-IL"/>
        </w:rPr>
        <w:t>)</w:t>
      </w:r>
      <w:r w:rsidRPr="00AE06CF">
        <w:rPr>
          <w:rtl/>
          <w:lang w:val="he-IL"/>
        </w:rPr>
        <w:t xml:space="preserve">. </w:t>
      </w:r>
      <w:r w:rsidR="00433157">
        <w:rPr>
          <w:rFonts w:hint="cs"/>
          <w:rtl/>
          <w:lang w:val="he-IL"/>
        </w:rPr>
        <w:t>"</w:t>
      </w:r>
      <w:r w:rsidRPr="00AE06CF">
        <w:rPr>
          <w:rtl/>
          <w:lang w:val="he-IL"/>
        </w:rPr>
        <w:t>חכם בעיניו איש עשיר</w:t>
      </w:r>
      <w:r w:rsidR="00433157">
        <w:rPr>
          <w:rFonts w:hint="cs"/>
          <w:rtl/>
          <w:lang w:val="he-IL"/>
        </w:rPr>
        <w:t>" -</w:t>
      </w:r>
      <w:r w:rsidRPr="00AE06CF">
        <w:rPr>
          <w:rtl/>
          <w:lang w:val="he-IL"/>
        </w:rPr>
        <w:t xml:space="preserve"> זה בעל התלמוד</w:t>
      </w:r>
      <w:r w:rsidR="00433157">
        <w:rPr>
          <w:rFonts w:hint="cs"/>
          <w:rtl/>
          <w:lang w:val="he-IL"/>
        </w:rPr>
        <w:t>.</w:t>
      </w:r>
      <w:r w:rsidRPr="00AE06CF">
        <w:rPr>
          <w:rtl/>
          <w:lang w:val="he-IL"/>
        </w:rPr>
        <w:t xml:space="preserve"> </w:t>
      </w:r>
      <w:r w:rsidR="00433157">
        <w:rPr>
          <w:rFonts w:hint="cs"/>
          <w:rtl/>
          <w:lang w:val="he-IL"/>
        </w:rPr>
        <w:t>"</w:t>
      </w:r>
      <w:r w:rsidRPr="00AE06CF">
        <w:rPr>
          <w:rtl/>
          <w:lang w:val="he-IL"/>
        </w:rPr>
        <w:t>ודל מבין יחקרנו</w:t>
      </w:r>
      <w:r w:rsidR="00433157">
        <w:rPr>
          <w:rFonts w:hint="cs"/>
          <w:rtl/>
          <w:lang w:val="he-IL"/>
        </w:rPr>
        <w:t>" -</w:t>
      </w:r>
      <w:r w:rsidRPr="00AE06CF">
        <w:rPr>
          <w:rtl/>
          <w:lang w:val="he-IL"/>
        </w:rPr>
        <w:t xml:space="preserve"> זה בעל אגדה. </w:t>
      </w:r>
      <w:r w:rsidR="00433157">
        <w:rPr>
          <w:rFonts w:hint="cs"/>
          <w:rtl/>
          <w:lang w:val="he-IL"/>
        </w:rPr>
        <w:t xml:space="preserve">(משל) </w:t>
      </w:r>
      <w:r w:rsidRPr="00AE06CF">
        <w:rPr>
          <w:rtl/>
          <w:lang w:val="he-IL"/>
        </w:rPr>
        <w:t>לשנים שנכנסו לעיר</w:t>
      </w:r>
      <w:r w:rsidR="0033588D">
        <w:rPr>
          <w:rFonts w:hint="cs"/>
          <w:rtl/>
          <w:lang w:val="he-IL"/>
        </w:rPr>
        <w:t>,</w:t>
      </w:r>
      <w:r w:rsidRPr="00AE06CF">
        <w:rPr>
          <w:rtl/>
          <w:lang w:val="he-IL"/>
        </w:rPr>
        <w:t xml:space="preserve"> ביד זה עשתות של זהב וביד זה פרוטרוט</w:t>
      </w:r>
      <w:r w:rsidR="0033588D">
        <w:rPr>
          <w:rFonts w:hint="cs"/>
          <w:rtl/>
          <w:lang w:val="he-IL"/>
        </w:rPr>
        <w:t>.</w:t>
      </w:r>
      <w:r w:rsidR="00433157">
        <w:rPr>
          <w:rStyle w:val="a5"/>
          <w:rtl/>
          <w:lang w:val="he-IL"/>
        </w:rPr>
        <w:footnoteReference w:id="17"/>
      </w:r>
      <w:r w:rsidRPr="00AE06CF">
        <w:rPr>
          <w:rtl/>
          <w:lang w:val="he-IL"/>
        </w:rPr>
        <w:t xml:space="preserve"> זה שבידו עשתות של זהב אינו מוציא וחיה</w:t>
      </w:r>
      <w:r w:rsidR="0033588D">
        <w:rPr>
          <w:rFonts w:hint="cs"/>
          <w:rtl/>
          <w:lang w:val="he-IL"/>
        </w:rPr>
        <w:t>,</w:t>
      </w:r>
      <w:r w:rsidRPr="00AE06CF">
        <w:rPr>
          <w:rtl/>
          <w:lang w:val="he-IL"/>
        </w:rPr>
        <w:t xml:space="preserve"> וזה שבידו פרוטרוט מוציא וחיה.</w:t>
      </w:r>
      <w:r>
        <w:rPr>
          <w:rStyle w:val="a5"/>
          <w:rtl/>
          <w:lang w:val="he-IL"/>
        </w:rPr>
        <w:footnoteReference w:id="18"/>
      </w:r>
      <w:r w:rsidRPr="00AE06CF">
        <w:rPr>
          <w:rtl/>
          <w:lang w:val="he-IL"/>
        </w:rPr>
        <w:t xml:space="preserve"> </w:t>
      </w:r>
    </w:p>
    <w:p w14:paraId="4837BADB" w14:textId="77777777" w:rsidR="006E4612" w:rsidRDefault="006E4612" w:rsidP="0033588D">
      <w:pPr>
        <w:pStyle w:val="ac"/>
        <w:rPr>
          <w:rFonts w:hint="cs"/>
          <w:rtl/>
          <w:lang w:val="he-IL"/>
        </w:rPr>
      </w:pPr>
      <w:r w:rsidRPr="00AE06CF">
        <w:rPr>
          <w:rtl/>
          <w:lang w:val="he-IL"/>
        </w:rPr>
        <w:t xml:space="preserve">ר' אבא בר כהנא </w:t>
      </w:r>
      <w:r w:rsidR="0033588D">
        <w:rPr>
          <w:rFonts w:hint="cs"/>
          <w:rtl/>
          <w:lang w:val="he-IL"/>
        </w:rPr>
        <w:t xml:space="preserve">הלך למקום אחד ומצא את </w:t>
      </w:r>
      <w:r w:rsidRPr="00AE06CF">
        <w:rPr>
          <w:rtl/>
          <w:lang w:val="he-IL"/>
        </w:rPr>
        <w:t xml:space="preserve">ר' לוי </w:t>
      </w:r>
      <w:r w:rsidR="0033588D">
        <w:rPr>
          <w:rFonts w:hint="cs"/>
          <w:rtl/>
          <w:lang w:val="he-IL"/>
        </w:rPr>
        <w:t>יושב ודורש</w:t>
      </w:r>
      <w:r w:rsidR="0033588D">
        <w:rPr>
          <w:rStyle w:val="a5"/>
          <w:rtl/>
          <w:lang w:val="he-IL"/>
        </w:rPr>
        <w:footnoteReference w:id="19"/>
      </w:r>
      <w:r w:rsidR="0033588D">
        <w:rPr>
          <w:rFonts w:hint="cs"/>
          <w:rtl/>
          <w:lang w:val="he-IL"/>
        </w:rPr>
        <w:t>: "</w:t>
      </w:r>
      <w:r w:rsidRPr="00AE06CF">
        <w:rPr>
          <w:rtl/>
          <w:lang w:val="he-IL"/>
        </w:rPr>
        <w:t>איש אשר יתן לו האלהים עושר ונכסים וכבוד ואיננו חסר לנפשו מכל אשר יתאוה ולא ישליטינו האלהים לאכול ממנו כי איש נכרי יאכלנו</w:t>
      </w:r>
      <w:r w:rsidR="0033588D">
        <w:rPr>
          <w:rFonts w:hint="cs"/>
          <w:rtl/>
          <w:lang w:val="he-IL"/>
        </w:rPr>
        <w:t>" (קהלת ו ב).</w:t>
      </w:r>
      <w:r w:rsidRPr="00AE06CF">
        <w:rPr>
          <w:rtl/>
          <w:lang w:val="he-IL"/>
        </w:rPr>
        <w:t xml:space="preserve"> </w:t>
      </w:r>
      <w:r w:rsidR="0033588D">
        <w:rPr>
          <w:rFonts w:hint="cs"/>
          <w:rtl/>
          <w:lang w:val="he-IL"/>
        </w:rPr>
        <w:t>"</w:t>
      </w:r>
      <w:r w:rsidRPr="00AE06CF">
        <w:rPr>
          <w:rtl/>
          <w:lang w:val="he-IL"/>
        </w:rPr>
        <w:t>עושר</w:t>
      </w:r>
      <w:r w:rsidR="0033588D">
        <w:rPr>
          <w:rFonts w:hint="cs"/>
          <w:rtl/>
          <w:lang w:val="he-IL"/>
        </w:rPr>
        <w:t>" -</w:t>
      </w:r>
      <w:r w:rsidRPr="00AE06CF">
        <w:rPr>
          <w:rtl/>
          <w:lang w:val="he-IL"/>
        </w:rPr>
        <w:t xml:space="preserve"> זה המקרא</w:t>
      </w:r>
      <w:r w:rsidR="0033588D">
        <w:rPr>
          <w:rFonts w:hint="cs"/>
          <w:rtl/>
          <w:lang w:val="he-IL"/>
        </w:rPr>
        <w:t>,</w:t>
      </w:r>
      <w:r w:rsidRPr="00AE06CF">
        <w:rPr>
          <w:rtl/>
          <w:lang w:val="he-IL"/>
        </w:rPr>
        <w:t xml:space="preserve"> </w:t>
      </w:r>
      <w:r w:rsidR="0033588D">
        <w:rPr>
          <w:rFonts w:hint="cs"/>
          <w:rtl/>
          <w:lang w:val="he-IL"/>
        </w:rPr>
        <w:t>"</w:t>
      </w:r>
      <w:r w:rsidRPr="00AE06CF">
        <w:rPr>
          <w:rtl/>
          <w:lang w:val="he-IL"/>
        </w:rPr>
        <w:t>נכסים</w:t>
      </w:r>
      <w:r w:rsidR="0033588D">
        <w:rPr>
          <w:rFonts w:hint="cs"/>
          <w:rtl/>
          <w:lang w:val="he-IL"/>
        </w:rPr>
        <w:t>" -</w:t>
      </w:r>
      <w:r w:rsidRPr="00AE06CF">
        <w:rPr>
          <w:rtl/>
          <w:lang w:val="he-IL"/>
        </w:rPr>
        <w:t xml:space="preserve"> אילו הלכות</w:t>
      </w:r>
      <w:r w:rsidR="0033588D">
        <w:rPr>
          <w:rFonts w:hint="cs"/>
          <w:rtl/>
          <w:lang w:val="he-IL"/>
        </w:rPr>
        <w:t>,</w:t>
      </w:r>
      <w:r w:rsidRPr="00AE06CF">
        <w:rPr>
          <w:rtl/>
          <w:lang w:val="he-IL"/>
        </w:rPr>
        <w:t xml:space="preserve"> </w:t>
      </w:r>
      <w:r w:rsidR="0033588D">
        <w:rPr>
          <w:rFonts w:hint="cs"/>
          <w:rtl/>
          <w:lang w:val="he-IL"/>
        </w:rPr>
        <w:t>"</w:t>
      </w:r>
      <w:r w:rsidRPr="00AE06CF">
        <w:rPr>
          <w:rtl/>
          <w:lang w:val="he-IL"/>
        </w:rPr>
        <w:t>וכבוד</w:t>
      </w:r>
      <w:r w:rsidR="0033588D">
        <w:rPr>
          <w:rFonts w:hint="cs"/>
          <w:rtl/>
          <w:lang w:val="he-IL"/>
        </w:rPr>
        <w:t>" -</w:t>
      </w:r>
      <w:r w:rsidRPr="00AE06CF">
        <w:rPr>
          <w:rtl/>
          <w:lang w:val="he-IL"/>
        </w:rPr>
        <w:t xml:space="preserve"> זה התוספת</w:t>
      </w:r>
      <w:r w:rsidR="0033588D">
        <w:rPr>
          <w:rFonts w:hint="cs"/>
          <w:rtl/>
          <w:lang w:val="he-IL"/>
        </w:rPr>
        <w:t>.</w:t>
      </w:r>
      <w:r w:rsidR="0033588D">
        <w:rPr>
          <w:rStyle w:val="a5"/>
          <w:rtl/>
          <w:lang w:val="he-IL"/>
        </w:rPr>
        <w:footnoteReference w:id="20"/>
      </w:r>
      <w:r w:rsidRPr="00AE06CF">
        <w:rPr>
          <w:rtl/>
          <w:lang w:val="he-IL"/>
        </w:rPr>
        <w:t xml:space="preserve"> </w:t>
      </w:r>
      <w:r w:rsidR="00357F87">
        <w:rPr>
          <w:rFonts w:hint="cs"/>
          <w:rtl/>
          <w:lang w:val="he-IL"/>
        </w:rPr>
        <w:t>"</w:t>
      </w:r>
      <w:r w:rsidRPr="00AE06CF">
        <w:rPr>
          <w:rtl/>
          <w:lang w:val="he-IL"/>
        </w:rPr>
        <w:t>ואיננו חסר לנפשו מכל אשר יתאוה</w:t>
      </w:r>
      <w:r w:rsidR="00357F87">
        <w:rPr>
          <w:rFonts w:hint="cs"/>
          <w:rtl/>
          <w:lang w:val="he-IL"/>
        </w:rPr>
        <w:t>"</w:t>
      </w:r>
      <w:r w:rsidRPr="00AE06CF">
        <w:rPr>
          <w:rtl/>
          <w:lang w:val="he-IL"/>
        </w:rPr>
        <w:t xml:space="preserve"> </w:t>
      </w:r>
      <w:r w:rsidR="00357F87">
        <w:rPr>
          <w:rFonts w:hint="cs"/>
          <w:rtl/>
          <w:lang w:val="he-IL"/>
        </w:rPr>
        <w:t xml:space="preserve">- </w:t>
      </w:r>
      <w:r w:rsidRPr="00AE06CF">
        <w:rPr>
          <w:rtl/>
          <w:lang w:val="he-IL"/>
        </w:rPr>
        <w:t>אילו משניות גדולות</w:t>
      </w:r>
      <w:r w:rsidR="00357F87">
        <w:rPr>
          <w:rFonts w:hint="cs"/>
          <w:rtl/>
          <w:lang w:val="he-IL"/>
        </w:rPr>
        <w:t>,</w:t>
      </w:r>
      <w:r w:rsidRPr="00AE06CF">
        <w:rPr>
          <w:rtl/>
          <w:lang w:val="he-IL"/>
        </w:rPr>
        <w:t xml:space="preserve"> כגון משנתו של ר' חונה</w:t>
      </w:r>
      <w:r w:rsidR="00357F87">
        <w:rPr>
          <w:rStyle w:val="a5"/>
          <w:rtl/>
          <w:lang w:val="he-IL"/>
        </w:rPr>
        <w:footnoteReference w:id="21"/>
      </w:r>
      <w:r w:rsidRPr="00AE06CF">
        <w:rPr>
          <w:rtl/>
          <w:lang w:val="he-IL"/>
        </w:rPr>
        <w:t xml:space="preserve"> ומשנתו של רבי הושעיה ומשנתו של בר קפרא</w:t>
      </w:r>
      <w:r w:rsidR="00357F87">
        <w:rPr>
          <w:rFonts w:hint="cs"/>
          <w:rtl/>
          <w:lang w:val="he-IL"/>
        </w:rPr>
        <w:t>.</w:t>
      </w:r>
      <w:r w:rsidRPr="00AE06CF">
        <w:rPr>
          <w:rtl/>
          <w:lang w:val="he-IL"/>
        </w:rPr>
        <w:t xml:space="preserve"> </w:t>
      </w:r>
      <w:r w:rsidR="00357F87">
        <w:rPr>
          <w:rFonts w:hint="cs"/>
          <w:rtl/>
          <w:lang w:val="he-IL"/>
        </w:rPr>
        <w:t>"</w:t>
      </w:r>
      <w:r w:rsidRPr="00AE06CF">
        <w:rPr>
          <w:rtl/>
          <w:lang w:val="he-IL"/>
        </w:rPr>
        <w:t>ולא ישליטינו האלהים לאכול ממנו</w:t>
      </w:r>
      <w:r w:rsidR="00357F87">
        <w:rPr>
          <w:rFonts w:hint="cs"/>
          <w:rtl/>
          <w:lang w:val="he-IL"/>
        </w:rPr>
        <w:t>" -</w:t>
      </w:r>
      <w:r w:rsidRPr="00AE06CF">
        <w:rPr>
          <w:rtl/>
          <w:lang w:val="he-IL"/>
        </w:rPr>
        <w:t xml:space="preserve"> זה בעל אגדה</w:t>
      </w:r>
      <w:r w:rsidR="00357F87">
        <w:rPr>
          <w:rFonts w:hint="cs"/>
          <w:rtl/>
          <w:lang w:val="he-IL"/>
        </w:rPr>
        <w:t>,</w:t>
      </w:r>
      <w:r w:rsidRPr="00AE06CF">
        <w:rPr>
          <w:rtl/>
          <w:lang w:val="he-IL"/>
        </w:rPr>
        <w:t xml:space="preserve"> שאינו לא אוסר ולא מתיר לא מטמא ולא מטהר</w:t>
      </w:r>
      <w:r w:rsidR="0033588D">
        <w:rPr>
          <w:rFonts w:hint="cs"/>
          <w:rtl/>
          <w:lang w:val="he-IL"/>
        </w:rPr>
        <w:t>.</w:t>
      </w:r>
      <w:r w:rsidR="00BD0795">
        <w:rPr>
          <w:rStyle w:val="a5"/>
          <w:rtl/>
          <w:lang w:val="he-IL"/>
        </w:rPr>
        <w:footnoteReference w:id="22"/>
      </w:r>
      <w:r w:rsidRPr="00AE06CF">
        <w:rPr>
          <w:rtl/>
          <w:lang w:val="he-IL"/>
        </w:rPr>
        <w:t xml:space="preserve"> </w:t>
      </w:r>
      <w:r w:rsidR="0033588D">
        <w:rPr>
          <w:rFonts w:hint="cs"/>
          <w:rtl/>
          <w:lang w:val="he-IL"/>
        </w:rPr>
        <w:t>"</w:t>
      </w:r>
      <w:r w:rsidRPr="00AE06CF">
        <w:rPr>
          <w:rtl/>
          <w:lang w:val="he-IL"/>
        </w:rPr>
        <w:t>כי איש נכרי יאכלנו</w:t>
      </w:r>
      <w:r w:rsidR="0033588D">
        <w:rPr>
          <w:rFonts w:hint="cs"/>
          <w:rtl/>
          <w:lang w:val="he-IL"/>
        </w:rPr>
        <w:t>" -</w:t>
      </w:r>
      <w:r w:rsidRPr="00AE06CF">
        <w:rPr>
          <w:rtl/>
          <w:lang w:val="he-IL"/>
        </w:rPr>
        <w:t xml:space="preserve"> זה בעל התלמוד</w:t>
      </w:r>
      <w:r w:rsidR="00D56BDF">
        <w:rPr>
          <w:rFonts w:hint="cs"/>
          <w:rtl/>
          <w:lang w:val="he-IL"/>
        </w:rPr>
        <w:t>.</w:t>
      </w:r>
      <w:r w:rsidRPr="00AE06CF">
        <w:rPr>
          <w:rtl/>
          <w:lang w:val="he-IL"/>
        </w:rPr>
        <w:t xml:space="preserve"> קם רבי אבא בר כהנא ונשק</w:t>
      </w:r>
      <w:r w:rsidR="0033588D">
        <w:rPr>
          <w:rFonts w:hint="cs"/>
          <w:rtl/>
          <w:lang w:val="he-IL"/>
        </w:rPr>
        <w:t>ו בר</w:t>
      </w:r>
      <w:r w:rsidRPr="00AE06CF">
        <w:rPr>
          <w:rtl/>
          <w:lang w:val="he-IL"/>
        </w:rPr>
        <w:t>אש</w:t>
      </w:r>
      <w:r w:rsidR="0033588D">
        <w:rPr>
          <w:rFonts w:hint="cs"/>
          <w:rtl/>
          <w:lang w:val="he-IL"/>
        </w:rPr>
        <w:t xml:space="preserve">ו, </w:t>
      </w:r>
      <w:r w:rsidRPr="00AE06CF">
        <w:rPr>
          <w:rtl/>
          <w:lang w:val="he-IL"/>
        </w:rPr>
        <w:t>אמר</w:t>
      </w:r>
      <w:r w:rsidR="0033588D">
        <w:rPr>
          <w:rFonts w:hint="cs"/>
          <w:rtl/>
          <w:lang w:val="he-IL"/>
        </w:rPr>
        <w:t>:</w:t>
      </w:r>
      <w:r w:rsidRPr="00AE06CF">
        <w:rPr>
          <w:rtl/>
          <w:lang w:val="he-IL"/>
        </w:rPr>
        <w:t xml:space="preserve"> זכית</w:t>
      </w:r>
      <w:r w:rsidR="0033588D">
        <w:rPr>
          <w:rFonts w:hint="cs"/>
          <w:rtl/>
          <w:lang w:val="he-IL"/>
        </w:rPr>
        <w:t xml:space="preserve"> לאומרה עומד, תזכי לאו</w:t>
      </w:r>
      <w:r w:rsidR="002E11EC">
        <w:rPr>
          <w:rFonts w:hint="cs"/>
          <w:rtl/>
          <w:lang w:val="he-IL"/>
        </w:rPr>
        <w:t>מ</w:t>
      </w:r>
      <w:r w:rsidR="0033588D">
        <w:rPr>
          <w:rFonts w:hint="cs"/>
          <w:rtl/>
          <w:lang w:val="he-IL"/>
        </w:rPr>
        <w:t>רה יושב.</w:t>
      </w:r>
      <w:r w:rsidR="002E11EC">
        <w:rPr>
          <w:rStyle w:val="a5"/>
          <w:rtl/>
          <w:lang w:val="he-IL"/>
        </w:rPr>
        <w:footnoteReference w:id="23"/>
      </w:r>
    </w:p>
    <w:p w14:paraId="1D083D07" w14:textId="77777777" w:rsidR="000B4692" w:rsidRPr="000B4692" w:rsidRDefault="000B4692" w:rsidP="00DC7AF6">
      <w:pPr>
        <w:pStyle w:val="ab"/>
        <w:rPr>
          <w:rtl/>
          <w:lang w:val="he-IL"/>
        </w:rPr>
      </w:pPr>
      <w:r>
        <w:rPr>
          <w:rFonts w:hint="cs"/>
          <w:rtl/>
          <w:lang w:val="he-IL"/>
        </w:rPr>
        <w:t xml:space="preserve">בבלי </w:t>
      </w:r>
      <w:r w:rsidRPr="000B4692">
        <w:rPr>
          <w:rtl/>
          <w:lang w:val="he-IL"/>
        </w:rPr>
        <w:t xml:space="preserve">מסכת הוריות דף י עמוד א </w:t>
      </w:r>
    </w:p>
    <w:p w14:paraId="6019E45F" w14:textId="77777777" w:rsidR="000B4692" w:rsidRDefault="000B4692" w:rsidP="00E71C73">
      <w:pPr>
        <w:pStyle w:val="ac"/>
        <w:rPr>
          <w:rFonts w:hint="cs"/>
          <w:rtl/>
          <w:lang w:val="he-IL"/>
        </w:rPr>
      </w:pPr>
      <w:r w:rsidRPr="000B4692">
        <w:rPr>
          <w:rtl/>
          <w:lang w:val="he-IL"/>
        </w:rPr>
        <w:t xml:space="preserve">ר' גמליאל ורבי יהושע </w:t>
      </w:r>
      <w:r w:rsidR="00C32D90">
        <w:rPr>
          <w:rFonts w:hint="cs"/>
          <w:rtl/>
          <w:lang w:val="he-IL"/>
        </w:rPr>
        <w:t>היו הולכים</w:t>
      </w:r>
      <w:r w:rsidRPr="000B4692">
        <w:rPr>
          <w:rtl/>
          <w:lang w:val="he-IL"/>
        </w:rPr>
        <w:t xml:space="preserve"> בספינ</w:t>
      </w:r>
      <w:r w:rsidR="00C32D90">
        <w:rPr>
          <w:rFonts w:hint="cs"/>
          <w:rtl/>
          <w:lang w:val="he-IL"/>
        </w:rPr>
        <w:t>ה.</w:t>
      </w:r>
      <w:r w:rsidR="00C32D90">
        <w:rPr>
          <w:rStyle w:val="a5"/>
          <w:rtl/>
          <w:lang w:val="he-IL"/>
        </w:rPr>
        <w:footnoteReference w:id="24"/>
      </w:r>
      <w:r w:rsidR="00C32D90">
        <w:rPr>
          <w:rFonts w:hint="cs"/>
          <w:rtl/>
          <w:lang w:val="he-IL"/>
        </w:rPr>
        <w:t xml:space="preserve"> ברשות </w:t>
      </w:r>
      <w:r w:rsidRPr="000B4692">
        <w:rPr>
          <w:rtl/>
          <w:lang w:val="he-IL"/>
        </w:rPr>
        <w:t>ר' גמליאל ה</w:t>
      </w:r>
      <w:r w:rsidR="00C32D90">
        <w:rPr>
          <w:rFonts w:hint="cs"/>
          <w:rtl/>
          <w:lang w:val="he-IL"/>
        </w:rPr>
        <w:t xml:space="preserve">יה לחם וברשות </w:t>
      </w:r>
      <w:r w:rsidRPr="000B4692">
        <w:rPr>
          <w:rtl/>
          <w:lang w:val="he-IL"/>
        </w:rPr>
        <w:t>רבי יהושע ה</w:t>
      </w:r>
      <w:r w:rsidR="00C32D90">
        <w:rPr>
          <w:rFonts w:hint="cs"/>
          <w:rtl/>
          <w:lang w:val="he-IL"/>
        </w:rPr>
        <w:t>יו לחם וסולת.</w:t>
      </w:r>
      <w:r w:rsidR="00C32D90">
        <w:rPr>
          <w:rStyle w:val="a5"/>
          <w:rtl/>
          <w:lang w:val="he-IL"/>
        </w:rPr>
        <w:footnoteReference w:id="25"/>
      </w:r>
      <w:r w:rsidR="00C32D90">
        <w:rPr>
          <w:rFonts w:hint="cs"/>
          <w:rtl/>
          <w:lang w:val="he-IL"/>
        </w:rPr>
        <w:t xml:space="preserve"> נגמרה פיתו של רבן </w:t>
      </w:r>
      <w:r w:rsidRPr="000B4692">
        <w:rPr>
          <w:rtl/>
          <w:lang w:val="he-IL"/>
        </w:rPr>
        <w:t xml:space="preserve">גמליאל </w:t>
      </w:r>
      <w:r w:rsidR="00C32D90">
        <w:rPr>
          <w:rFonts w:hint="cs"/>
          <w:rtl/>
          <w:lang w:val="he-IL"/>
        </w:rPr>
        <w:t>ו</w:t>
      </w:r>
      <w:r w:rsidRPr="000B4692">
        <w:rPr>
          <w:rtl/>
          <w:lang w:val="he-IL"/>
        </w:rPr>
        <w:t xml:space="preserve">סמך </w:t>
      </w:r>
      <w:r w:rsidR="00C32D90">
        <w:rPr>
          <w:rFonts w:hint="cs"/>
          <w:rtl/>
          <w:lang w:val="he-IL"/>
        </w:rPr>
        <w:t xml:space="preserve">על הסולת של </w:t>
      </w:r>
      <w:r w:rsidRPr="000B4692">
        <w:rPr>
          <w:rtl/>
          <w:lang w:val="he-IL"/>
        </w:rPr>
        <w:t>רבי יהושע. אמר ל</w:t>
      </w:r>
      <w:r w:rsidR="00C32D90">
        <w:rPr>
          <w:rFonts w:hint="cs"/>
          <w:rtl/>
          <w:lang w:val="he-IL"/>
        </w:rPr>
        <w:t>ו</w:t>
      </w:r>
      <w:r w:rsidR="00154115">
        <w:rPr>
          <w:rFonts w:hint="cs"/>
          <w:rtl/>
          <w:lang w:val="he-IL"/>
        </w:rPr>
        <w:t xml:space="preserve"> (רבן גמליאל לר' יהושע)</w:t>
      </w:r>
      <w:r w:rsidRPr="000B4692">
        <w:rPr>
          <w:rtl/>
          <w:lang w:val="he-IL"/>
        </w:rPr>
        <w:t xml:space="preserve">: </w:t>
      </w:r>
      <w:r w:rsidR="00C32D90">
        <w:rPr>
          <w:rFonts w:hint="cs"/>
          <w:rtl/>
          <w:lang w:val="he-IL"/>
        </w:rPr>
        <w:t xml:space="preserve">כיצד </w:t>
      </w:r>
      <w:r w:rsidRPr="000B4692">
        <w:rPr>
          <w:rtl/>
          <w:lang w:val="he-IL"/>
        </w:rPr>
        <w:t xml:space="preserve">ידעת </w:t>
      </w:r>
      <w:r w:rsidR="00C32D90">
        <w:rPr>
          <w:rFonts w:hint="cs"/>
          <w:rtl/>
          <w:lang w:val="he-IL"/>
        </w:rPr>
        <w:t>שנתעכב כל כך שהבאת אתך סולת</w:t>
      </w:r>
      <w:r w:rsidRPr="000B4692">
        <w:rPr>
          <w:rtl/>
          <w:lang w:val="he-IL"/>
        </w:rPr>
        <w:t>? אמר ל</w:t>
      </w:r>
      <w:r w:rsidR="00C32D90">
        <w:rPr>
          <w:rFonts w:hint="cs"/>
          <w:rtl/>
          <w:lang w:val="he-IL"/>
        </w:rPr>
        <w:t>ו</w:t>
      </w:r>
      <w:r w:rsidRPr="000B4692">
        <w:rPr>
          <w:rtl/>
          <w:lang w:val="he-IL"/>
        </w:rPr>
        <w:t>: כוכב אחד לשבעים שנה עולה ומתעה את הספנים, ואמרתי: שמא יעלה ויתעה אותנו.</w:t>
      </w:r>
      <w:r w:rsidR="00E71C73">
        <w:rPr>
          <w:rStyle w:val="a5"/>
          <w:rtl/>
          <w:lang w:val="he-IL"/>
        </w:rPr>
        <w:footnoteReference w:id="26"/>
      </w:r>
      <w:r w:rsidRPr="000B4692">
        <w:rPr>
          <w:rtl/>
          <w:lang w:val="he-IL"/>
        </w:rPr>
        <w:t xml:space="preserve"> אמר ליה: כל כך בידך ואתה עולה בספינה?</w:t>
      </w:r>
      <w:r>
        <w:rPr>
          <w:rStyle w:val="a5"/>
          <w:rtl/>
          <w:lang w:val="he-IL"/>
        </w:rPr>
        <w:footnoteReference w:id="27"/>
      </w:r>
      <w:r>
        <w:rPr>
          <w:rFonts w:hint="cs"/>
          <w:rtl/>
          <w:lang w:val="he-IL"/>
        </w:rPr>
        <w:t xml:space="preserve"> </w:t>
      </w:r>
      <w:r w:rsidRPr="000B4692">
        <w:rPr>
          <w:rtl/>
          <w:lang w:val="he-IL"/>
        </w:rPr>
        <w:t>א</w:t>
      </w:r>
      <w:r w:rsidR="00E71C73">
        <w:rPr>
          <w:rFonts w:hint="cs"/>
          <w:rtl/>
          <w:lang w:val="he-IL"/>
        </w:rPr>
        <w:t xml:space="preserve">מר לו (ר' יהושע לרבן </w:t>
      </w:r>
      <w:r w:rsidR="00E71C73">
        <w:rPr>
          <w:rFonts w:hint="cs"/>
          <w:rtl/>
          <w:lang w:val="he-IL"/>
        </w:rPr>
        <w:lastRenderedPageBreak/>
        <w:t>גמליאל)</w:t>
      </w:r>
      <w:r w:rsidRPr="000B4692">
        <w:rPr>
          <w:rtl/>
          <w:lang w:val="he-IL"/>
        </w:rPr>
        <w:t>: עד שאתה תמה עלי, תמה על שני תלמידים שיש לך ביבשה, רבי אלעזר חסמא ורבי יוחנן בן גודגדא, שיודעין לשער כמה ט</w:t>
      </w:r>
      <w:r w:rsidR="00080197">
        <w:rPr>
          <w:rFonts w:hint="cs"/>
          <w:rtl/>
          <w:lang w:val="he-IL"/>
        </w:rPr>
        <w:t>י</w:t>
      </w:r>
      <w:r w:rsidRPr="000B4692">
        <w:rPr>
          <w:rtl/>
          <w:lang w:val="he-IL"/>
        </w:rPr>
        <w:t>פות יש בים, ואין להם פת לאכול ולא בגד ללבוש! נתן דעתו להושיבם בראש.</w:t>
      </w:r>
      <w:r w:rsidR="00FD3244">
        <w:rPr>
          <w:rStyle w:val="a5"/>
          <w:rtl/>
          <w:lang w:val="he-IL"/>
        </w:rPr>
        <w:footnoteReference w:id="28"/>
      </w:r>
      <w:r w:rsidRPr="000B4692">
        <w:rPr>
          <w:rtl/>
          <w:lang w:val="he-IL"/>
        </w:rPr>
        <w:t xml:space="preserve"> כשעלה, שלח להם ולא באו, חזר ושלח ובאו. אמר להם: כמדומין אתם ששררה אני נותן לכם?</w:t>
      </w:r>
      <w:r w:rsidR="00E71C73">
        <w:rPr>
          <w:rFonts w:hint="cs"/>
          <w:rtl/>
          <w:lang w:val="he-IL"/>
        </w:rPr>
        <w:t xml:space="preserve"> </w:t>
      </w:r>
      <w:r w:rsidRPr="000B4692">
        <w:rPr>
          <w:rtl/>
          <w:lang w:val="he-IL"/>
        </w:rPr>
        <w:t xml:space="preserve">עבדות אני נותן לכם, שנאמר: </w:t>
      </w:r>
      <w:r w:rsidR="00FC397A">
        <w:rPr>
          <w:rFonts w:hint="cs"/>
          <w:rtl/>
          <w:lang w:val="he-IL"/>
        </w:rPr>
        <w:t>"</w:t>
      </w:r>
      <w:r w:rsidRPr="000B4692">
        <w:rPr>
          <w:rtl/>
          <w:lang w:val="he-IL"/>
        </w:rPr>
        <w:t>וידברו אליו לאמר אם היום תהיה עבד לעם הזה</w:t>
      </w:r>
      <w:r w:rsidR="00FC397A">
        <w:rPr>
          <w:rFonts w:hint="cs"/>
          <w:rtl/>
          <w:lang w:val="he-IL"/>
        </w:rPr>
        <w:t>" (מלכים א יב ז)</w:t>
      </w:r>
      <w:r w:rsidRPr="000B4692">
        <w:rPr>
          <w:rtl/>
          <w:lang w:val="he-IL"/>
        </w:rPr>
        <w:t>.</w:t>
      </w:r>
      <w:r w:rsidR="00FC397A">
        <w:rPr>
          <w:rStyle w:val="a5"/>
          <w:rtl/>
          <w:lang w:val="he-IL"/>
        </w:rPr>
        <w:footnoteReference w:id="29"/>
      </w:r>
      <w:r w:rsidRPr="000B4692">
        <w:rPr>
          <w:rtl/>
          <w:lang w:val="he-IL"/>
        </w:rPr>
        <w:t xml:space="preserve"> </w:t>
      </w:r>
    </w:p>
    <w:p w14:paraId="5C5AFE81" w14:textId="77777777" w:rsidR="00525859" w:rsidRDefault="000B4692" w:rsidP="002200F1">
      <w:pPr>
        <w:pStyle w:val="ac"/>
        <w:spacing w:before="120"/>
        <w:rPr>
          <w:rFonts w:hint="cs"/>
          <w:rtl/>
          <w:lang w:val="he-IL"/>
        </w:rPr>
      </w:pPr>
      <w:r w:rsidRPr="000B4692">
        <w:rPr>
          <w:rtl/>
          <w:lang w:val="he-IL"/>
        </w:rPr>
        <w:t>ת</w:t>
      </w:r>
      <w:r w:rsidR="002200F1">
        <w:rPr>
          <w:rFonts w:hint="cs"/>
          <w:rtl/>
          <w:lang w:val="he-IL"/>
        </w:rPr>
        <w:t>נו רבנן</w:t>
      </w:r>
      <w:r w:rsidRPr="000B4692">
        <w:rPr>
          <w:rtl/>
          <w:lang w:val="he-IL"/>
        </w:rPr>
        <w:t>: אשר נשיא יחטא - אמר ר</w:t>
      </w:r>
      <w:r w:rsidR="002200F1">
        <w:rPr>
          <w:rFonts w:hint="cs"/>
          <w:rtl/>
          <w:lang w:val="he-IL"/>
        </w:rPr>
        <w:t>ב</w:t>
      </w:r>
      <w:r w:rsidRPr="000B4692">
        <w:rPr>
          <w:rtl/>
          <w:lang w:val="he-IL"/>
        </w:rPr>
        <w:t>י</w:t>
      </w:r>
      <w:r w:rsidR="002200F1">
        <w:rPr>
          <w:rFonts w:hint="cs"/>
          <w:rtl/>
          <w:lang w:val="he-IL"/>
        </w:rPr>
        <w:t xml:space="preserve"> יוחנן בן זכאי</w:t>
      </w:r>
      <w:r w:rsidRPr="000B4692">
        <w:rPr>
          <w:rtl/>
          <w:lang w:val="he-IL"/>
        </w:rPr>
        <w:t>: אשרי הדור שהנשיא שלו מביא קרבן על ש</w:t>
      </w:r>
      <w:r w:rsidR="002200F1">
        <w:rPr>
          <w:rFonts w:hint="cs"/>
          <w:rtl/>
          <w:lang w:val="he-IL"/>
        </w:rPr>
        <w:t>י</w:t>
      </w:r>
      <w:r w:rsidRPr="000B4692">
        <w:rPr>
          <w:rtl/>
          <w:lang w:val="he-IL"/>
        </w:rPr>
        <w:t>גגתו</w:t>
      </w:r>
      <w:r w:rsidR="002200F1">
        <w:rPr>
          <w:rFonts w:hint="cs"/>
          <w:rtl/>
          <w:lang w:val="he-IL"/>
        </w:rPr>
        <w:t>.</w:t>
      </w:r>
      <w:r w:rsidR="002200F1">
        <w:rPr>
          <w:rStyle w:val="a5"/>
          <w:rtl/>
          <w:lang w:val="he-IL"/>
        </w:rPr>
        <w:footnoteReference w:id="30"/>
      </w:r>
    </w:p>
    <w:p w14:paraId="29E28D95" w14:textId="77777777" w:rsidR="00252250" w:rsidRDefault="003A5180" w:rsidP="002E7992">
      <w:pPr>
        <w:pStyle w:val="ad"/>
        <w:spacing w:before="240"/>
        <w:rPr>
          <w:rFonts w:hint="cs"/>
          <w:rtl/>
        </w:rPr>
      </w:pPr>
      <w:r w:rsidRPr="00294D25">
        <w:rPr>
          <w:rtl/>
        </w:rPr>
        <w:t>שבת שלום</w:t>
      </w:r>
      <w:r w:rsidR="00E212DD">
        <w:rPr>
          <w:rFonts w:hint="cs"/>
          <w:rtl/>
        </w:rPr>
        <w:t xml:space="preserve"> </w:t>
      </w:r>
    </w:p>
    <w:p w14:paraId="735E4420" w14:textId="77777777" w:rsidR="00252250" w:rsidRDefault="00E212DD" w:rsidP="00252250">
      <w:pPr>
        <w:pStyle w:val="ad"/>
        <w:rPr>
          <w:rFonts w:hint="cs"/>
          <w:rtl/>
        </w:rPr>
      </w:pPr>
      <w:r>
        <w:rPr>
          <w:rFonts w:hint="cs"/>
          <w:rtl/>
        </w:rPr>
        <w:t>וחודש ניסן פורח</w:t>
      </w:r>
      <w:r w:rsidR="0089212C">
        <w:rPr>
          <w:rStyle w:val="a5"/>
          <w:rtl/>
        </w:rPr>
        <w:footnoteReference w:id="31"/>
      </w:r>
      <w:r w:rsidR="002E7992">
        <w:rPr>
          <w:rFonts w:hint="cs"/>
          <w:rtl/>
        </w:rPr>
        <w:t xml:space="preserve"> </w:t>
      </w:r>
    </w:p>
    <w:p w14:paraId="026865E8" w14:textId="77777777" w:rsidR="003A5180" w:rsidRDefault="003A5180" w:rsidP="00252250">
      <w:pPr>
        <w:pStyle w:val="ad"/>
        <w:rPr>
          <w:rFonts w:hint="cs"/>
          <w:rtl/>
        </w:rPr>
      </w:pPr>
      <w:r w:rsidRPr="00294D25">
        <w:rPr>
          <w:rtl/>
        </w:rPr>
        <w:t>מחלקי המים</w:t>
      </w:r>
    </w:p>
    <w:p w14:paraId="7A1A2682" w14:textId="77777777" w:rsidR="002200F1" w:rsidRPr="002200F1" w:rsidRDefault="002200F1" w:rsidP="0089212C">
      <w:pPr>
        <w:pStyle w:val="ad"/>
        <w:spacing w:before="120"/>
        <w:rPr>
          <w:rFonts w:hint="cs"/>
          <w:b w:val="0"/>
          <w:bCs w:val="0"/>
          <w:szCs w:val="22"/>
          <w:rtl/>
        </w:rPr>
      </w:pPr>
      <w:r w:rsidRPr="00252250">
        <w:rPr>
          <w:rFonts w:hint="cs"/>
          <w:szCs w:val="22"/>
          <w:rtl/>
        </w:rPr>
        <w:t>מים אחרונים:</w:t>
      </w:r>
      <w:r w:rsidRPr="002200F1">
        <w:rPr>
          <w:rFonts w:hint="cs"/>
          <w:b w:val="0"/>
          <w:bCs w:val="0"/>
          <w:szCs w:val="22"/>
          <w:rtl/>
        </w:rPr>
        <w:t xml:space="preserve"> עוד מדרשי אגדה יפים יש במסכת הוריות קצרת הכמות ורבת האיכות</w:t>
      </w:r>
      <w:r>
        <w:rPr>
          <w:rFonts w:hint="cs"/>
          <w:b w:val="0"/>
          <w:bCs w:val="0"/>
          <w:szCs w:val="22"/>
          <w:rtl/>
        </w:rPr>
        <w:t>,</w:t>
      </w:r>
      <w:r w:rsidRPr="002200F1">
        <w:rPr>
          <w:rFonts w:hint="cs"/>
          <w:b w:val="0"/>
          <w:bCs w:val="0"/>
          <w:szCs w:val="22"/>
          <w:rtl/>
        </w:rPr>
        <w:t xml:space="preserve"> לצד ענייני ההלכה המורכבים </w:t>
      </w:r>
      <w:r>
        <w:rPr>
          <w:rFonts w:hint="cs"/>
          <w:b w:val="0"/>
          <w:bCs w:val="0"/>
          <w:szCs w:val="22"/>
          <w:rtl/>
        </w:rPr>
        <w:t xml:space="preserve">שיש בה, בשני התלמודים שהשתמרו עליה: הבבלי והירושלמי. כגון </w:t>
      </w:r>
      <w:r w:rsidR="00336BCC">
        <w:rPr>
          <w:rFonts w:hint="cs"/>
          <w:b w:val="0"/>
          <w:bCs w:val="0"/>
          <w:szCs w:val="22"/>
          <w:rtl/>
        </w:rPr>
        <w:t xml:space="preserve">הסיפור </w:t>
      </w:r>
      <w:r>
        <w:rPr>
          <w:rFonts w:hint="cs"/>
          <w:b w:val="0"/>
          <w:bCs w:val="0"/>
          <w:szCs w:val="22"/>
          <w:rtl/>
        </w:rPr>
        <w:t>החותם את התלמוד הבבלי (יג ע"ב) על מחלוקת נוספת בין בית הנשיא, רבן שמעון בן גמליאל, וחכמים. מחלוקת שגרמה להעלמת שמ</w:t>
      </w:r>
      <w:r w:rsidR="0089212C">
        <w:rPr>
          <w:rFonts w:hint="cs"/>
          <w:b w:val="0"/>
          <w:bCs w:val="0"/>
          <w:szCs w:val="22"/>
          <w:rtl/>
        </w:rPr>
        <w:t>ם</w:t>
      </w:r>
      <w:r>
        <w:rPr>
          <w:rFonts w:hint="cs"/>
          <w:b w:val="0"/>
          <w:bCs w:val="0"/>
          <w:szCs w:val="22"/>
          <w:rtl/>
        </w:rPr>
        <w:t xml:space="preserve"> של ר' מאיר </w:t>
      </w:r>
      <w:r w:rsidR="0089212C">
        <w:rPr>
          <w:rFonts w:hint="cs"/>
          <w:b w:val="0"/>
          <w:bCs w:val="0"/>
          <w:szCs w:val="22"/>
          <w:rtl/>
        </w:rPr>
        <w:t xml:space="preserve">ור' נתן </w:t>
      </w:r>
      <w:r>
        <w:rPr>
          <w:rFonts w:hint="cs"/>
          <w:b w:val="0"/>
          <w:bCs w:val="0"/>
          <w:szCs w:val="22"/>
          <w:rtl/>
        </w:rPr>
        <w:t>מהמשנה ולתמיהת רבי שמעון, בנו של רבי יהודה הנשיא: "מי הם הללו שמימיהם אנו שותים ואת שמותיהם אין אנו מזכירים?".</w:t>
      </w:r>
    </w:p>
    <w:sectPr w:rsidR="002200F1" w:rsidRPr="002200F1" w:rsidSect="003626C7">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61B14" w14:textId="77777777" w:rsidR="00313B7B" w:rsidRDefault="00313B7B">
      <w:r>
        <w:separator/>
      </w:r>
    </w:p>
  </w:endnote>
  <w:endnote w:type="continuationSeparator" w:id="0">
    <w:p w14:paraId="57B698C0" w14:textId="77777777" w:rsidR="00313B7B" w:rsidRDefault="0031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0B874" w14:textId="77777777" w:rsidR="009D72D2" w:rsidRPr="00F8747C" w:rsidRDefault="009D72D2" w:rsidP="009D72D2">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911E3E">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911E3E">
      <w:rPr>
        <w:rStyle w:val="af0"/>
        <w:noProof/>
        <w:rtl/>
      </w:rPr>
      <w:t>5</w:t>
    </w:r>
    <w:r w:rsidRPr="00F8747C">
      <w:rPr>
        <w:rStyle w:val="af0"/>
      </w:rPr>
      <w:fldChar w:fldCharType="end"/>
    </w:r>
  </w:p>
  <w:p w14:paraId="6C210E82" w14:textId="77777777" w:rsidR="003C6A86" w:rsidRDefault="003C6A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BC982" w14:textId="77777777" w:rsidR="00313B7B" w:rsidRDefault="00313B7B">
      <w:r>
        <w:separator/>
      </w:r>
    </w:p>
  </w:footnote>
  <w:footnote w:type="continuationSeparator" w:id="0">
    <w:p w14:paraId="7B6D957A" w14:textId="77777777" w:rsidR="00313B7B" w:rsidRDefault="00313B7B">
      <w:r>
        <w:continuationSeparator/>
      </w:r>
    </w:p>
  </w:footnote>
  <w:footnote w:id="1">
    <w:p w14:paraId="70650468" w14:textId="77777777" w:rsidR="00F569D7" w:rsidRDefault="00F569D7" w:rsidP="003626C7">
      <w:pPr>
        <w:pStyle w:val="a3"/>
        <w:rPr>
          <w:rFonts w:hint="cs"/>
        </w:rPr>
      </w:pPr>
      <w:r>
        <w:rPr>
          <w:rStyle w:val="a5"/>
        </w:rPr>
        <w:footnoteRef/>
      </w:r>
      <w:r>
        <w:rPr>
          <w:rtl/>
        </w:rPr>
        <w:t xml:space="preserve"> </w:t>
      </w:r>
      <w:r w:rsidR="00F021B4">
        <w:rPr>
          <w:rFonts w:hint="cs"/>
          <w:rtl/>
        </w:rPr>
        <w:t xml:space="preserve">לאחר דיני קרבן עולה, מנחה ושלמים, </w:t>
      </w:r>
      <w:r w:rsidR="003431C0">
        <w:rPr>
          <w:rFonts w:hint="cs"/>
          <w:rtl/>
        </w:rPr>
        <w:t xml:space="preserve">המתוארים בפרקים א-ג של ספר ויקרא, </w:t>
      </w:r>
      <w:r w:rsidR="00F021B4">
        <w:rPr>
          <w:rFonts w:hint="cs"/>
          <w:rtl/>
        </w:rPr>
        <w:t>פותח פרק ד בדיני קרבן חטאת ש</w:t>
      </w:r>
      <w:r w:rsidR="00B23319">
        <w:rPr>
          <w:rFonts w:hint="cs"/>
          <w:rtl/>
        </w:rPr>
        <w:t xml:space="preserve">ככלל </w:t>
      </w:r>
      <w:r w:rsidR="00F021B4">
        <w:rPr>
          <w:rFonts w:hint="cs"/>
          <w:rtl/>
        </w:rPr>
        <w:t xml:space="preserve">מביא </w:t>
      </w:r>
      <w:r w:rsidR="00B23319">
        <w:rPr>
          <w:rFonts w:hint="cs"/>
          <w:rtl/>
        </w:rPr>
        <w:t xml:space="preserve">אותו מי </w:t>
      </w:r>
      <w:r w:rsidR="000A619E">
        <w:rPr>
          <w:rFonts w:hint="cs"/>
          <w:rtl/>
        </w:rPr>
        <w:t xml:space="preserve">שעבר </w:t>
      </w:r>
      <w:r w:rsidR="00B23319">
        <w:rPr>
          <w:rFonts w:hint="cs"/>
          <w:rtl/>
        </w:rPr>
        <w:t xml:space="preserve">בשוגג </w:t>
      </w:r>
      <w:r w:rsidR="000A619E">
        <w:rPr>
          <w:rFonts w:hint="cs"/>
          <w:rtl/>
        </w:rPr>
        <w:t xml:space="preserve">על איסור לא תעשה </w:t>
      </w:r>
      <w:r w:rsidR="00B23319">
        <w:rPr>
          <w:rFonts w:hint="cs"/>
          <w:rtl/>
        </w:rPr>
        <w:t>שדינו במזי</w:t>
      </w:r>
      <w:r w:rsidR="0033588D">
        <w:rPr>
          <w:rFonts w:hint="cs"/>
          <w:rtl/>
        </w:rPr>
        <w:t>ד</w:t>
      </w:r>
      <w:r w:rsidR="00B23319">
        <w:rPr>
          <w:rFonts w:hint="cs"/>
          <w:rtl/>
        </w:rPr>
        <w:t xml:space="preserve"> כרת (רש"י בראש הפרק, רמב"ם בראש הלכות שגגות. ויש </w:t>
      </w:r>
      <w:r w:rsidR="00EC32E7">
        <w:rPr>
          <w:rFonts w:hint="cs"/>
          <w:rtl/>
        </w:rPr>
        <w:t xml:space="preserve">גם </w:t>
      </w:r>
      <w:r w:rsidR="00B23319">
        <w:rPr>
          <w:rFonts w:hint="cs"/>
          <w:rtl/>
        </w:rPr>
        <w:t xml:space="preserve">סוגי חטאות </w:t>
      </w:r>
      <w:r w:rsidR="00EC32E7">
        <w:rPr>
          <w:rFonts w:hint="cs"/>
          <w:rtl/>
        </w:rPr>
        <w:t>מיוחדים נוספים</w:t>
      </w:r>
      <w:r w:rsidR="00B23319">
        <w:rPr>
          <w:rFonts w:hint="cs"/>
          <w:rtl/>
        </w:rPr>
        <w:t>)</w:t>
      </w:r>
      <w:r w:rsidR="00F021B4">
        <w:rPr>
          <w:rFonts w:hint="cs"/>
          <w:rtl/>
        </w:rPr>
        <w:t>. הפרק דן במספר מקרים</w:t>
      </w:r>
      <w:r w:rsidR="00B23319">
        <w:rPr>
          <w:rFonts w:hint="cs"/>
          <w:rtl/>
        </w:rPr>
        <w:t xml:space="preserve"> </w:t>
      </w:r>
      <w:r w:rsidR="003626C7">
        <w:rPr>
          <w:rFonts w:hint="cs"/>
          <w:rtl/>
        </w:rPr>
        <w:t xml:space="preserve">ספציפיים </w:t>
      </w:r>
      <w:r w:rsidR="00B23319">
        <w:rPr>
          <w:rFonts w:hint="cs"/>
          <w:rtl/>
        </w:rPr>
        <w:t>של שגגה</w:t>
      </w:r>
      <w:r w:rsidR="00EE2177">
        <w:rPr>
          <w:rFonts w:hint="cs"/>
          <w:rtl/>
        </w:rPr>
        <w:t>: כהן משיח שחטא, נשיא שחטא, יחיד, וכאן כל העדה. מה פירוש עניין זה שכל העדה חוטאת? איך תיתכן שגגה המונית? טעו בחישוב לוח השנה ואכלו חמץ בפסח</w:t>
      </w:r>
      <w:r w:rsidR="003431C0">
        <w:rPr>
          <w:rFonts w:hint="cs"/>
          <w:rtl/>
        </w:rPr>
        <w:t>,</w:t>
      </w:r>
      <w:r w:rsidR="00EE2177">
        <w:rPr>
          <w:rFonts w:hint="cs"/>
          <w:rtl/>
        </w:rPr>
        <w:t xml:space="preserve"> או אכלו ביום כיפור</w:t>
      </w:r>
      <w:r w:rsidR="00B23319">
        <w:rPr>
          <w:rFonts w:hint="cs"/>
          <w:rtl/>
        </w:rPr>
        <w:t>?</w:t>
      </w:r>
      <w:r w:rsidR="00EE2177">
        <w:rPr>
          <w:rFonts w:hint="cs"/>
          <w:rtl/>
        </w:rPr>
        <w:t xml:space="preserve"> ואף אחד לא ידע</w:t>
      </w:r>
      <w:r w:rsidR="00B23319">
        <w:rPr>
          <w:rFonts w:hint="cs"/>
          <w:rtl/>
        </w:rPr>
        <w:t xml:space="preserve"> שטעו</w:t>
      </w:r>
      <w:r w:rsidR="00EE2177">
        <w:rPr>
          <w:rFonts w:hint="cs"/>
          <w:rtl/>
        </w:rPr>
        <w:t>?</w:t>
      </w:r>
      <w:r w:rsidR="003626C7">
        <w:rPr>
          <w:rFonts w:hint="cs"/>
          <w:rtl/>
        </w:rPr>
        <w:t xml:space="preserve"> ואיך נודע להם שטעו?</w:t>
      </w:r>
    </w:p>
  </w:footnote>
  <w:footnote w:id="2">
    <w:p w14:paraId="6E66F7D9" w14:textId="77777777" w:rsidR="00EE2177" w:rsidRDefault="00EE2177" w:rsidP="003626C7">
      <w:pPr>
        <w:pStyle w:val="a3"/>
        <w:rPr>
          <w:rFonts w:hint="cs"/>
        </w:rPr>
      </w:pPr>
      <w:r>
        <w:rPr>
          <w:rStyle w:val="a5"/>
        </w:rPr>
        <w:footnoteRef/>
      </w:r>
      <w:r>
        <w:rPr>
          <w:rtl/>
        </w:rPr>
        <w:t xml:space="preserve"> </w:t>
      </w:r>
      <w:r>
        <w:rPr>
          <w:rFonts w:hint="cs"/>
          <w:rtl/>
        </w:rPr>
        <w:t>מצווה או הוראה זו חוזרת במילים דומות ב</w:t>
      </w:r>
      <w:r w:rsidR="002C2AD6">
        <w:rPr>
          <w:rFonts w:hint="cs"/>
          <w:rtl/>
        </w:rPr>
        <w:t>ספר במדבר, פרשת שלח לך</w:t>
      </w:r>
      <w:r w:rsidR="00B23319">
        <w:rPr>
          <w:rFonts w:hint="cs"/>
          <w:rtl/>
        </w:rPr>
        <w:t>,</w:t>
      </w:r>
      <w:r w:rsidR="002C2AD6">
        <w:rPr>
          <w:rFonts w:hint="cs"/>
          <w:rtl/>
        </w:rPr>
        <w:t xml:space="preserve"> וחז"ל קבעו שזו שבפרשתנו מדבר</w:t>
      </w:r>
      <w:r w:rsidR="00B23319">
        <w:rPr>
          <w:rFonts w:hint="cs"/>
          <w:rtl/>
        </w:rPr>
        <w:t>ת</w:t>
      </w:r>
      <w:r w:rsidR="002C2AD6">
        <w:rPr>
          <w:rFonts w:hint="cs"/>
          <w:rtl/>
        </w:rPr>
        <w:t xml:space="preserve"> בשגגה של כל המצוות ואילו זו שבפרשת שלח לך דנה במקרה המיוחד של שגגת עבודה זרה. וכבר הקדמנו והקדשנו דף קצר לשגגה זו בדברינו </w:t>
      </w:r>
      <w:hyperlink r:id="rId1" w:history="1">
        <w:r w:rsidR="002C2AD6" w:rsidRPr="00B23319">
          <w:rPr>
            <w:rStyle w:val="Hyperlink"/>
            <w:rFonts w:hint="cs"/>
            <w:rtl/>
          </w:rPr>
          <w:t>וכי תשגו</w:t>
        </w:r>
      </w:hyperlink>
      <w:r w:rsidR="002C2AD6">
        <w:rPr>
          <w:rFonts w:hint="cs"/>
          <w:rtl/>
        </w:rPr>
        <w:t xml:space="preserve"> בפרשת שלח לך (</w:t>
      </w:r>
      <w:r w:rsidR="003626C7">
        <w:rPr>
          <w:rFonts w:hint="cs"/>
          <w:rtl/>
        </w:rPr>
        <w:t xml:space="preserve">כחלק מדיון רחב יותר של </w:t>
      </w:r>
      <w:hyperlink r:id="rId2" w:history="1">
        <w:r w:rsidR="003626C7" w:rsidRPr="003626C7">
          <w:rPr>
            <w:rStyle w:val="Hyperlink"/>
            <w:rFonts w:hint="cs"/>
            <w:rtl/>
          </w:rPr>
          <w:t>ה</w:t>
        </w:r>
        <w:r w:rsidR="002C2AD6" w:rsidRPr="003626C7">
          <w:rPr>
            <w:rStyle w:val="Hyperlink"/>
            <w:rFonts w:hint="cs"/>
            <w:rtl/>
          </w:rPr>
          <w:t>"חצי השני" של פרשת שלח לך</w:t>
        </w:r>
      </w:hyperlink>
      <w:r w:rsidR="00B23319">
        <w:rPr>
          <w:rFonts w:hint="cs"/>
          <w:rtl/>
        </w:rPr>
        <w:t xml:space="preserve"> שהוא מעין נחמה אחרי חטא המרגלים</w:t>
      </w:r>
      <w:r w:rsidR="003626C7">
        <w:rPr>
          <w:rFonts w:hint="cs"/>
          <w:rtl/>
        </w:rPr>
        <w:t xml:space="preserve"> ואולי ניסיון לרמוז שהיה זה חטא בשגגה</w:t>
      </w:r>
      <w:r w:rsidR="002C2AD6">
        <w:rPr>
          <w:rFonts w:hint="cs"/>
          <w:rtl/>
        </w:rPr>
        <w:t>)</w:t>
      </w:r>
      <w:r w:rsidR="003626C7">
        <w:rPr>
          <w:rFonts w:hint="cs"/>
          <w:rtl/>
        </w:rPr>
        <w:t xml:space="preserve">. </w:t>
      </w:r>
      <w:r w:rsidR="002C2AD6">
        <w:rPr>
          <w:rFonts w:hint="cs"/>
          <w:rtl/>
        </w:rPr>
        <w:t>שם גם ראינו את דברי רמב"ן שמרחיב את שגגת עבודה זרה לשגגות</w:t>
      </w:r>
      <w:r w:rsidR="00B23319">
        <w:rPr>
          <w:rFonts w:hint="cs"/>
          <w:rtl/>
        </w:rPr>
        <w:t xml:space="preserve"> כמו תינוק שנשבה או קהילות אבודות </w:t>
      </w:r>
      <w:r w:rsidR="0033588D">
        <w:rPr>
          <w:rFonts w:hint="cs"/>
          <w:rtl/>
        </w:rPr>
        <w:t>שהתרחקו</w:t>
      </w:r>
      <w:r w:rsidR="00B23319">
        <w:rPr>
          <w:rFonts w:hint="cs"/>
          <w:rtl/>
        </w:rPr>
        <w:t xml:space="preserve"> מהזרם המרכזי של העם היהודי</w:t>
      </w:r>
      <w:r w:rsidR="002C2AD6">
        <w:rPr>
          <w:rFonts w:hint="cs"/>
          <w:rtl/>
        </w:rPr>
        <w:t xml:space="preserve">. נחזור לפרשתנו וננסה לדון בקצרה מה היא שגגת הציבור </w:t>
      </w:r>
      <w:r w:rsidR="002C2AD6">
        <w:rPr>
          <w:rtl/>
        </w:rPr>
        <w:t>–</w:t>
      </w:r>
      <w:r w:rsidR="002C2AD6">
        <w:rPr>
          <w:rFonts w:hint="cs"/>
          <w:rtl/>
        </w:rPr>
        <w:t xml:space="preserve"> העדה בכלל.</w:t>
      </w:r>
      <w:r>
        <w:rPr>
          <w:rFonts w:hint="cs"/>
          <w:rtl/>
        </w:rPr>
        <w:t xml:space="preserve"> </w:t>
      </w:r>
    </w:p>
  </w:footnote>
  <w:footnote w:id="3">
    <w:p w14:paraId="7F3F3996" w14:textId="77777777" w:rsidR="00534316" w:rsidRDefault="00534316" w:rsidP="003626C7">
      <w:pPr>
        <w:pStyle w:val="a3"/>
        <w:rPr>
          <w:rFonts w:hint="cs"/>
          <w:rtl/>
        </w:rPr>
      </w:pPr>
      <w:r>
        <w:rPr>
          <w:rStyle w:val="a5"/>
        </w:rPr>
        <w:footnoteRef/>
      </w:r>
      <w:r>
        <w:rPr>
          <w:rtl/>
        </w:rPr>
        <w:t xml:space="preserve"> </w:t>
      </w:r>
      <w:r>
        <w:rPr>
          <w:rFonts w:hint="cs"/>
          <w:rtl/>
        </w:rPr>
        <w:t>"עדת ישראל" שבפסוק של</w:t>
      </w:r>
      <w:r w:rsidR="00DA7964">
        <w:rPr>
          <w:rFonts w:hint="cs"/>
          <w:rtl/>
        </w:rPr>
        <w:t>נ</w:t>
      </w:r>
      <w:r>
        <w:rPr>
          <w:rFonts w:hint="cs"/>
          <w:rtl/>
        </w:rPr>
        <w:t xml:space="preserve">ו היא הסנהדרין, בית הדין הגדול שישב בירושלים בלשכת הגזית (ואח"כ נדד ליבנה, אושא, שפרעם, בית שערים, ציפורי וטבריה, ראה ראש השנה לא ע"א) ולשגגתם </w:t>
      </w:r>
      <w:r>
        <w:rPr>
          <w:rtl/>
        </w:rPr>
        <w:t>–</w:t>
      </w:r>
      <w:r>
        <w:rPr>
          <w:rFonts w:hint="cs"/>
          <w:rtl/>
        </w:rPr>
        <w:t xml:space="preserve"> טעותם בהוראה, מוקדשת מסכת הוריות בסדר נזיקין. הבסיס במקרא הוא הפסוק בפרשתנו</w:t>
      </w:r>
      <w:r w:rsidR="00DA7964">
        <w:rPr>
          <w:rFonts w:hint="cs"/>
          <w:rtl/>
        </w:rPr>
        <w:t>: "ואם כל עדת ישראל ישגו ונעלם דבר מעיני הקהל". המשנה ושני התלמודים על מסכת זו, מגבילים את הדיון לשגגות על מצוות שזדונם חייב כרת, שלושים ואחת במספר, אבל נראה שהעקרונות המוצגים במסכת קצרה זו (קצרת הכמות ורבת האיכות) הם עקרוניים ומעניינים. ראה הקדמת ה</w:t>
      </w:r>
      <w:r w:rsidR="00DA7964">
        <w:rPr>
          <w:rtl/>
        </w:rPr>
        <w:t xml:space="preserve">רמב"ם </w:t>
      </w:r>
      <w:r w:rsidR="00DA7964">
        <w:rPr>
          <w:rFonts w:hint="cs"/>
          <w:rtl/>
        </w:rPr>
        <w:t xml:space="preserve">לפירושו למשנה </w:t>
      </w:r>
      <w:r w:rsidR="00DA7964">
        <w:rPr>
          <w:rtl/>
        </w:rPr>
        <w:t>מסכת הוריות</w:t>
      </w:r>
      <w:r w:rsidR="00DA7964">
        <w:rPr>
          <w:rFonts w:hint="cs"/>
          <w:rtl/>
        </w:rPr>
        <w:t xml:space="preserve">: " ... </w:t>
      </w:r>
      <w:r w:rsidR="00DA7964">
        <w:rPr>
          <w:rtl/>
        </w:rPr>
        <w:t>שלושים ואחת מצוות לא תעשה, יתחייב בזדון כל אחת מהן כרת</w:t>
      </w:r>
      <w:r w:rsidR="00DA7964">
        <w:rPr>
          <w:rFonts w:hint="cs"/>
          <w:rtl/>
        </w:rPr>
        <w:t xml:space="preserve"> ...</w:t>
      </w:r>
      <w:r w:rsidR="00DA7964">
        <w:rPr>
          <w:rtl/>
        </w:rPr>
        <w:t xml:space="preserve"> ואם שגג יחיד באחת מאלה השלושים מצוה, הרי החטאת המחויבת לו כשבה או שעירה, כמו שהתבאר בפרשת ויקרא, באומרו: ואם נפש אחת תחטא בשגגה מעם הארץ וכו' והביא קרבנו שעירת עזים וכו'</w:t>
      </w:r>
      <w:r w:rsidR="00DA7964">
        <w:rPr>
          <w:rFonts w:hint="cs"/>
          <w:rtl/>
        </w:rPr>
        <w:t xml:space="preserve"> ...</w:t>
      </w:r>
      <w:r w:rsidR="00DA7964">
        <w:rPr>
          <w:rtl/>
        </w:rPr>
        <w:t xml:space="preserve"> ואם בית דין הגדול של שבעים ואחד הוא אשר שגג באחת מאותן השלושים מצוה, והורו בהיתר דבר מהן, ועשו בני האדם בהוראתם, ושוב התבארה להם הטעות אחר כך, הרי יתחייב בית דין פר לחטאת, כמו שנאמר בויקרא: ואם כל עדת ישראל ישגו ונעלם דבר מעיני הקהל</w:t>
      </w:r>
      <w:r w:rsidR="00DA7964">
        <w:rPr>
          <w:rFonts w:hint="cs"/>
          <w:rtl/>
        </w:rPr>
        <w:t xml:space="preserve">". ונקדים ונאמר שדינים אלה אינם פשוטים ולא באנו לסקור את כולם ולהקיף את הנושא, רק לטעום מעט מיערת הדבש, ובפרט בנושא של </w:t>
      </w:r>
      <w:r w:rsidR="00DA7964" w:rsidRPr="00DA7964">
        <w:rPr>
          <w:rFonts w:hint="cs"/>
          <w:b/>
          <w:bCs/>
          <w:rtl/>
        </w:rPr>
        <w:t>אחריות היחיד מול אחריות בית הדין.</w:t>
      </w:r>
      <w:r w:rsidR="00DA7964">
        <w:rPr>
          <w:rFonts w:hint="cs"/>
          <w:rtl/>
        </w:rPr>
        <w:t xml:space="preserve"> </w:t>
      </w:r>
    </w:p>
  </w:footnote>
  <w:footnote w:id="4">
    <w:p w14:paraId="37913624" w14:textId="77777777" w:rsidR="00DA7964" w:rsidRDefault="00DA7964" w:rsidP="00527F0C">
      <w:pPr>
        <w:pStyle w:val="a3"/>
        <w:rPr>
          <w:rFonts w:hint="cs"/>
          <w:rtl/>
        </w:rPr>
      </w:pPr>
      <w:r>
        <w:rPr>
          <w:rStyle w:val="a5"/>
        </w:rPr>
        <w:footnoteRef/>
      </w:r>
      <w:r>
        <w:rPr>
          <w:rtl/>
        </w:rPr>
        <w:t xml:space="preserve"> </w:t>
      </w:r>
      <w:r>
        <w:rPr>
          <w:rFonts w:hint="cs"/>
          <w:rtl/>
        </w:rPr>
        <w:t xml:space="preserve">זה </w:t>
      </w:r>
      <w:r w:rsidR="00F525AF">
        <w:rPr>
          <w:rFonts w:hint="cs"/>
          <w:rtl/>
        </w:rPr>
        <w:t>העיקרו</w:t>
      </w:r>
      <w:r w:rsidR="00F525AF">
        <w:rPr>
          <w:rFonts w:hint="eastAsia"/>
          <w:rtl/>
        </w:rPr>
        <w:t>ן</w:t>
      </w:r>
      <w:r>
        <w:rPr>
          <w:rFonts w:hint="cs"/>
          <w:rtl/>
        </w:rPr>
        <w:t xml:space="preserve"> הראשון והמתבקש מסמכות בית הדין והחובה לשמוע לו, שאם בית הדין טעה, אזי מי שחטא בשוגג עפ"י הוראתם, פטור מעונש</w:t>
      </w:r>
      <w:r w:rsidR="00537E2D">
        <w:rPr>
          <w:rFonts w:hint="cs"/>
          <w:rtl/>
        </w:rPr>
        <w:t xml:space="preserve"> (מקרבן חטאת, היינו איננו אפילו בגדר שוגג)</w:t>
      </w:r>
      <w:r>
        <w:rPr>
          <w:rFonts w:hint="cs"/>
          <w:rtl/>
        </w:rPr>
        <w:t>. ראה לשון הרמב"ם בראש פרק יב בהלכות שגגות: "</w:t>
      </w:r>
      <w:r>
        <w:rPr>
          <w:rtl/>
        </w:rPr>
        <w:t>כל דבר שחייבין על שגגתו חטאת קבועה</w:t>
      </w:r>
      <w:r>
        <w:rPr>
          <w:rFonts w:hint="cs"/>
          <w:rtl/>
        </w:rPr>
        <w:t>,</w:t>
      </w:r>
      <w:r>
        <w:rPr>
          <w:rtl/>
        </w:rPr>
        <w:t xml:space="preserve"> אם שגגו בית דין הגדול בהוראה והורו להתירו ושגגו העם בהוראתן ועשו העם</w:t>
      </w:r>
      <w:r>
        <w:rPr>
          <w:rFonts w:hint="cs"/>
          <w:rtl/>
        </w:rPr>
        <w:t>,</w:t>
      </w:r>
      <w:r>
        <w:rPr>
          <w:rtl/>
        </w:rPr>
        <w:t xml:space="preserve"> והם סומכין על הוראתן</w:t>
      </w:r>
      <w:r>
        <w:rPr>
          <w:rFonts w:hint="cs"/>
          <w:rtl/>
        </w:rPr>
        <w:t>,</w:t>
      </w:r>
      <w:r>
        <w:rPr>
          <w:rtl/>
        </w:rPr>
        <w:t xml:space="preserve"> ואחר כך נודע לבית דין שטעו, הרי בית דין חייבין להביא קרבן חטאת על שגגתן בהוראה</w:t>
      </w:r>
      <w:r>
        <w:rPr>
          <w:rFonts w:hint="cs"/>
          <w:rtl/>
        </w:rPr>
        <w:t>.</w:t>
      </w:r>
      <w:r>
        <w:rPr>
          <w:rtl/>
        </w:rPr>
        <w:t xml:space="preserve"> ואף על פי שלא עשו הן בעצמן מעשה</w:t>
      </w:r>
      <w:r>
        <w:rPr>
          <w:rFonts w:hint="cs"/>
          <w:rtl/>
        </w:rPr>
        <w:t>,</w:t>
      </w:r>
      <w:r>
        <w:rPr>
          <w:rtl/>
        </w:rPr>
        <w:t xml:space="preserve"> שאין משגיחין על עשיית בית דין כלל</w:t>
      </w:r>
      <w:r>
        <w:rPr>
          <w:rFonts w:hint="cs"/>
          <w:rtl/>
        </w:rPr>
        <w:t>,</w:t>
      </w:r>
      <w:r>
        <w:rPr>
          <w:rtl/>
        </w:rPr>
        <w:t xml:space="preserve"> בין עשו בין לא עשו</w:t>
      </w:r>
      <w:r>
        <w:rPr>
          <w:rFonts w:hint="cs"/>
          <w:rtl/>
        </w:rPr>
        <w:t>,</w:t>
      </w:r>
      <w:r>
        <w:rPr>
          <w:rtl/>
        </w:rPr>
        <w:t xml:space="preserve"> אלא על הוראתן בלבד</w:t>
      </w:r>
      <w:r>
        <w:rPr>
          <w:rFonts w:hint="cs"/>
          <w:rtl/>
        </w:rPr>
        <w:t>.</w:t>
      </w:r>
      <w:r>
        <w:rPr>
          <w:rtl/>
        </w:rPr>
        <w:t xml:space="preserve"> ושאר העם פטורין מן הקרבן ואף על פי שהם העושין</w:t>
      </w:r>
      <w:r>
        <w:rPr>
          <w:rFonts w:hint="cs"/>
          <w:rtl/>
        </w:rPr>
        <w:t>,</w:t>
      </w:r>
      <w:r>
        <w:rPr>
          <w:rtl/>
        </w:rPr>
        <w:t xml:space="preserve"> מפני שתלו בבית דין</w:t>
      </w:r>
      <w:r>
        <w:rPr>
          <w:rFonts w:hint="cs"/>
          <w:rtl/>
        </w:rPr>
        <w:t>". בהמשך נראה שמקרה זו שבו בית הדין חייב, מוגבל בסייגים רבים</w:t>
      </w:r>
      <w:r w:rsidR="00527F0C">
        <w:rPr>
          <w:rFonts w:hint="cs"/>
          <w:rtl/>
        </w:rPr>
        <w:t>, אבל בינתיים למדנו עקרון חשוב ביותר: למרות שבכל עברה, בין במזיד בין בשוגג, צריך שיהיה מעשה, במקרה של בית הדין הגדול, הוראתם היא מעשה!</w:t>
      </w:r>
    </w:p>
  </w:footnote>
  <w:footnote w:id="5">
    <w:p w14:paraId="58D6C64A" w14:textId="77777777" w:rsidR="00630E8B" w:rsidRDefault="00630E8B" w:rsidP="008D6E12">
      <w:pPr>
        <w:pStyle w:val="a3"/>
        <w:rPr>
          <w:rFonts w:hint="cs"/>
          <w:rtl/>
        </w:rPr>
      </w:pPr>
      <w:r>
        <w:rPr>
          <w:rStyle w:val="a5"/>
        </w:rPr>
        <w:footnoteRef/>
      </w:r>
      <w:r>
        <w:rPr>
          <w:rtl/>
        </w:rPr>
        <w:t xml:space="preserve"> </w:t>
      </w:r>
      <w:r w:rsidR="00537E2D">
        <w:rPr>
          <w:rFonts w:hint="cs"/>
          <w:rtl/>
        </w:rPr>
        <w:t>סמכות</w:t>
      </w:r>
      <w:r>
        <w:rPr>
          <w:rFonts w:hint="cs"/>
          <w:rtl/>
        </w:rPr>
        <w:t xml:space="preserve"> בית הדין, איננה פוטרת את היחיד שיודע ומבין שבית הדין טעה! ראה מקבילה ב</w:t>
      </w:r>
      <w:r>
        <w:rPr>
          <w:rtl/>
        </w:rPr>
        <w:t>תוספתא הוריות פרק א</w:t>
      </w:r>
      <w:r>
        <w:rPr>
          <w:rFonts w:hint="cs"/>
          <w:rtl/>
        </w:rPr>
        <w:t xml:space="preserve"> הלכה א: "</w:t>
      </w:r>
      <w:r>
        <w:rPr>
          <w:rtl/>
        </w:rPr>
        <w:t>הורו בית דין וידע אחד מהן שטעו</w:t>
      </w:r>
      <w:r>
        <w:rPr>
          <w:rFonts w:hint="cs"/>
          <w:rtl/>
        </w:rPr>
        <w:t>,</w:t>
      </w:r>
      <w:r>
        <w:rPr>
          <w:rtl/>
        </w:rPr>
        <w:t xml:space="preserve"> או שהיה אחד מן התלמידים וותיקין יושב לפניהן וראוי להוראה כשמעון בן עזאי והלך ועשה על פיהם</w:t>
      </w:r>
      <w:r>
        <w:rPr>
          <w:rFonts w:hint="cs"/>
          <w:rtl/>
        </w:rPr>
        <w:t>,</w:t>
      </w:r>
      <w:r>
        <w:rPr>
          <w:rtl/>
        </w:rPr>
        <w:t xml:space="preserve"> הרי זה חייב מפני שלא תלה בבית דין</w:t>
      </w:r>
      <w:r>
        <w:rPr>
          <w:rFonts w:hint="cs"/>
          <w:rtl/>
        </w:rPr>
        <w:t xml:space="preserve">". </w:t>
      </w:r>
      <w:r w:rsidR="00537E2D">
        <w:rPr>
          <w:rFonts w:hint="cs"/>
          <w:rtl/>
        </w:rPr>
        <w:t xml:space="preserve">חשוב להדגיש ש"חייב" </w:t>
      </w:r>
      <w:r w:rsidR="005764F9">
        <w:rPr>
          <w:rFonts w:hint="cs"/>
          <w:rtl/>
        </w:rPr>
        <w:t xml:space="preserve">כאן </w:t>
      </w:r>
      <w:r w:rsidR="00537E2D">
        <w:rPr>
          <w:rFonts w:hint="cs"/>
          <w:rtl/>
        </w:rPr>
        <w:t xml:space="preserve">זה קרבן חטאת, היינו זה עדיין נחשב לו כשגגה </w:t>
      </w:r>
      <w:r w:rsidR="00537E2D">
        <w:rPr>
          <w:rtl/>
        </w:rPr>
        <w:t>–</w:t>
      </w:r>
      <w:r w:rsidR="00537E2D">
        <w:rPr>
          <w:rFonts w:hint="cs"/>
          <w:rtl/>
        </w:rPr>
        <w:t xml:space="preserve"> "שגגת מעשה" בלשון הגמרא</w:t>
      </w:r>
      <w:r w:rsidR="005764F9">
        <w:rPr>
          <w:rFonts w:hint="cs"/>
          <w:rtl/>
        </w:rPr>
        <w:t xml:space="preserve"> </w:t>
      </w:r>
      <w:r w:rsidR="006756F5">
        <w:rPr>
          <w:rtl/>
        </w:rPr>
        <w:t>–</w:t>
      </w:r>
      <w:r w:rsidR="006756F5">
        <w:rPr>
          <w:rFonts w:hint="cs"/>
          <w:rtl/>
        </w:rPr>
        <w:t xml:space="preserve"> ומצופה ממנו שיימנע </w:t>
      </w:r>
      <w:r w:rsidR="005764F9">
        <w:rPr>
          <w:rFonts w:hint="cs"/>
          <w:rtl/>
        </w:rPr>
        <w:t>מלעשות מעשה כשהוא יודע שהדבר אסור</w:t>
      </w:r>
      <w:r w:rsidR="008D6E12">
        <w:rPr>
          <w:rFonts w:hint="cs"/>
          <w:rtl/>
        </w:rPr>
        <w:t xml:space="preserve"> (ראה הערה 3)</w:t>
      </w:r>
      <w:r w:rsidR="00537E2D">
        <w:rPr>
          <w:rFonts w:hint="cs"/>
          <w:rtl/>
        </w:rPr>
        <w:t xml:space="preserve">. </w:t>
      </w:r>
      <w:r>
        <w:rPr>
          <w:rFonts w:hint="cs"/>
          <w:rtl/>
        </w:rPr>
        <w:t>המגבלה במשנה ובתוספתא היא ל"אחד מהם", היינו חבר בבית הדין הגדול, או תלמיד שראוי להוראה כשמעון בן עזאי. ומה עם אדם פשוט, לא כבן עזאי, שיודע שבית הדין הגדול טעה? מי בכלל אומר שהם טעו? האם ידיעת כל אדם יכולה לעתים להיות מעל ידיעת בית הדין הגדול? באילו תנאים חייב אדם להישמע לדעתו והבנתו בהלכה גם נגד בית הדין הגדול?</w:t>
      </w:r>
    </w:p>
  </w:footnote>
  <w:footnote w:id="6">
    <w:p w14:paraId="4281DC19" w14:textId="77777777" w:rsidR="005040B5" w:rsidRDefault="005040B5" w:rsidP="00252250">
      <w:pPr>
        <w:pStyle w:val="a3"/>
        <w:rPr>
          <w:rFonts w:hint="cs"/>
          <w:rtl/>
        </w:rPr>
      </w:pPr>
      <w:r>
        <w:rPr>
          <w:rStyle w:val="a5"/>
        </w:rPr>
        <w:footnoteRef/>
      </w:r>
      <w:r>
        <w:rPr>
          <w:rtl/>
        </w:rPr>
        <w:t xml:space="preserve"> </w:t>
      </w:r>
      <w:r>
        <w:rPr>
          <w:rFonts w:hint="cs"/>
          <w:rtl/>
        </w:rPr>
        <w:t>שיטת ר' שמעון נראית פשוטה וממשיכה את הקו שראינו במשנה הראשונה. ההוראה הראשונה של בית הדין פשטה וחזרתם עדיין לא נודעה ו</w:t>
      </w:r>
      <w:r w:rsidR="006756F5">
        <w:rPr>
          <w:rFonts w:hint="cs"/>
          <w:rtl/>
        </w:rPr>
        <w:t xml:space="preserve">היחיד </w:t>
      </w:r>
      <w:r>
        <w:rPr>
          <w:rFonts w:hint="cs"/>
          <w:rtl/>
        </w:rPr>
        <w:t xml:space="preserve">"ברשות בית דין" </w:t>
      </w:r>
      <w:r w:rsidR="006756F5">
        <w:rPr>
          <w:rFonts w:hint="cs"/>
          <w:rtl/>
        </w:rPr>
        <w:t>ע</w:t>
      </w:r>
      <w:r>
        <w:rPr>
          <w:rFonts w:hint="cs"/>
          <w:rtl/>
        </w:rPr>
        <w:t>שה</w:t>
      </w:r>
      <w:r w:rsidR="006756F5">
        <w:rPr>
          <w:rFonts w:hint="cs"/>
          <w:rtl/>
        </w:rPr>
        <w:t xml:space="preserve"> ולפיכך פטור</w:t>
      </w:r>
      <w:r>
        <w:rPr>
          <w:rFonts w:hint="cs"/>
          <w:rtl/>
        </w:rPr>
        <w:t>. כך עולה מהגמרא בדף ג ע"ב. אבל שיטת רבי אליעזר (שר' עקיבא מחזק בקטע שקצרנו והשמטנו) היא שלהוציא מקרה של מי שהלך למדינת הים (נסע לחו"ל) ולא הייתה לו כל דרך לדעת שבית הדין חזר בו</w:t>
      </w:r>
      <w:r w:rsidR="00D10245">
        <w:rPr>
          <w:rFonts w:hint="cs"/>
          <w:rtl/>
        </w:rPr>
        <w:t xml:space="preserve"> (בימינו אולי אין כבר פטור כזה)</w:t>
      </w:r>
      <w:r>
        <w:rPr>
          <w:rFonts w:hint="cs"/>
          <w:rtl/>
        </w:rPr>
        <w:t>, מי "שנשאר בארץ", גם מי שספון ויושב בביתו, צריך היה לחזור ולברר מה ההלכה</w:t>
      </w:r>
      <w:r w:rsidR="00D10245">
        <w:rPr>
          <w:rFonts w:hint="cs"/>
          <w:rtl/>
        </w:rPr>
        <w:t xml:space="preserve"> והאם בית הדין שינה את דעתו. לפיכך, </w:t>
      </w:r>
      <w:r>
        <w:rPr>
          <w:rFonts w:hint="cs"/>
          <w:rtl/>
        </w:rPr>
        <w:t>מספק יביא קרבן עולה ויורד (במקום חטאת קבועה). שים לב שכאן כבר לא מדובר באחד מהדיינים או בתלמיד וראוי להוראה, אלא בכל אדם</w:t>
      </w:r>
      <w:r w:rsidR="00D10245">
        <w:rPr>
          <w:rFonts w:hint="cs"/>
          <w:rtl/>
        </w:rPr>
        <w:t>, וגם לא במקרה שהיחיד סבור שבית הדין טעה</w:t>
      </w:r>
      <w:r>
        <w:rPr>
          <w:rFonts w:hint="cs"/>
          <w:rtl/>
        </w:rPr>
        <w:t xml:space="preserve">. </w:t>
      </w:r>
      <w:r w:rsidR="00D10245">
        <w:rPr>
          <w:rFonts w:hint="cs"/>
          <w:rtl/>
        </w:rPr>
        <w:t>נראה שי</w:t>
      </w:r>
      <w:r w:rsidR="0033588D">
        <w:rPr>
          <w:rFonts w:hint="cs"/>
          <w:rtl/>
        </w:rPr>
        <w:t>ש</w:t>
      </w:r>
      <w:r w:rsidR="00D10245">
        <w:rPr>
          <w:rFonts w:hint="cs"/>
          <w:rtl/>
        </w:rPr>
        <w:t xml:space="preserve"> כאן על</w:t>
      </w:r>
      <w:r w:rsidR="0033588D">
        <w:rPr>
          <w:rFonts w:hint="cs"/>
          <w:rtl/>
        </w:rPr>
        <w:t>י</w:t>
      </w:r>
      <w:r w:rsidR="00D10245">
        <w:rPr>
          <w:rFonts w:hint="cs"/>
          <w:rtl/>
        </w:rPr>
        <w:t xml:space="preserve">ית מדרגה ברורה של </w:t>
      </w:r>
      <w:r>
        <w:rPr>
          <w:rFonts w:hint="cs"/>
          <w:rtl/>
        </w:rPr>
        <w:t>אחריות היחיד.</w:t>
      </w:r>
      <w:r w:rsidR="00252250">
        <w:rPr>
          <w:rFonts w:hint="cs"/>
          <w:rtl/>
        </w:rPr>
        <w:t xml:space="preserve"> מצופה ממנו שיעקב אחרי הוראות בית הדין, שיברר מה 'ההוראה האחרונה'.</w:t>
      </w:r>
    </w:p>
  </w:footnote>
  <w:footnote w:id="7">
    <w:p w14:paraId="0AE59569" w14:textId="77777777" w:rsidR="005040B5" w:rsidRDefault="005040B5" w:rsidP="005F33FD">
      <w:pPr>
        <w:pStyle w:val="a3"/>
        <w:rPr>
          <w:rFonts w:hint="cs"/>
        </w:rPr>
      </w:pPr>
      <w:r>
        <w:rPr>
          <w:rStyle w:val="a5"/>
        </w:rPr>
        <w:footnoteRef/>
      </w:r>
      <w:r>
        <w:rPr>
          <w:rtl/>
        </w:rPr>
        <w:t xml:space="preserve"> </w:t>
      </w:r>
      <w:r>
        <w:rPr>
          <w:rFonts w:hint="cs"/>
          <w:rtl/>
        </w:rPr>
        <w:t xml:space="preserve">משום שזה לא בית דין! זו לא הוראה! ובלשון הגמרא: "זיל קרי בי רב הוא" </w:t>
      </w:r>
      <w:r>
        <w:rPr>
          <w:rtl/>
        </w:rPr>
        <w:t>–</w:t>
      </w:r>
      <w:r>
        <w:rPr>
          <w:rFonts w:hint="cs"/>
          <w:rtl/>
        </w:rPr>
        <w:t xml:space="preserve"> לך תקרא את הדין מתינוקות בית המדרש!</w:t>
      </w:r>
      <w:r w:rsidR="00EA476C">
        <w:rPr>
          <w:rFonts w:hint="cs"/>
          <w:rtl/>
        </w:rPr>
        <w:t xml:space="preserve"> </w:t>
      </w:r>
    </w:p>
  </w:footnote>
  <w:footnote w:id="8">
    <w:p w14:paraId="24A186F5" w14:textId="77777777" w:rsidR="00096B92" w:rsidRDefault="00096B92" w:rsidP="00252250">
      <w:pPr>
        <w:pStyle w:val="a3"/>
        <w:rPr>
          <w:rFonts w:hint="cs"/>
          <w:rtl/>
        </w:rPr>
      </w:pPr>
      <w:r>
        <w:rPr>
          <w:rStyle w:val="a5"/>
        </w:rPr>
        <w:footnoteRef/>
      </w:r>
      <w:r>
        <w:rPr>
          <w:rtl/>
        </w:rPr>
        <w:t xml:space="preserve"> </w:t>
      </w:r>
      <w:r>
        <w:rPr>
          <w:rFonts w:hint="cs"/>
          <w:rtl/>
        </w:rPr>
        <w:t xml:space="preserve">אם בית הדין טעה בדבר מרכזי ופשוט, הם פטורים והציבור שעשה כהוראתם </w:t>
      </w:r>
      <w:r>
        <w:rPr>
          <w:rtl/>
        </w:rPr>
        <w:t>–</w:t>
      </w:r>
      <w:r>
        <w:rPr>
          <w:rFonts w:hint="cs"/>
          <w:rtl/>
        </w:rPr>
        <w:t xml:space="preserve"> חייב. מצופה שהיחיד, הציבור, </w:t>
      </w:r>
      <w:r w:rsidR="00252250">
        <w:rPr>
          <w:rFonts w:hint="cs"/>
          <w:rtl/>
        </w:rPr>
        <w:t>'</w:t>
      </w:r>
      <w:r>
        <w:rPr>
          <w:rFonts w:hint="cs"/>
          <w:rtl/>
        </w:rPr>
        <w:t>עמך</w:t>
      </w:r>
      <w:r w:rsidR="00252250">
        <w:rPr>
          <w:rFonts w:hint="cs"/>
          <w:rtl/>
        </w:rPr>
        <w:t>'</w:t>
      </w:r>
      <w:r>
        <w:rPr>
          <w:rFonts w:hint="cs"/>
          <w:rtl/>
        </w:rPr>
        <w:t xml:space="preserve">, יידע וישמר הלכות יסוד בתורה, גם אם בית הדין הגדול שכח וטעה בהם! ראה בגמרא (סוכמה בפירוש קהתי על משנה זו) שמביאה בתחילה את שיטת רב יהודה בשם שמואל: "אין בית דין חייבים, עד שיורו בדבר שאין הצדוקים מודים בו". היינו, בדיני תורה שבע"פ, או הלכות הפרושים שנלמדות ביג' מדות שבהן התורה נדרשת. במקרים כאלה, בית הדין חייב </w:t>
      </w:r>
      <w:r w:rsidR="00792059">
        <w:rPr>
          <w:rFonts w:hint="cs"/>
          <w:rtl/>
        </w:rPr>
        <w:t xml:space="preserve">אם טעה </w:t>
      </w:r>
      <w:r>
        <w:rPr>
          <w:rFonts w:hint="cs"/>
          <w:rtl/>
        </w:rPr>
        <w:t>(והציבור פטור), אבל לא בדינים שמפורשים בתורה</w:t>
      </w:r>
      <w:r w:rsidR="00D04E81">
        <w:rPr>
          <w:rFonts w:hint="cs"/>
          <w:rtl/>
        </w:rPr>
        <w:t>, לומר שאין בכלל שבת, אין דין עבודה זרה, אין חמץ בפסח וכו'</w:t>
      </w:r>
      <w:r>
        <w:rPr>
          <w:rFonts w:hint="cs"/>
          <w:rtl/>
        </w:rPr>
        <w:t>. אלה האחרונים נקראים "כל הגוף"</w:t>
      </w:r>
      <w:r w:rsidR="00E66A18">
        <w:rPr>
          <w:rFonts w:hint="cs"/>
          <w:rtl/>
        </w:rPr>
        <w:t xml:space="preserve">, או גם "דבר שהצדוקים מודים בו" - </w:t>
      </w:r>
      <w:r>
        <w:rPr>
          <w:rFonts w:hint="cs"/>
          <w:rtl/>
        </w:rPr>
        <w:t xml:space="preserve">ואם </w:t>
      </w:r>
      <w:r w:rsidR="00792059">
        <w:rPr>
          <w:rFonts w:hint="cs"/>
          <w:rtl/>
        </w:rPr>
        <w:t xml:space="preserve">טעה </w:t>
      </w:r>
      <w:r>
        <w:rPr>
          <w:rFonts w:hint="cs"/>
          <w:rtl/>
        </w:rPr>
        <w:t xml:space="preserve">בית הדין </w:t>
      </w:r>
      <w:r w:rsidR="00792059">
        <w:rPr>
          <w:rFonts w:hint="cs"/>
          <w:rtl/>
        </w:rPr>
        <w:t xml:space="preserve">ובא </w:t>
      </w:r>
      <w:r>
        <w:rPr>
          <w:rFonts w:hint="cs"/>
          <w:rtl/>
        </w:rPr>
        <w:t xml:space="preserve">לעקור דין </w:t>
      </w:r>
      <w:r w:rsidR="00E66A18">
        <w:rPr>
          <w:rFonts w:hint="cs"/>
          <w:rtl/>
        </w:rPr>
        <w:t xml:space="preserve">כזה, </w:t>
      </w:r>
      <w:r>
        <w:rPr>
          <w:rFonts w:hint="cs"/>
          <w:rtl/>
        </w:rPr>
        <w:t>שכתוב בתורה שבכתב</w:t>
      </w:r>
      <w:r w:rsidR="00E66A18">
        <w:rPr>
          <w:rFonts w:hint="cs"/>
          <w:rtl/>
        </w:rPr>
        <w:t>,</w:t>
      </w:r>
      <w:r>
        <w:rPr>
          <w:rFonts w:hint="cs"/>
          <w:rtl/>
        </w:rPr>
        <w:t xml:space="preserve"> הוא פטור (בגלל שזה אבסורד) והציבור חייב. אבל בהמשך הגמרא (הוריות דף ד ע"א וע"ב) עולה שככל שההלכה נעשתה רווחת וידועה</w:t>
      </w:r>
      <w:r w:rsidR="00B11771">
        <w:rPr>
          <w:rFonts w:hint="cs"/>
          <w:rtl/>
        </w:rPr>
        <w:t xml:space="preserve"> וחכמים מצאו להלכות אלה סמך מהתורה</w:t>
      </w:r>
      <w:r>
        <w:rPr>
          <w:rFonts w:hint="cs"/>
          <w:rtl/>
        </w:rPr>
        <w:t xml:space="preserve">, כמו הלכות שבת, עקירת הגוף היא לא רק מי שאומר שאין שבת בכלל (ראה שם </w:t>
      </w:r>
      <w:r w:rsidR="00E66A18">
        <w:rPr>
          <w:rFonts w:hint="cs"/>
          <w:rtl/>
        </w:rPr>
        <w:t>דוגמא ל</w:t>
      </w:r>
      <w:r w:rsidR="00D04E81">
        <w:rPr>
          <w:rFonts w:hint="cs"/>
          <w:rtl/>
        </w:rPr>
        <w:t>דרשת טעות</w:t>
      </w:r>
      <w:r w:rsidR="00E66A18">
        <w:rPr>
          <w:rFonts w:hint="cs"/>
          <w:rtl/>
        </w:rPr>
        <w:t xml:space="preserve">: </w:t>
      </w:r>
      <w:r w:rsidR="00D04E81">
        <w:rPr>
          <w:rFonts w:hint="cs"/>
          <w:rtl/>
        </w:rPr>
        <w:t xml:space="preserve">"בחריש ובקציר תשבות" שאין שבת נוהגת </w:t>
      </w:r>
      <w:r>
        <w:rPr>
          <w:rFonts w:hint="cs"/>
          <w:rtl/>
        </w:rPr>
        <w:t xml:space="preserve">בשביעית - בשנת שמיטה!), אלא גם מי שעוקר כל אחת מל"ט מלאכות, ובניגוד לנאמר במשנה. </w:t>
      </w:r>
      <w:r w:rsidR="00B11771">
        <w:rPr>
          <w:rFonts w:hint="cs"/>
          <w:rtl/>
        </w:rPr>
        <w:t>ומתי בית הדין בכל זאת חייב ואין זה נחשב ל</w:t>
      </w:r>
      <w:r w:rsidR="00E66A18">
        <w:rPr>
          <w:rFonts w:hint="cs"/>
          <w:rtl/>
        </w:rPr>
        <w:t xml:space="preserve">עקירת </w:t>
      </w:r>
      <w:r w:rsidR="00B11771">
        <w:rPr>
          <w:rFonts w:hint="cs"/>
          <w:rtl/>
        </w:rPr>
        <w:t>גוף מהתורה</w:t>
      </w:r>
      <w:r w:rsidR="00E66A18">
        <w:rPr>
          <w:rFonts w:hint="cs"/>
          <w:rtl/>
        </w:rPr>
        <w:t>? בהיתרים בפרטים.</w:t>
      </w:r>
      <w:r w:rsidR="00B11771">
        <w:rPr>
          <w:rFonts w:hint="cs"/>
          <w:rtl/>
        </w:rPr>
        <w:t xml:space="preserve"> </w:t>
      </w:r>
      <w:r w:rsidR="00420A28">
        <w:rPr>
          <w:rFonts w:hint="cs"/>
          <w:rtl/>
        </w:rPr>
        <w:t>ראה דוגמאות ב</w:t>
      </w:r>
      <w:r w:rsidR="00420A28">
        <w:rPr>
          <w:rtl/>
        </w:rPr>
        <w:t>רמב"ם הלכות שגגות פרק יד</w:t>
      </w:r>
      <w:r w:rsidR="00420A28">
        <w:rPr>
          <w:rFonts w:hint="cs"/>
          <w:rtl/>
        </w:rPr>
        <w:t xml:space="preserve"> הלכה ב, שמסכם את הגמרא בהוריות דף ד</w:t>
      </w:r>
      <w:r w:rsidR="00252250">
        <w:rPr>
          <w:rFonts w:hint="cs"/>
          <w:rtl/>
        </w:rPr>
        <w:t xml:space="preserve"> ואומר</w:t>
      </w:r>
      <w:r w:rsidR="00420A28">
        <w:rPr>
          <w:rFonts w:hint="cs"/>
          <w:rtl/>
        </w:rPr>
        <w:t>: "</w:t>
      </w:r>
      <w:r w:rsidR="00420A28">
        <w:rPr>
          <w:rtl/>
        </w:rPr>
        <w:t>טעו והורו ואמרו המוציא מרשות לרשות הוא שחייב</w:t>
      </w:r>
      <w:r w:rsidR="00420A28">
        <w:rPr>
          <w:rFonts w:hint="cs"/>
          <w:rtl/>
        </w:rPr>
        <w:t>,</w:t>
      </w:r>
      <w:r w:rsidR="00420A28">
        <w:rPr>
          <w:rtl/>
        </w:rPr>
        <w:t xml:space="preserve"> שנאמר</w:t>
      </w:r>
      <w:r w:rsidR="00420A28">
        <w:rPr>
          <w:rFonts w:hint="cs"/>
          <w:rtl/>
        </w:rPr>
        <w:t>:</w:t>
      </w:r>
      <w:r w:rsidR="00420A28">
        <w:rPr>
          <w:rtl/>
        </w:rPr>
        <w:t xml:space="preserve"> אל יצא איש ממקומו</w:t>
      </w:r>
      <w:r w:rsidR="00420A28">
        <w:rPr>
          <w:rFonts w:hint="cs"/>
          <w:rtl/>
        </w:rPr>
        <w:t>,</w:t>
      </w:r>
      <w:r w:rsidR="00420A28">
        <w:rPr>
          <w:rtl/>
        </w:rPr>
        <w:t xml:space="preserve"> אבל הזורק או המושיט מותר</w:t>
      </w:r>
      <w:r w:rsidR="00420A28">
        <w:rPr>
          <w:rFonts w:hint="cs"/>
          <w:rtl/>
        </w:rPr>
        <w:t xml:space="preserve"> ... </w:t>
      </w:r>
      <w:r w:rsidR="00420A28">
        <w:rPr>
          <w:rtl/>
        </w:rPr>
        <w:t>וכן אם טעו ואמרו המשתחוה לעבודה זרה בפישוט ידים ורגלים הוא החייב</w:t>
      </w:r>
      <w:r w:rsidR="00420A28">
        <w:rPr>
          <w:rFonts w:hint="cs"/>
          <w:rtl/>
        </w:rPr>
        <w:t>,</w:t>
      </w:r>
      <w:r w:rsidR="00420A28">
        <w:rPr>
          <w:rtl/>
        </w:rPr>
        <w:t xml:space="preserve"> שנאמר בו</w:t>
      </w:r>
      <w:r w:rsidR="00420A28">
        <w:rPr>
          <w:rFonts w:hint="cs"/>
          <w:rtl/>
        </w:rPr>
        <w:t>:</w:t>
      </w:r>
      <w:r w:rsidR="00420A28">
        <w:rPr>
          <w:rtl/>
        </w:rPr>
        <w:t xml:space="preserve"> לא תשתחוה לאל אחר</w:t>
      </w:r>
      <w:r w:rsidR="00420A28">
        <w:rPr>
          <w:rFonts w:hint="cs"/>
          <w:rtl/>
        </w:rPr>
        <w:t>,</w:t>
      </w:r>
      <w:r w:rsidR="00420A28">
        <w:rPr>
          <w:rtl/>
        </w:rPr>
        <w:t xml:space="preserve"> אבל הכורע על הארץ ולא פשט ידיו ורגליו הרי הוא מותר</w:t>
      </w:r>
      <w:r w:rsidR="00420A28">
        <w:rPr>
          <w:rFonts w:hint="cs"/>
          <w:rtl/>
        </w:rPr>
        <w:t>,</w:t>
      </w:r>
      <w:r w:rsidR="00420A28">
        <w:rPr>
          <w:rtl/>
        </w:rPr>
        <w:t xml:space="preserve"> הרי אלו חייבין</w:t>
      </w:r>
      <w:r w:rsidR="00420A28">
        <w:rPr>
          <w:rFonts w:hint="cs"/>
          <w:rtl/>
        </w:rPr>
        <w:t xml:space="preserve"> ... </w:t>
      </w:r>
      <w:r w:rsidR="00420A28">
        <w:rPr>
          <w:rtl/>
        </w:rPr>
        <w:t>וכן אם טעו ואמרו שהאוכל דם שיצא בשעת שחיטה הוא החייב</w:t>
      </w:r>
      <w:r w:rsidR="00B11771">
        <w:rPr>
          <w:rFonts w:hint="cs"/>
          <w:rtl/>
        </w:rPr>
        <w:t>,</w:t>
      </w:r>
      <w:r w:rsidR="00420A28">
        <w:rPr>
          <w:rtl/>
        </w:rPr>
        <w:t xml:space="preserve"> אבל האוכל דם הלב מותר הרי אלו חייבים</w:t>
      </w:r>
      <w:r w:rsidR="00E66A18">
        <w:rPr>
          <w:rFonts w:hint="cs"/>
          <w:rtl/>
        </w:rPr>
        <w:t>.</w:t>
      </w:r>
      <w:r w:rsidR="00420A28">
        <w:rPr>
          <w:rtl/>
        </w:rPr>
        <w:t xml:space="preserve"> וכן כל כיוצא בטעיות אלו</w:t>
      </w:r>
      <w:r w:rsidR="00B11771">
        <w:rPr>
          <w:rFonts w:hint="cs"/>
          <w:rtl/>
        </w:rPr>
        <w:t>,</w:t>
      </w:r>
      <w:r w:rsidR="00420A28">
        <w:rPr>
          <w:rtl/>
        </w:rPr>
        <w:t xml:space="preserve"> אם הורו בהן ועשו רוב הקהל על פיהן פטורין ובית דין מביאין קרבן על שגגתן</w:t>
      </w:r>
      <w:r w:rsidR="00420A28">
        <w:rPr>
          <w:rFonts w:hint="cs"/>
          <w:rtl/>
        </w:rPr>
        <w:t>"</w:t>
      </w:r>
      <w:r w:rsidR="00420A28">
        <w:rPr>
          <w:rtl/>
        </w:rPr>
        <w:t xml:space="preserve">. </w:t>
      </w:r>
      <w:r>
        <w:rPr>
          <w:rFonts w:hint="cs"/>
          <w:rtl/>
        </w:rPr>
        <w:t>כללו של דבר, הידע בהלכה הולך ופושט בשכבות העם כולו ומה שנחשב בעבר לפרט הלכתי הופך לגוף שמצופה שכולם ידעו</w:t>
      </w:r>
      <w:r w:rsidR="00E66A18">
        <w:rPr>
          <w:rFonts w:hint="cs"/>
          <w:rtl/>
        </w:rPr>
        <w:t xml:space="preserve"> והפרטים הם בפרטי הדין</w:t>
      </w:r>
      <w:r>
        <w:rPr>
          <w:rFonts w:hint="cs"/>
          <w:rtl/>
        </w:rPr>
        <w:t>. ביותר ויותר מקרים בית הדין פטור והיחיד חייב. והרי לנו עליית מדרגה נוספת באחריות היחיד.</w:t>
      </w:r>
      <w:r w:rsidR="00252250">
        <w:rPr>
          <w:rFonts w:hint="cs"/>
          <w:rtl/>
        </w:rPr>
        <w:t xml:space="preserve"> יש ציפייה ברורה מכל אדם בישראל, לא רק שמעון בן עזאי, שידע את התורה והלכותיה הבסיסיות!</w:t>
      </w:r>
      <w:r w:rsidR="00807640">
        <w:rPr>
          <w:rFonts w:hint="cs"/>
          <w:rtl/>
        </w:rPr>
        <w:t xml:space="preserve"> ראה </w:t>
      </w:r>
      <w:r w:rsidR="00693FC3">
        <w:rPr>
          <w:rFonts w:hint="cs"/>
          <w:rtl/>
        </w:rPr>
        <w:t xml:space="preserve">להלן </w:t>
      </w:r>
      <w:r w:rsidR="00807640">
        <w:rPr>
          <w:rFonts w:hint="cs"/>
          <w:rtl/>
        </w:rPr>
        <w:t>בגמרא חגיגה ג ע"ב: "אף אתה ... קנה לך לב מבין".</w:t>
      </w:r>
    </w:p>
  </w:footnote>
  <w:footnote w:id="9">
    <w:p w14:paraId="63C3261D" w14:textId="77777777" w:rsidR="005F33FD" w:rsidRDefault="005F33FD" w:rsidP="00C60D3E">
      <w:pPr>
        <w:pStyle w:val="a3"/>
        <w:rPr>
          <w:rFonts w:hint="cs"/>
        </w:rPr>
      </w:pPr>
      <w:r>
        <w:rPr>
          <w:rStyle w:val="a5"/>
        </w:rPr>
        <w:footnoteRef/>
      </w:r>
      <w:r>
        <w:rPr>
          <w:rtl/>
        </w:rPr>
        <w:t xml:space="preserve"> </w:t>
      </w:r>
      <w:r>
        <w:rPr>
          <w:rFonts w:hint="cs"/>
          <w:rtl/>
        </w:rPr>
        <w:t xml:space="preserve">ראה בגמרא הוריות ד ע"ב שהיעדרותו של החכם המופלא מבית הדין היא חסר מהותי, בדומה לטעות בגוף הדין שלעיל (ואולי סיבה לטעות כזו). גם שם משתמשת הגמרא בטיעון של טעות ב"דבר שהצדוקים מודים בו" </w:t>
      </w:r>
      <w:r w:rsidR="00BD1660">
        <w:rPr>
          <w:rtl/>
        </w:rPr>
        <w:t>–</w:t>
      </w:r>
      <w:r w:rsidR="00E66A18">
        <w:rPr>
          <w:rFonts w:hint="cs"/>
          <w:rtl/>
        </w:rPr>
        <w:t xml:space="preserve"> שפטורים</w:t>
      </w:r>
      <w:r w:rsidR="00BD1660">
        <w:rPr>
          <w:rFonts w:hint="cs"/>
          <w:rtl/>
        </w:rPr>
        <w:t xml:space="preserve">, </w:t>
      </w:r>
      <w:r>
        <w:rPr>
          <w:rFonts w:hint="cs"/>
          <w:rtl/>
        </w:rPr>
        <w:t>ומוסיפה את הביטוי המשקף את רמתו הנמוכה של בית הדין: "היה להם ללמוד ולא למדו".</w:t>
      </w:r>
      <w:r w:rsidR="00C60D3E">
        <w:rPr>
          <w:rFonts w:hint="cs"/>
          <w:rtl/>
        </w:rPr>
        <w:t xml:space="preserve"> מה שגם מזכיר את הביטוי "</w:t>
      </w:r>
      <w:r w:rsidR="00C60D3E">
        <w:rPr>
          <w:rtl/>
        </w:rPr>
        <w:t>זיל קרי בי רב הוא</w:t>
      </w:r>
      <w:r w:rsidR="00C60D3E">
        <w:rPr>
          <w:rFonts w:hint="cs"/>
          <w:rtl/>
        </w:rPr>
        <w:t>"</w:t>
      </w:r>
      <w:r w:rsidR="00C60D3E">
        <w:rPr>
          <w:rtl/>
        </w:rPr>
        <w:t>.</w:t>
      </w:r>
    </w:p>
  </w:footnote>
  <w:footnote w:id="10">
    <w:p w14:paraId="509A20D1" w14:textId="77777777" w:rsidR="00A2663B" w:rsidRDefault="00A2663B" w:rsidP="001B12C0">
      <w:pPr>
        <w:pStyle w:val="a3"/>
        <w:rPr>
          <w:rFonts w:hint="cs"/>
          <w:rtl/>
        </w:rPr>
      </w:pPr>
      <w:r>
        <w:rPr>
          <w:rStyle w:val="a5"/>
        </w:rPr>
        <w:footnoteRef/>
      </w:r>
      <w:r>
        <w:rPr>
          <w:rtl/>
        </w:rPr>
        <w:t xml:space="preserve"> </w:t>
      </w:r>
      <w:r>
        <w:rPr>
          <w:rFonts w:hint="cs"/>
          <w:rtl/>
        </w:rPr>
        <w:t xml:space="preserve">ותנאים נוספים </w:t>
      </w:r>
      <w:r w:rsidR="00EA476C">
        <w:rPr>
          <w:rFonts w:hint="cs"/>
          <w:rtl/>
        </w:rPr>
        <w:t xml:space="preserve">שם </w:t>
      </w:r>
      <w:r>
        <w:rPr>
          <w:rFonts w:hint="cs"/>
          <w:rtl/>
        </w:rPr>
        <w:t xml:space="preserve">כגון שראש הישיבה היה איתם ושהיו כל שבעים ואחד חברי הסנהדרין נוכחים, ואף אחד מהם לא נחלק ואמר: טועים אתם, ושהורו לעם ואמרו בלשון מפורשת "מותרים אתם", ותנאים רבים נוספים (חלקם כבר ראינו) שרק אם כולם מתקיימים, בית הדין הוא שחייב והיחיד או הציבור שעשו על פיהם פטורים. ראה שוב </w:t>
      </w:r>
      <w:r w:rsidR="00C60D3E">
        <w:rPr>
          <w:rFonts w:hint="cs"/>
          <w:rtl/>
        </w:rPr>
        <w:t>ב</w:t>
      </w:r>
      <w:r>
        <w:rPr>
          <w:rFonts w:hint="cs"/>
          <w:rtl/>
        </w:rPr>
        <w:t>רמב"ם הלכות שגגות פרק יב הלכה ב ופרק יג הלכה א</w:t>
      </w:r>
      <w:r w:rsidR="00EA476C">
        <w:rPr>
          <w:rFonts w:hint="cs"/>
          <w:rtl/>
        </w:rPr>
        <w:t xml:space="preserve"> המונה תנאים אלה</w:t>
      </w:r>
      <w:r>
        <w:rPr>
          <w:rFonts w:hint="cs"/>
          <w:rtl/>
        </w:rPr>
        <w:t xml:space="preserve">. בכל שאר המקרים </w:t>
      </w:r>
      <w:r>
        <w:rPr>
          <w:rtl/>
        </w:rPr>
        <w:t>–</w:t>
      </w:r>
      <w:r>
        <w:rPr>
          <w:rFonts w:hint="cs"/>
          <w:rtl/>
        </w:rPr>
        <w:t xml:space="preserve"> היחיד או הציבור חייבים. כבר לא משום "שתלה בעצמו" כמו שראינו בתחילת הפרק, אלא משום שאינו יכול לתלות בבית הדין. </w:t>
      </w:r>
      <w:r w:rsidR="00C60D3E">
        <w:rPr>
          <w:rFonts w:hint="cs"/>
          <w:rtl/>
        </w:rPr>
        <w:t xml:space="preserve">יש כאן העצמה גדולה מאד של אחריות היחיד. </w:t>
      </w:r>
      <w:r>
        <w:rPr>
          <w:rFonts w:hint="cs"/>
          <w:rtl/>
        </w:rPr>
        <w:t xml:space="preserve">ברירת המחדל היא שהיחיד אחראי למעשיו! </w:t>
      </w:r>
      <w:r w:rsidR="001B12C0">
        <w:rPr>
          <w:rFonts w:hint="cs"/>
          <w:rtl/>
        </w:rPr>
        <w:t>ומכל הסוגיה אגב עולה גם שיש כאן "משחק סכום אפס". תמיד מישהו חייב, או בית הדין</w:t>
      </w:r>
      <w:r>
        <w:rPr>
          <w:rFonts w:hint="cs"/>
          <w:rtl/>
        </w:rPr>
        <w:t xml:space="preserve"> </w:t>
      </w:r>
      <w:r w:rsidR="001B12C0">
        <w:rPr>
          <w:rFonts w:hint="cs"/>
          <w:rtl/>
        </w:rPr>
        <w:t>או מי שעשה על פיו. הפטור של האחד הוא החובה של השני וכן ההפך. תמיד מישהו אחראי.</w:t>
      </w:r>
    </w:p>
  </w:footnote>
  <w:footnote w:id="11">
    <w:p w14:paraId="43E9DC8C" w14:textId="77777777" w:rsidR="00A05DBC" w:rsidRDefault="00A05DBC" w:rsidP="00911E3E">
      <w:pPr>
        <w:pStyle w:val="a3"/>
        <w:rPr>
          <w:rFonts w:hint="cs"/>
        </w:rPr>
      </w:pPr>
      <w:r>
        <w:rPr>
          <w:rStyle w:val="a5"/>
        </w:rPr>
        <w:footnoteRef/>
      </w:r>
      <w:r>
        <w:rPr>
          <w:rtl/>
        </w:rPr>
        <w:t xml:space="preserve"> </w:t>
      </w:r>
      <w:r>
        <w:rPr>
          <w:rFonts w:hint="cs"/>
          <w:rtl/>
        </w:rPr>
        <w:t xml:space="preserve">ראה משנה ה הסמוכה המתחילה במילים: "הורו בית הדין ועשו כל הקהל או רובן על פיהם וכו' ". נראה שבסוף משנה ד ובמשנה ה עובר הנושא מיחיד מול בית דין שטעה, לציבור גדול, כל הקהל, כל שבטי ישראל, מול בית הדין. כאן יש שלושה מצבים. האחד, גם בית הדין וגם הקהל שעשה על פיו שגגו </w:t>
      </w:r>
      <w:r>
        <w:rPr>
          <w:rtl/>
        </w:rPr>
        <w:t>–</w:t>
      </w:r>
      <w:r>
        <w:rPr>
          <w:rFonts w:hint="cs"/>
          <w:rtl/>
        </w:rPr>
        <w:t xml:space="preserve"> יביאו גם אלה וגם אלה קרבן חטאת. הקהל לא נפטר בשל שגגת בית הדין כמו במקרה של היחיד שבו פותחת המסכת (משנה א לעיל). ראה שיטת ר' יהודה במשנה ה, שבמקרה כזה מביאים שנים עשר פרים, אחד לכל שבטי ישראל ושיטת ר' שמעון שמביאים שלושה עשר פרים, אחד גם בשביל בית הדין עצמו, שאינו נפטר בפרים של הקהל. מקרה שני, שבית הדין פסק מה שפסק בזדון, אבל הקהל עשה בשגגה (שלא ידע שבית הדין טעה </w:t>
      </w:r>
      <w:r w:rsidR="00911E3E">
        <w:rPr>
          <w:rFonts w:hint="cs"/>
          <w:rtl/>
        </w:rPr>
        <w:t xml:space="preserve">ושמא הטעה </w:t>
      </w:r>
      <w:r>
        <w:rPr>
          <w:rFonts w:hint="cs"/>
          <w:rtl/>
        </w:rPr>
        <w:t>במכוון). במקרה זה, כל אחד מהקהל שחטא מביא קרבן יחיד כבשה ושעירה (ובית הדין שעשה בזדון זה נידון במישור אחר). המקרה השלישי</w:t>
      </w:r>
      <w:r w:rsidR="00911E3E">
        <w:rPr>
          <w:rFonts w:hint="cs"/>
          <w:rtl/>
        </w:rPr>
        <w:t>,</w:t>
      </w:r>
      <w:r>
        <w:rPr>
          <w:rFonts w:hint="cs"/>
          <w:rtl/>
        </w:rPr>
        <w:t xml:space="preserve"> שבית הדין שגג ואילו הקהל עשה בזדון משום שידע שבית הדין טעה, נראה מוזר וסותר לכאורה את הדין שלמדנו במשנה הראשונה! מאיפה הגיע הזדון </w:t>
      </w:r>
      <w:r w:rsidR="00911E3E">
        <w:rPr>
          <w:rFonts w:hint="cs"/>
          <w:rtl/>
        </w:rPr>
        <w:t xml:space="preserve">של הקהל </w:t>
      </w:r>
      <w:r>
        <w:rPr>
          <w:rFonts w:hint="cs"/>
          <w:rtl/>
        </w:rPr>
        <w:t>אם בית הדין טעה? נראה לומר שזה שוב ההבדל בין יחיד לקהל. יחיד הוא תמיד שוגג. כל אחריות היחיד עליה הארכנו לעיל, היא לעניין חיוב קרבן חטאת על "שגגת המעשה". בקהל, לעומת זאת, יש מצב שכל הקהל שוגג, כמו המקרה הראשון, אבל יש גם מצב שהקהל מזיד. אנשים יודעים שבית הדין טעה, הדבר מתפרסם ועובר מפה לאוזן, מדברים על זה, ועדיין כל הציבור מסתתר מאחורי הוראתו השגויה של בית הדין. ושוב, הפטור כאן הוא מקרבן חטאת, אבל עבירה במזיד יש כאן. ועדיין משנה זו צריכה ביאור והמאיר עינינו יבורך בכל מילי דמיטב.</w:t>
      </w:r>
    </w:p>
  </w:footnote>
  <w:footnote w:id="12">
    <w:p w14:paraId="7DBED2E7" w14:textId="77777777" w:rsidR="00C017FB" w:rsidRDefault="00C017FB" w:rsidP="00CA65CC">
      <w:pPr>
        <w:pStyle w:val="a3"/>
        <w:rPr>
          <w:rFonts w:hint="cs"/>
          <w:rtl/>
        </w:rPr>
      </w:pPr>
      <w:r>
        <w:rPr>
          <w:rStyle w:val="a5"/>
        </w:rPr>
        <w:footnoteRef/>
      </w:r>
      <w:r>
        <w:rPr>
          <w:rtl/>
        </w:rPr>
        <w:t xml:space="preserve"> </w:t>
      </w:r>
      <w:r w:rsidRPr="00C4277D">
        <w:rPr>
          <w:rFonts w:hint="cs"/>
          <w:rtl/>
        </w:rPr>
        <w:t>נושא מעניין אחר הוא תהליך העמדת בית הדין על טעותו והודאתם שטעו. איך זה קורה?</w:t>
      </w:r>
      <w:r>
        <w:rPr>
          <w:rFonts w:hint="cs"/>
          <w:rtl/>
        </w:rPr>
        <w:t xml:space="preserve"> כיצד עומד בית הדין על טעותו וכיצד הוא חוזר בו</w:t>
      </w:r>
      <w:r w:rsidR="000B3B29">
        <w:rPr>
          <w:rFonts w:hint="cs"/>
          <w:rtl/>
        </w:rPr>
        <w:t xml:space="preserve"> מהוראתו</w:t>
      </w:r>
      <w:r>
        <w:rPr>
          <w:rFonts w:hint="cs"/>
          <w:rtl/>
        </w:rPr>
        <w:t>? בדיני התורה אין כידוע הליך של ערעור, דיון חוזר בהרכב רחב וכו'. מה גם שמדובר כאן בסנהדרין</w:t>
      </w:r>
      <w:r w:rsidR="000B3B29">
        <w:rPr>
          <w:rFonts w:hint="cs"/>
          <w:rtl/>
        </w:rPr>
        <w:t xml:space="preserve"> הגדולה</w:t>
      </w:r>
      <w:r>
        <w:rPr>
          <w:rFonts w:hint="cs"/>
          <w:rtl/>
        </w:rPr>
        <w:t xml:space="preserve"> ובהרכב מלא ובנוכחות ראש הסנהדרין ואין אינסטנציה גבוהה יותר! ראה הדרשה ב</w:t>
      </w:r>
      <w:r>
        <w:rPr>
          <w:rtl/>
        </w:rPr>
        <w:t>ספרא ויקרא - דבורא דחובה פרשה ד</w:t>
      </w:r>
      <w:r>
        <w:rPr>
          <w:rFonts w:hint="cs"/>
          <w:rtl/>
        </w:rPr>
        <w:t>: "</w:t>
      </w:r>
      <w:r>
        <w:rPr>
          <w:rtl/>
        </w:rPr>
        <w:t>ידעו שהורו וטעו ולא ידעו מה הורו</w:t>
      </w:r>
      <w:r w:rsidR="000B3B29">
        <w:rPr>
          <w:rFonts w:hint="cs"/>
          <w:rtl/>
        </w:rPr>
        <w:t>,</w:t>
      </w:r>
      <w:r>
        <w:rPr>
          <w:rtl/>
        </w:rPr>
        <w:t xml:space="preserve"> יכול יהו חייבים</w:t>
      </w:r>
      <w:r>
        <w:rPr>
          <w:rFonts w:hint="cs"/>
          <w:rtl/>
        </w:rPr>
        <w:t>?</w:t>
      </w:r>
      <w:r>
        <w:rPr>
          <w:rtl/>
        </w:rPr>
        <w:t xml:space="preserve"> ת"ל</w:t>
      </w:r>
      <w:r>
        <w:rPr>
          <w:rFonts w:hint="cs"/>
          <w:rtl/>
        </w:rPr>
        <w:t>:</w:t>
      </w:r>
      <w:r>
        <w:rPr>
          <w:rtl/>
        </w:rPr>
        <w:t xml:space="preserve"> ונודעה החטאת </w:t>
      </w:r>
      <w:r>
        <w:rPr>
          <w:rFonts w:hint="cs"/>
          <w:rtl/>
        </w:rPr>
        <w:t xml:space="preserve">- </w:t>
      </w:r>
      <w:r>
        <w:rPr>
          <w:rtl/>
        </w:rPr>
        <w:t>לא שיוודעו החוטאים</w:t>
      </w:r>
      <w:r>
        <w:rPr>
          <w:rFonts w:hint="cs"/>
          <w:rtl/>
        </w:rPr>
        <w:t>"</w:t>
      </w:r>
      <w:r>
        <w:rPr>
          <w:rtl/>
        </w:rPr>
        <w:t>.</w:t>
      </w:r>
      <w:r>
        <w:rPr>
          <w:rFonts w:hint="cs"/>
          <w:rtl/>
        </w:rPr>
        <w:t xml:space="preserve"> אבל זה פשיטא שהרי מדובר שהציבור ידע! גם דברי הרמב"ם שתהליך המודעות לא יכול לבוא מהציבור (החוטאים), לא נותן מענה ברור. מנין כן תבוא המודעות </w:t>
      </w:r>
      <w:r w:rsidR="000B3B29">
        <w:rPr>
          <w:rFonts w:hint="cs"/>
          <w:rtl/>
        </w:rPr>
        <w:t xml:space="preserve">של בית הדין </w:t>
      </w:r>
      <w:r>
        <w:rPr>
          <w:rFonts w:hint="cs"/>
          <w:rtl/>
        </w:rPr>
        <w:t>לטעות</w:t>
      </w:r>
      <w:r w:rsidR="000B3B29">
        <w:rPr>
          <w:rFonts w:hint="cs"/>
          <w:rtl/>
        </w:rPr>
        <w:t>ם</w:t>
      </w:r>
      <w:r>
        <w:rPr>
          <w:rFonts w:hint="cs"/>
          <w:rtl/>
        </w:rPr>
        <w:t xml:space="preserve">? </w:t>
      </w:r>
      <w:r w:rsidR="000B3B29">
        <w:rPr>
          <w:rtl/>
        </w:rPr>
        <w:t xml:space="preserve">אבן עזרא </w:t>
      </w:r>
      <w:r w:rsidR="000B3B29">
        <w:rPr>
          <w:rFonts w:hint="cs"/>
          <w:rtl/>
        </w:rPr>
        <w:t>מציע: "</w:t>
      </w:r>
      <w:r w:rsidR="000B3B29">
        <w:rPr>
          <w:rtl/>
        </w:rPr>
        <w:t>ונודעה החטאת</w:t>
      </w:r>
      <w:r w:rsidR="000B3B29">
        <w:rPr>
          <w:rFonts w:hint="cs"/>
          <w:rtl/>
        </w:rPr>
        <w:t xml:space="preserve"> - </w:t>
      </w:r>
      <w:r w:rsidR="000B3B29">
        <w:rPr>
          <w:rtl/>
        </w:rPr>
        <w:t>שהכהן יתכן שיודיעם, ואין מי שיודיע לכהן, רק מעצמו</w:t>
      </w:r>
      <w:r w:rsidR="000B3B29">
        <w:rPr>
          <w:rFonts w:hint="cs"/>
          <w:rtl/>
        </w:rPr>
        <w:t xml:space="preserve">". זאת, אולי בשל סמיכות פרשת כהן משיח ואולי שכל ספר ויקרא הוא תורת כהנים. שאר הפרשנים </w:t>
      </w:r>
      <w:r w:rsidR="00CD25D7">
        <w:rPr>
          <w:rFonts w:hint="cs"/>
          <w:rtl/>
        </w:rPr>
        <w:t xml:space="preserve">הקלאסיים </w:t>
      </w:r>
      <w:r w:rsidR="000B3B29">
        <w:rPr>
          <w:rFonts w:hint="cs"/>
          <w:rtl/>
        </w:rPr>
        <w:t>לא מתעכבים על נושא זה משום מה</w:t>
      </w:r>
      <w:r w:rsidR="00CD25D7">
        <w:rPr>
          <w:rFonts w:hint="cs"/>
          <w:rtl/>
        </w:rPr>
        <w:t xml:space="preserve">. ראה גם </w:t>
      </w:r>
      <w:r w:rsidR="000B3B29">
        <w:rPr>
          <w:rFonts w:hint="cs"/>
          <w:rtl/>
        </w:rPr>
        <w:t xml:space="preserve">פירוש </w:t>
      </w:r>
      <w:r w:rsidR="000B3B29">
        <w:rPr>
          <w:rtl/>
        </w:rPr>
        <w:t>רמב"ן</w:t>
      </w:r>
      <w:r w:rsidR="000B3B29">
        <w:rPr>
          <w:rFonts w:hint="cs"/>
          <w:rtl/>
        </w:rPr>
        <w:t>: "</w:t>
      </w:r>
      <w:r w:rsidR="000B3B29">
        <w:rPr>
          <w:rtl/>
        </w:rPr>
        <w:t>ונודעה החטאת אשר חטאו עליה - בידוע שלא יקריבו חטאת עד שידעו שחטאו</w:t>
      </w:r>
      <w:r w:rsidR="000B3B29">
        <w:rPr>
          <w:rFonts w:hint="cs"/>
          <w:rtl/>
        </w:rPr>
        <w:t xml:space="preserve">", </w:t>
      </w:r>
      <w:r w:rsidR="00CD25D7">
        <w:rPr>
          <w:rFonts w:hint="cs"/>
          <w:rtl/>
        </w:rPr>
        <w:t xml:space="preserve">אבל לא מסביר כיצד ידעו שטעו וחטאו. </w:t>
      </w:r>
      <w:r>
        <w:rPr>
          <w:rFonts w:hint="cs"/>
          <w:rtl/>
        </w:rPr>
        <w:t xml:space="preserve">נראה מכל זה שתהליך הודעת הטעות, או התוודעות בית הדין לכך שטעו והודאתם בטעות זו, הוא תהליך בלתי פורמלי ותלוי בבית הדין עצמו, אם מי מתוכם יקום ויאמר: טעינו, שכולם ישתכנעו, ושיהיה להם האומץ והכח לצאת בגלוי לציבור ולומר: טעינו. ראה המדרש על משה שטעה בקרבן שעיר החטאת של אהרון אחרי האסון של מות נדב ואביהו, </w:t>
      </w:r>
      <w:r>
        <w:rPr>
          <w:rtl/>
        </w:rPr>
        <w:t>ויקרא רבה יג</w:t>
      </w:r>
      <w:r>
        <w:rPr>
          <w:rFonts w:hint="cs"/>
          <w:rtl/>
        </w:rPr>
        <w:t xml:space="preserve"> א: "</w:t>
      </w:r>
      <w:r>
        <w:rPr>
          <w:rtl/>
        </w:rPr>
        <w:t>מיד</w:t>
      </w:r>
      <w:r>
        <w:rPr>
          <w:rFonts w:hint="cs"/>
          <w:rtl/>
        </w:rPr>
        <w:t>:</w:t>
      </w:r>
      <w:r>
        <w:rPr>
          <w:rtl/>
        </w:rPr>
        <w:t xml:space="preserve"> וישמע משה </w:t>
      </w:r>
      <w:r>
        <w:rPr>
          <w:rFonts w:hint="cs"/>
          <w:rtl/>
        </w:rPr>
        <w:t xml:space="preserve">וייטב בעיניו </w:t>
      </w:r>
      <w:r>
        <w:rPr>
          <w:rtl/>
        </w:rPr>
        <w:t>(ויקרא י כ), הוציא כרוז בכל המחנה ואמ</w:t>
      </w:r>
      <w:r>
        <w:rPr>
          <w:rFonts w:hint="cs"/>
          <w:rtl/>
        </w:rPr>
        <w:t>ר:</w:t>
      </w:r>
      <w:r>
        <w:rPr>
          <w:rtl/>
        </w:rPr>
        <w:t xml:space="preserve"> אני טעיתי את ההלכה ואהרן אחי למדני</w:t>
      </w:r>
      <w:r>
        <w:rPr>
          <w:rFonts w:hint="cs"/>
          <w:rtl/>
        </w:rPr>
        <w:t xml:space="preserve">". ושם גם שבחם של </w:t>
      </w:r>
      <w:r>
        <w:rPr>
          <w:rtl/>
        </w:rPr>
        <w:t xml:space="preserve">אלעזר </w:t>
      </w:r>
      <w:r>
        <w:rPr>
          <w:rFonts w:hint="cs"/>
          <w:rtl/>
        </w:rPr>
        <w:t>ו</w:t>
      </w:r>
      <w:r>
        <w:rPr>
          <w:rtl/>
        </w:rPr>
        <w:t xml:space="preserve">איתמר </w:t>
      </w:r>
      <w:r>
        <w:rPr>
          <w:rFonts w:hint="cs"/>
          <w:rtl/>
        </w:rPr>
        <w:t>ש</w:t>
      </w:r>
      <w:r>
        <w:rPr>
          <w:rtl/>
        </w:rPr>
        <w:t>ידע</w:t>
      </w:r>
      <w:r>
        <w:rPr>
          <w:rFonts w:hint="cs"/>
          <w:rtl/>
        </w:rPr>
        <w:t>ו</w:t>
      </w:r>
      <w:r>
        <w:rPr>
          <w:rtl/>
        </w:rPr>
        <w:t xml:space="preserve"> את ההלכה ושתק</w:t>
      </w:r>
      <w:r>
        <w:rPr>
          <w:rFonts w:hint="cs"/>
          <w:rtl/>
        </w:rPr>
        <w:t>ו. ראה גם הודאתו של רבי שציטט לא נכון את נתן הבבלי בדיני ירושה:</w:t>
      </w:r>
      <w:r w:rsidRPr="00C017FB">
        <w:rPr>
          <w:rtl/>
        </w:rPr>
        <w:t xml:space="preserve"> </w:t>
      </w:r>
      <w:r>
        <w:rPr>
          <w:rFonts w:hint="cs"/>
          <w:rtl/>
        </w:rPr>
        <w:t>"</w:t>
      </w:r>
      <w:r>
        <w:rPr>
          <w:rtl/>
        </w:rPr>
        <w:t>טעיתי טעות שש</w:t>
      </w:r>
      <w:r w:rsidR="0085618A">
        <w:rPr>
          <w:rtl/>
        </w:rPr>
        <w:t>ָׁ</w:t>
      </w:r>
      <w:r>
        <w:rPr>
          <w:rtl/>
        </w:rPr>
        <w:t>נ</w:t>
      </w:r>
      <w:r w:rsidR="0085618A">
        <w:rPr>
          <w:rtl/>
        </w:rPr>
        <w:t>ִ</w:t>
      </w:r>
      <w:r>
        <w:rPr>
          <w:rtl/>
        </w:rPr>
        <w:t>יתי לכם</w:t>
      </w:r>
      <w:r w:rsidR="0085618A">
        <w:rPr>
          <w:rFonts w:hint="cs"/>
          <w:rtl/>
        </w:rPr>
        <w:t>:</w:t>
      </w:r>
      <w:r>
        <w:rPr>
          <w:rtl/>
        </w:rPr>
        <w:t xml:space="preserve"> לית כאן יטלון אלא ירתון</w:t>
      </w:r>
      <w:r>
        <w:rPr>
          <w:rFonts w:hint="cs"/>
          <w:rtl/>
        </w:rPr>
        <w:t>" (</w:t>
      </w:r>
      <w:r>
        <w:rPr>
          <w:rtl/>
        </w:rPr>
        <w:t xml:space="preserve">ירושלמי כתובות פרק ד </w:t>
      </w:r>
      <w:r>
        <w:rPr>
          <w:rFonts w:hint="cs"/>
          <w:rtl/>
        </w:rPr>
        <w:t>הלכה יא). ו</w:t>
      </w:r>
      <w:r w:rsidR="0085618A">
        <w:rPr>
          <w:rFonts w:hint="cs"/>
          <w:rtl/>
        </w:rPr>
        <w:t>כן הודאה של אמוראים (רב דימי, רבא) בטעותם בנוסח: "</w:t>
      </w:r>
      <w:r w:rsidR="0085618A">
        <w:rPr>
          <w:rtl/>
        </w:rPr>
        <w:t>דברים שאמרתי לכם טעות הם בידי</w:t>
      </w:r>
      <w:r w:rsidR="0085618A">
        <w:rPr>
          <w:rFonts w:hint="cs"/>
          <w:rtl/>
        </w:rPr>
        <w:t xml:space="preserve">", </w:t>
      </w:r>
      <w:r w:rsidR="0085618A">
        <w:rPr>
          <w:rtl/>
        </w:rPr>
        <w:t>שבת סג ע</w:t>
      </w:r>
      <w:r w:rsidR="0085618A">
        <w:rPr>
          <w:rFonts w:hint="cs"/>
          <w:rtl/>
        </w:rPr>
        <w:t>"</w:t>
      </w:r>
      <w:r w:rsidR="0085618A">
        <w:rPr>
          <w:rtl/>
        </w:rPr>
        <w:t>ב</w:t>
      </w:r>
      <w:r w:rsidR="0085618A">
        <w:rPr>
          <w:rFonts w:hint="cs"/>
          <w:rtl/>
        </w:rPr>
        <w:t>, עירובין טז ע"ב, שם קד ע"א, בבא בתרא ע"א ועוד.</w:t>
      </w:r>
      <w:r w:rsidR="00CD25D7">
        <w:rPr>
          <w:rFonts w:hint="cs"/>
          <w:rtl/>
        </w:rPr>
        <w:t xml:space="preserve"> ראה דברינו </w:t>
      </w:r>
      <w:hyperlink r:id="rId3" w:history="1">
        <w:r w:rsidR="00CD25D7" w:rsidRPr="00CD25D7">
          <w:rPr>
            <w:rStyle w:val="Hyperlink"/>
            <w:rFonts w:hint="cs"/>
            <w:rtl/>
          </w:rPr>
          <w:t>לא שמעתי, שכחתי טעיתי</w:t>
        </w:r>
      </w:hyperlink>
      <w:r w:rsidR="00CD25D7">
        <w:rPr>
          <w:rFonts w:hint="cs"/>
          <w:rtl/>
        </w:rPr>
        <w:t xml:space="preserve"> בפרשת שמיני.</w:t>
      </w:r>
    </w:p>
  </w:footnote>
  <w:footnote w:id="13">
    <w:p w14:paraId="1CADE547" w14:textId="77777777" w:rsidR="009B0428" w:rsidRDefault="009B0428" w:rsidP="00F57C35">
      <w:pPr>
        <w:pStyle w:val="a3"/>
        <w:rPr>
          <w:rFonts w:hint="cs"/>
          <w:rtl/>
        </w:rPr>
      </w:pPr>
      <w:r>
        <w:rPr>
          <w:rStyle w:val="a5"/>
        </w:rPr>
        <w:footnoteRef/>
      </w:r>
      <w:r>
        <w:rPr>
          <w:rtl/>
        </w:rPr>
        <w:t xml:space="preserve"> </w:t>
      </w:r>
      <w:r>
        <w:rPr>
          <w:rFonts w:hint="cs"/>
          <w:rtl/>
        </w:rPr>
        <w:t xml:space="preserve">מסכת הוריות המעמידה את אחריות היחיד לבחון את פסיקות בית הדין ולהעריך מתי טעו, מציגה, לכאורה, עמדה שונה מזו של החובה לשמוע בדברי חכמים בכל מצב: "לא תסור" ו"ככל אשר יורוך". וכדברי </w:t>
      </w:r>
      <w:r w:rsidR="00693FC3">
        <w:rPr>
          <w:rFonts w:hint="cs"/>
          <w:rtl/>
        </w:rPr>
        <w:t xml:space="preserve">מדרש </w:t>
      </w:r>
      <w:r>
        <w:rPr>
          <w:rFonts w:hint="cs"/>
          <w:rtl/>
        </w:rPr>
        <w:t>ספרי</w:t>
      </w:r>
      <w:r w:rsidR="00693FC3">
        <w:rPr>
          <w:rFonts w:hint="cs"/>
          <w:rtl/>
        </w:rPr>
        <w:t xml:space="preserve"> דברים</w:t>
      </w:r>
      <w:r>
        <w:rPr>
          <w:rFonts w:hint="cs"/>
          <w:rtl/>
        </w:rPr>
        <w:t xml:space="preserve">: "אפילו יאמרו לך על ימין שהוא שמאל ועל שמאל שהוא ימין". (ניתן אגב גם להעמיד את מסכת הוריות לעומת דין זקן ממרא, ראה דברינו </w:t>
      </w:r>
      <w:hyperlink r:id="rId4" w:history="1">
        <w:r w:rsidRPr="00537E2D">
          <w:rPr>
            <w:rStyle w:val="Hyperlink"/>
            <w:rFonts w:hint="cs"/>
            <w:rtl/>
          </w:rPr>
          <w:t>זקן ממרא</w:t>
        </w:r>
      </w:hyperlink>
      <w:r>
        <w:rPr>
          <w:rFonts w:hint="cs"/>
          <w:rtl/>
        </w:rPr>
        <w:t xml:space="preserve"> בפרשת שופטים). </w:t>
      </w:r>
      <w:r w:rsidR="00F57C35">
        <w:rPr>
          <w:rFonts w:hint="cs"/>
          <w:rtl/>
        </w:rPr>
        <w:t xml:space="preserve">אם העם יודע שבית הדין טעה, מה יעשה? יעשה על פיו ויתחייב או לא יעשה ויעבור על המצווה לשמוע לקול בית הדין? </w:t>
      </w:r>
      <w:r>
        <w:rPr>
          <w:rFonts w:hint="cs"/>
          <w:rtl/>
        </w:rPr>
        <w:t xml:space="preserve">וכבר עמדו רבים וטובים על גישות מנוגדות לכאורה אלה, ואף אנו שלחנו בו יד מעט בדברינו </w:t>
      </w:r>
      <w:hyperlink r:id="rId5" w:history="1">
        <w:r w:rsidRPr="00537E2D">
          <w:rPr>
            <w:rStyle w:val="Hyperlink"/>
            <w:rFonts w:hint="cs"/>
            <w:rtl/>
          </w:rPr>
          <w:t>על שמאל שהוא ימין ועל ימין שהוא שמאל</w:t>
        </w:r>
      </w:hyperlink>
      <w:r>
        <w:rPr>
          <w:rFonts w:hint="cs"/>
          <w:rtl/>
        </w:rPr>
        <w:t xml:space="preserve"> בפרשת שופטים, שם הזכרנו את מאמרו </w:t>
      </w:r>
      <w:r w:rsidR="00154115">
        <w:rPr>
          <w:rFonts w:hint="cs"/>
          <w:rtl/>
        </w:rPr>
        <w:t xml:space="preserve">המקיף </w:t>
      </w:r>
      <w:r>
        <w:rPr>
          <w:rFonts w:hint="cs"/>
          <w:rtl/>
        </w:rPr>
        <w:t xml:space="preserve">של יעקב בלידשטיין בנושא. כאן רק נציין שבמסכת הוריות מדובר באיסורים ובהימנעות מעשיית דבר שבית הדין התירו. בשב ואל תעשה ובצנעא אין משום התרסה כמו בעשייה ובפומבי ובהוראה לאחרים לעשות. השערה שנייה היא שמסכת הוריות היא עתיקה יותר ויסודותיה בתקופה בה המאבק עם הצדוקים היה בשיאו </w:t>
      </w:r>
      <w:r w:rsidR="005F33FD">
        <w:rPr>
          <w:rFonts w:hint="cs"/>
          <w:rtl/>
        </w:rPr>
        <w:t xml:space="preserve">(ראה הטיעונים לעיל על טעויות ה"דבר שהצדוקים מודים בו") </w:t>
      </w:r>
      <w:r>
        <w:rPr>
          <w:rFonts w:hint="cs"/>
          <w:rtl/>
        </w:rPr>
        <w:t xml:space="preserve">והרכב הסנהדרין לא תמיד שיקף את דעות חז"ל (הפרושים). </w:t>
      </w:r>
      <w:r w:rsidR="00693FC3">
        <w:rPr>
          <w:rFonts w:hint="cs"/>
          <w:rtl/>
        </w:rPr>
        <w:t xml:space="preserve">ראה משנה ד לעיל והערה 10. </w:t>
      </w:r>
      <w:r>
        <w:rPr>
          <w:rFonts w:hint="cs"/>
          <w:rtl/>
        </w:rPr>
        <w:t>"ככל אשר יורוך" בא מאוחר יותר, בעת שהפרושים שלטו בסנהדרין והבעיה הייתה עם כיתות סוררות. וכל המחכימנו בנושא זה יבורך בכל מילי דמיטב.</w:t>
      </w:r>
    </w:p>
  </w:footnote>
  <w:footnote w:id="14">
    <w:p w14:paraId="564183EC" w14:textId="77777777" w:rsidR="00994B14" w:rsidRDefault="00994B14" w:rsidP="00A42434">
      <w:pPr>
        <w:pStyle w:val="a3"/>
        <w:rPr>
          <w:rFonts w:hint="cs"/>
          <w:rtl/>
        </w:rPr>
      </w:pPr>
      <w:r>
        <w:rPr>
          <w:rStyle w:val="a5"/>
        </w:rPr>
        <w:footnoteRef/>
      </w:r>
      <w:r>
        <w:t xml:space="preserve"> </w:t>
      </w:r>
      <w:r>
        <w:rPr>
          <w:rFonts w:hint="cs"/>
          <w:rtl/>
        </w:rPr>
        <w:t xml:space="preserve"> </w:t>
      </w:r>
      <w:r w:rsidR="006A2F29">
        <w:rPr>
          <w:rFonts w:hint="cs"/>
          <w:rtl/>
        </w:rPr>
        <w:t xml:space="preserve">ראה </w:t>
      </w:r>
      <w:r>
        <w:rPr>
          <w:rFonts w:hint="cs"/>
          <w:rtl/>
        </w:rPr>
        <w:t>רש"י שם: "עשה אזניך כאפרכסת - מאחר שכולן ל</w:t>
      </w:r>
      <w:r w:rsidR="00E53AEA">
        <w:rPr>
          <w:rFonts w:hint="eastAsia"/>
          <w:rtl/>
        </w:rPr>
        <w:t>ִ</w:t>
      </w:r>
      <w:r>
        <w:rPr>
          <w:rFonts w:hint="cs"/>
          <w:rtl/>
        </w:rPr>
        <w:t>ב</w:t>
      </w:r>
      <w:r w:rsidR="00E53AEA">
        <w:rPr>
          <w:rFonts w:hint="eastAsia"/>
          <w:rtl/>
        </w:rPr>
        <w:t>ָּ</w:t>
      </w:r>
      <w:r>
        <w:rPr>
          <w:rFonts w:hint="cs"/>
          <w:rtl/>
        </w:rPr>
        <w:t>ן לשמים - עשה א</w:t>
      </w:r>
      <w:r w:rsidR="00E53AEA">
        <w:rPr>
          <w:rFonts w:hint="cs"/>
          <w:rtl/>
        </w:rPr>
        <w:t>ו</w:t>
      </w:r>
      <w:r>
        <w:rPr>
          <w:rFonts w:hint="cs"/>
          <w:rtl/>
        </w:rPr>
        <w:t>זנך שומעת ו</w:t>
      </w:r>
      <w:r w:rsidR="00E53AEA">
        <w:rPr>
          <w:rFonts w:hint="eastAsia"/>
          <w:rtl/>
        </w:rPr>
        <w:t>ּ</w:t>
      </w:r>
      <w:r>
        <w:rPr>
          <w:rFonts w:hint="cs"/>
          <w:rtl/>
        </w:rPr>
        <w:t>ל</w:t>
      </w:r>
      <w:r w:rsidR="00E53AEA">
        <w:rPr>
          <w:rFonts w:hint="eastAsia"/>
          <w:rtl/>
        </w:rPr>
        <w:t>ְ</w:t>
      </w:r>
      <w:r>
        <w:rPr>
          <w:rFonts w:hint="cs"/>
          <w:rtl/>
        </w:rPr>
        <w:t>מו</w:t>
      </w:r>
      <w:r w:rsidR="00E53AEA">
        <w:rPr>
          <w:rFonts w:hint="eastAsia"/>
          <w:rtl/>
        </w:rPr>
        <w:t>ֹ</w:t>
      </w:r>
      <w:r>
        <w:rPr>
          <w:rFonts w:hint="cs"/>
          <w:rtl/>
        </w:rPr>
        <w:t>ד, ודע דברי כולן</w:t>
      </w:r>
      <w:r w:rsidR="00E53AEA">
        <w:rPr>
          <w:rFonts w:hint="cs"/>
          <w:rtl/>
        </w:rPr>
        <w:t>.</w:t>
      </w:r>
      <w:r>
        <w:rPr>
          <w:rFonts w:hint="cs"/>
          <w:rtl/>
        </w:rPr>
        <w:t xml:space="preserve"> וכשתדע להבחין אי זה יכשר - קבע הלכה כמותו". </w:t>
      </w:r>
      <w:r w:rsidR="00E53AEA">
        <w:rPr>
          <w:rFonts w:hint="cs"/>
          <w:rtl/>
        </w:rPr>
        <w:t>מקור זה, בניגוד לקודם, נראה כמשלים את מושג אחריות היחיד ש</w:t>
      </w:r>
      <w:r w:rsidR="00A42434">
        <w:rPr>
          <w:rFonts w:hint="cs"/>
          <w:rtl/>
        </w:rPr>
        <w:t>ל מסכת הוריות</w:t>
      </w:r>
      <w:r w:rsidR="00E53AEA">
        <w:rPr>
          <w:rFonts w:hint="cs"/>
          <w:rtl/>
        </w:rPr>
        <w:t xml:space="preserve">. </w:t>
      </w:r>
      <w:r w:rsidR="00A42434">
        <w:rPr>
          <w:rFonts w:hint="cs"/>
          <w:rtl/>
        </w:rPr>
        <w:t xml:space="preserve">במסכת הוריות כלפי בית הדין, ואילו כאן </w:t>
      </w:r>
      <w:r w:rsidR="00A57A28">
        <w:rPr>
          <w:rFonts w:hint="cs"/>
          <w:rtl/>
        </w:rPr>
        <w:t xml:space="preserve">בבית המדרש. </w:t>
      </w:r>
      <w:r w:rsidR="00A42434">
        <w:rPr>
          <w:rFonts w:hint="cs"/>
          <w:rtl/>
        </w:rPr>
        <w:t>במסכת הוריות,</w:t>
      </w:r>
      <w:r w:rsidR="00A57A28">
        <w:rPr>
          <w:rFonts w:hint="cs"/>
          <w:rtl/>
        </w:rPr>
        <w:t xml:space="preserve"> לאחר קביעת ההוראה ו</w:t>
      </w:r>
      <w:r w:rsidR="00A42434">
        <w:rPr>
          <w:rFonts w:hint="cs"/>
          <w:rtl/>
        </w:rPr>
        <w:t xml:space="preserve">אילו כאן </w:t>
      </w:r>
      <w:r w:rsidR="00A57A28">
        <w:rPr>
          <w:rFonts w:hint="cs"/>
          <w:rtl/>
        </w:rPr>
        <w:t xml:space="preserve">לפניה, כאשר </w:t>
      </w:r>
      <w:r w:rsidR="00E53AEA">
        <w:rPr>
          <w:rFonts w:hint="cs"/>
          <w:rtl/>
        </w:rPr>
        <w:t xml:space="preserve">חכמי התורה </w:t>
      </w:r>
      <w:r>
        <w:rPr>
          <w:rFonts w:hint="cs"/>
          <w:rtl/>
        </w:rPr>
        <w:t xml:space="preserve">מתווכחים </w:t>
      </w:r>
      <w:r w:rsidR="00E53AEA">
        <w:rPr>
          <w:rFonts w:hint="cs"/>
          <w:rtl/>
        </w:rPr>
        <w:t xml:space="preserve">ביניהם </w:t>
      </w:r>
      <w:r>
        <w:rPr>
          <w:rFonts w:hint="cs"/>
          <w:rtl/>
        </w:rPr>
        <w:t>וטרם הוכרעה ההלכה.</w:t>
      </w:r>
      <w:r w:rsidR="00E53AEA">
        <w:rPr>
          <w:rFonts w:hint="cs"/>
          <w:rtl/>
        </w:rPr>
        <w:t xml:space="preserve"> </w:t>
      </w:r>
      <w:r w:rsidR="00A42434">
        <w:rPr>
          <w:rFonts w:hint="cs"/>
          <w:rtl/>
        </w:rPr>
        <w:t xml:space="preserve">כאן </w:t>
      </w:r>
      <w:r w:rsidR="00E53AEA">
        <w:rPr>
          <w:rFonts w:hint="cs"/>
          <w:rtl/>
        </w:rPr>
        <w:t xml:space="preserve">לא </w:t>
      </w:r>
      <w:r w:rsidR="00A42434">
        <w:rPr>
          <w:rFonts w:hint="cs"/>
          <w:rtl/>
        </w:rPr>
        <w:t>מדובר בטעות</w:t>
      </w:r>
      <w:r w:rsidR="00E53AEA">
        <w:rPr>
          <w:rFonts w:hint="cs"/>
          <w:rtl/>
        </w:rPr>
        <w:t xml:space="preserve">, אלא שיש דעות מגוונות ושונות בהלכה </w:t>
      </w:r>
      <w:r w:rsidR="00154115">
        <w:rPr>
          <w:rFonts w:hint="cs"/>
          <w:rtl/>
        </w:rPr>
        <w:t xml:space="preserve">וחוסר הכרעה (או הלכה פתוחה) </w:t>
      </w:r>
      <w:r w:rsidR="00E53AEA">
        <w:rPr>
          <w:rFonts w:hint="cs"/>
          <w:rtl/>
        </w:rPr>
        <w:t xml:space="preserve">ואחריות האדם היא "עשה לך רב" </w:t>
      </w:r>
      <w:r w:rsidR="00E53AEA">
        <w:rPr>
          <w:rtl/>
        </w:rPr>
        <w:t>–</w:t>
      </w:r>
      <w:r w:rsidR="00E53AEA">
        <w:rPr>
          <w:rFonts w:hint="cs"/>
          <w:rtl/>
        </w:rPr>
        <w:t xml:space="preserve"> תחליט למי אתה נשמע, דעת מי נראית לך יותר.</w:t>
      </w:r>
      <w:r w:rsidR="00A57A28">
        <w:rPr>
          <w:rFonts w:hint="cs"/>
          <w:rtl/>
        </w:rPr>
        <w:t xml:space="preserve"> הצד השווה ביניהם הוא אחריות היחיד (והקהל כולו) ללמוד ולהכיר את עולם התורה ולא להתחמק מאחריות</w:t>
      </w:r>
      <w:r w:rsidR="00A42434">
        <w:rPr>
          <w:rFonts w:hint="cs"/>
          <w:rtl/>
        </w:rPr>
        <w:t>, לא</w:t>
      </w:r>
      <w:r w:rsidR="00A57A28">
        <w:rPr>
          <w:rFonts w:hint="cs"/>
          <w:rtl/>
        </w:rPr>
        <w:t xml:space="preserve"> בטענה ש</w:t>
      </w:r>
      <w:r w:rsidR="00A42434">
        <w:rPr>
          <w:rFonts w:hint="cs"/>
          <w:rtl/>
        </w:rPr>
        <w:t>"</w:t>
      </w:r>
      <w:r w:rsidR="00A57A28">
        <w:rPr>
          <w:rFonts w:hint="cs"/>
          <w:rtl/>
        </w:rPr>
        <w:t>ככה הורו גדולי הדור</w:t>
      </w:r>
      <w:r w:rsidR="00A42434">
        <w:rPr>
          <w:rFonts w:hint="cs"/>
          <w:rtl/>
        </w:rPr>
        <w:t xml:space="preserve">" ולא בטענה </w:t>
      </w:r>
      <w:r w:rsidR="005C7999">
        <w:rPr>
          <w:rFonts w:hint="cs"/>
          <w:rtl/>
        </w:rPr>
        <w:t>ש"הרבנים עוד לא החליטו".</w:t>
      </w:r>
      <w:r w:rsidR="00A42434">
        <w:rPr>
          <w:rFonts w:hint="cs"/>
          <w:rtl/>
        </w:rPr>
        <w:t xml:space="preserve"> ונראה שבמרוצת השנים שוב התהפך הגלגל ויחידים רבים נתלים באחריות הרב.</w:t>
      </w:r>
      <w:r w:rsidR="00A57A28">
        <w:rPr>
          <w:rFonts w:hint="cs"/>
          <w:rtl/>
        </w:rPr>
        <w:t xml:space="preserve"> </w:t>
      </w:r>
      <w:r>
        <w:rPr>
          <w:rFonts w:hint="cs"/>
          <w:rtl/>
        </w:rPr>
        <w:t xml:space="preserve"> </w:t>
      </w:r>
    </w:p>
  </w:footnote>
  <w:footnote w:id="15">
    <w:p w14:paraId="2A6ED83E" w14:textId="77777777" w:rsidR="001B4D97" w:rsidRDefault="001B4D97" w:rsidP="00A42434">
      <w:pPr>
        <w:pStyle w:val="a3"/>
        <w:rPr>
          <w:rFonts w:hint="cs"/>
          <w:rtl/>
        </w:rPr>
      </w:pPr>
      <w:r>
        <w:rPr>
          <w:rStyle w:val="a5"/>
        </w:rPr>
        <w:footnoteRef/>
      </w:r>
      <w:r>
        <w:rPr>
          <w:rtl/>
        </w:rPr>
        <w:t xml:space="preserve"> </w:t>
      </w:r>
      <w:r w:rsidR="005C7999">
        <w:rPr>
          <w:rFonts w:hint="cs"/>
          <w:rtl/>
        </w:rPr>
        <w:t xml:space="preserve">עד כאן בהלכה. </w:t>
      </w:r>
      <w:r w:rsidR="00A42434">
        <w:rPr>
          <w:rFonts w:hint="cs"/>
          <w:rtl/>
        </w:rPr>
        <w:t xml:space="preserve">אך </w:t>
      </w:r>
      <w:r>
        <w:rPr>
          <w:rFonts w:hint="cs"/>
          <w:rtl/>
        </w:rPr>
        <w:t>לא נפטור עצמנו גם ממדרשים ודרשות באגדה</w:t>
      </w:r>
      <w:r w:rsidR="005C7999">
        <w:rPr>
          <w:rFonts w:hint="cs"/>
          <w:rtl/>
        </w:rPr>
        <w:t xml:space="preserve">, גם </w:t>
      </w:r>
      <w:r>
        <w:rPr>
          <w:rFonts w:hint="cs"/>
          <w:rtl/>
        </w:rPr>
        <w:t>הם ממסכת הוריות</w:t>
      </w:r>
      <w:r w:rsidR="005C7999">
        <w:rPr>
          <w:rFonts w:hint="cs"/>
          <w:rtl/>
        </w:rPr>
        <w:t>, תלמוד ירושלמי ובבלי</w:t>
      </w:r>
      <w:r>
        <w:rPr>
          <w:rFonts w:hint="cs"/>
          <w:rtl/>
        </w:rPr>
        <w:t xml:space="preserve">. </w:t>
      </w:r>
    </w:p>
  </w:footnote>
  <w:footnote w:id="16">
    <w:p w14:paraId="796A7E63" w14:textId="77777777" w:rsidR="00FC3F40" w:rsidRDefault="00FC3F40" w:rsidP="001B0A88">
      <w:pPr>
        <w:pStyle w:val="a3"/>
        <w:rPr>
          <w:rFonts w:hint="cs"/>
          <w:rtl/>
        </w:rPr>
      </w:pPr>
      <w:r>
        <w:rPr>
          <w:rStyle w:val="a5"/>
        </w:rPr>
        <w:footnoteRef/>
      </w:r>
      <w:r>
        <w:rPr>
          <w:rtl/>
        </w:rPr>
        <w:t xml:space="preserve"> </w:t>
      </w:r>
      <w:r w:rsidR="001B0A88">
        <w:rPr>
          <w:rFonts w:hint="cs"/>
          <w:rtl/>
        </w:rPr>
        <w:t>ה</w:t>
      </w:r>
      <w:r>
        <w:rPr>
          <w:rFonts w:hint="cs"/>
          <w:rtl/>
        </w:rPr>
        <w:t xml:space="preserve">רמב"ם מסביר מדוע בחר מסדר המשנה, רבי יהודה הנשיא, לחתום את סדר נזיקין במסכת אבות והוריות ובזה הסדר. ראה גם </w:t>
      </w:r>
      <w:r>
        <w:rPr>
          <w:rtl/>
        </w:rPr>
        <w:t>הקדמה לבית הבחירה למאירי</w:t>
      </w:r>
      <w:r>
        <w:rPr>
          <w:rFonts w:hint="cs"/>
          <w:rtl/>
        </w:rPr>
        <w:t xml:space="preserve"> ממנה עולה שהסדר של סוף נזיקין שהיה לפניו היה </w:t>
      </w:r>
      <w:r w:rsidR="001B0A88">
        <w:rPr>
          <w:rFonts w:hint="cs"/>
          <w:rtl/>
        </w:rPr>
        <w:t xml:space="preserve">קודם </w:t>
      </w:r>
      <w:r>
        <w:rPr>
          <w:rFonts w:hint="cs"/>
          <w:rtl/>
        </w:rPr>
        <w:t>הוריות ובסוף אבות</w:t>
      </w:r>
      <w:r w:rsidR="00154115">
        <w:rPr>
          <w:rFonts w:hint="cs"/>
          <w:rtl/>
        </w:rPr>
        <w:t xml:space="preserve"> (כמו בגמרות הנדפסות ובכתבי יד של התלמוד)</w:t>
      </w:r>
      <w:r>
        <w:rPr>
          <w:rFonts w:hint="cs"/>
          <w:rtl/>
        </w:rPr>
        <w:t>: "</w:t>
      </w:r>
      <w:r>
        <w:rPr>
          <w:rtl/>
        </w:rPr>
        <w:t>ואחר שהשלים הענין בדיינים ובנדונין</w:t>
      </w:r>
      <w:r>
        <w:rPr>
          <w:rFonts w:hint="cs"/>
          <w:rtl/>
        </w:rPr>
        <w:t>,</w:t>
      </w:r>
      <w:r>
        <w:rPr>
          <w:rtl/>
        </w:rPr>
        <w:t xml:space="preserve"> הוצרך לבאר כשארעה שגגה לדיינים בעצמם איך הם צריכים להתנהג</w:t>
      </w:r>
      <w:r>
        <w:rPr>
          <w:rFonts w:hint="cs"/>
          <w:rtl/>
        </w:rPr>
        <w:t>.</w:t>
      </w:r>
      <w:r>
        <w:rPr>
          <w:rtl/>
        </w:rPr>
        <w:t xml:space="preserve"> ובאה על זה מסכת הוריות</w:t>
      </w:r>
      <w:r>
        <w:rPr>
          <w:rFonts w:hint="cs"/>
          <w:rtl/>
        </w:rPr>
        <w:t>.</w:t>
      </w:r>
      <w:r>
        <w:rPr>
          <w:rtl/>
        </w:rPr>
        <w:t xml:space="preserve"> ואחר שהשלים כל זה</w:t>
      </w:r>
      <w:r>
        <w:rPr>
          <w:rFonts w:hint="cs"/>
          <w:rtl/>
        </w:rPr>
        <w:t>,</w:t>
      </w:r>
      <w:r>
        <w:rPr>
          <w:rtl/>
        </w:rPr>
        <w:t xml:space="preserve"> התחיל במסכת אבות מפני שתח</w:t>
      </w:r>
      <w:r>
        <w:rPr>
          <w:rFonts w:hint="cs"/>
          <w:rtl/>
        </w:rPr>
        <w:t>י</w:t>
      </w:r>
      <w:r>
        <w:rPr>
          <w:rtl/>
        </w:rPr>
        <w:t>לת דבריה באזהרת הדיינים וצורך ה</w:t>
      </w:r>
      <w:r>
        <w:rPr>
          <w:rFonts w:hint="cs"/>
          <w:rtl/>
        </w:rPr>
        <w:t>י</w:t>
      </w:r>
      <w:r>
        <w:rPr>
          <w:rtl/>
        </w:rPr>
        <w:t>שמרם משגיאה</w:t>
      </w:r>
      <w:r>
        <w:rPr>
          <w:rFonts w:hint="cs"/>
          <w:rtl/>
        </w:rPr>
        <w:t>,</w:t>
      </w:r>
      <w:r>
        <w:rPr>
          <w:rtl/>
        </w:rPr>
        <w:t xml:space="preserve"> כענין</w:t>
      </w:r>
      <w:r>
        <w:rPr>
          <w:rFonts w:hint="cs"/>
          <w:rtl/>
        </w:rPr>
        <w:t>:</w:t>
      </w:r>
      <w:r>
        <w:rPr>
          <w:rtl/>
        </w:rPr>
        <w:t xml:space="preserve"> הוו מתונים בדין וכו'</w:t>
      </w:r>
      <w:r>
        <w:rPr>
          <w:rFonts w:hint="cs"/>
          <w:rtl/>
        </w:rPr>
        <w:t>.</w:t>
      </w:r>
      <w:r>
        <w:rPr>
          <w:rtl/>
        </w:rPr>
        <w:t xml:space="preserve"> וכן על של</w:t>
      </w:r>
      <w:r>
        <w:rPr>
          <w:rFonts w:hint="cs"/>
          <w:rtl/>
        </w:rPr>
        <w:t>ו</w:t>
      </w:r>
      <w:r>
        <w:rPr>
          <w:rtl/>
        </w:rPr>
        <w:t>שה דברים העולם קיים וכו' על הדין וכו' ושאר דברים מהדומים לאלו</w:t>
      </w:r>
      <w:r>
        <w:rPr>
          <w:rFonts w:hint="cs"/>
          <w:rtl/>
        </w:rPr>
        <w:t xml:space="preserve">". </w:t>
      </w:r>
      <w:r w:rsidR="001B0A88">
        <w:rPr>
          <w:rFonts w:hint="cs"/>
          <w:rtl/>
        </w:rPr>
        <w:t>אך חכמים אמרו: "</w:t>
      </w:r>
      <w:r w:rsidR="001B0A88">
        <w:rPr>
          <w:rtl/>
        </w:rPr>
        <w:t>האי מאן דבעי למהוי חסידא, לקיים מילי דנזיקין</w:t>
      </w:r>
      <w:r w:rsidR="001B0A88">
        <w:rPr>
          <w:rFonts w:hint="cs"/>
          <w:rtl/>
        </w:rPr>
        <w:t>" (</w:t>
      </w:r>
      <w:r w:rsidR="001B0A88">
        <w:rPr>
          <w:rtl/>
        </w:rPr>
        <w:t>בבא קמא דף ל עמוד א</w:t>
      </w:r>
      <w:r w:rsidR="001B0A88">
        <w:rPr>
          <w:rFonts w:hint="cs"/>
          <w:rtl/>
        </w:rPr>
        <w:t>, ויש אומרים שם "אבות"); לאמור</w:t>
      </w:r>
      <w:r w:rsidR="001B0A88">
        <w:rPr>
          <w:rtl/>
        </w:rPr>
        <w:t>;</w:t>
      </w:r>
      <w:r w:rsidR="001B0A88">
        <w:rPr>
          <w:rFonts w:hint="cs"/>
          <w:rtl/>
        </w:rPr>
        <w:t xml:space="preserve"> תלמד את כל מסכתות סדר נזיקין שרוב עניינם בין אדם לחברו ותדע את ההלכה ותישמר. ואם תזיק תשלם ולא תתווכח ולא תזדקק לבית דין.   </w:t>
      </w:r>
    </w:p>
  </w:footnote>
  <w:footnote w:id="17">
    <w:p w14:paraId="057FA131" w14:textId="77777777" w:rsidR="00433157" w:rsidRDefault="00433157" w:rsidP="005C7999">
      <w:pPr>
        <w:pStyle w:val="a3"/>
        <w:rPr>
          <w:rFonts w:hint="cs"/>
          <w:rtl/>
        </w:rPr>
      </w:pPr>
      <w:r>
        <w:rPr>
          <w:rStyle w:val="a5"/>
        </w:rPr>
        <w:footnoteRef/>
      </w:r>
      <w:r>
        <w:rPr>
          <w:rtl/>
        </w:rPr>
        <w:t xml:space="preserve"> </w:t>
      </w:r>
      <w:r>
        <w:rPr>
          <w:rFonts w:hint="cs"/>
          <w:rtl/>
        </w:rPr>
        <w:t>עשתות זהב הן</w:t>
      </w:r>
      <w:r w:rsidR="005C7999">
        <w:rPr>
          <w:rFonts w:hint="cs"/>
          <w:rtl/>
        </w:rPr>
        <w:t xml:space="preserve"> מטילי זהב </w:t>
      </w:r>
      <w:r>
        <w:rPr>
          <w:rFonts w:hint="cs"/>
          <w:rtl/>
        </w:rPr>
        <w:t xml:space="preserve">שערכן </w:t>
      </w:r>
      <w:r w:rsidR="005C7999">
        <w:rPr>
          <w:rFonts w:hint="cs"/>
          <w:rtl/>
        </w:rPr>
        <w:t>במשקלן ואינם מוטבעים כמטבע סחירה</w:t>
      </w:r>
      <w:r>
        <w:rPr>
          <w:rFonts w:hint="cs"/>
          <w:rtl/>
        </w:rPr>
        <w:t>. פרוטרוט הן מטבעות רבות וזולות יותר</w:t>
      </w:r>
      <w:r w:rsidR="003315DC">
        <w:rPr>
          <w:rFonts w:hint="cs"/>
          <w:rtl/>
        </w:rPr>
        <w:t xml:space="preserve"> (פרוטות)</w:t>
      </w:r>
      <w:r>
        <w:rPr>
          <w:rFonts w:hint="cs"/>
          <w:rtl/>
        </w:rPr>
        <w:t>.</w:t>
      </w:r>
    </w:p>
  </w:footnote>
  <w:footnote w:id="18">
    <w:p w14:paraId="0C5786C8" w14:textId="77777777" w:rsidR="006E4612" w:rsidRDefault="006E4612" w:rsidP="00D011BA">
      <w:pPr>
        <w:pStyle w:val="a3"/>
        <w:rPr>
          <w:rFonts w:hint="cs"/>
          <w:rtl/>
        </w:rPr>
      </w:pPr>
      <w:r>
        <w:rPr>
          <w:rStyle w:val="a5"/>
        </w:rPr>
        <w:footnoteRef/>
      </w:r>
      <w:r>
        <w:rPr>
          <w:rtl/>
        </w:rPr>
        <w:t xml:space="preserve"> </w:t>
      </w:r>
      <w:r w:rsidR="00433157">
        <w:rPr>
          <w:rFonts w:hint="cs"/>
          <w:rtl/>
          <w:lang w:val="he-IL"/>
        </w:rPr>
        <w:t xml:space="preserve">בעל האגדה משול למי שיש בכיסו הרבה מטבעות זולות שקל לסחור איתן בכל מקום, בעוד שאיש התלמוד או ההלכה משול למי שבידו </w:t>
      </w:r>
      <w:r w:rsidR="00792059">
        <w:rPr>
          <w:rFonts w:hint="cs"/>
          <w:rtl/>
          <w:lang w:val="he-IL"/>
        </w:rPr>
        <w:t>מטילי</w:t>
      </w:r>
      <w:r w:rsidR="00433157">
        <w:rPr>
          <w:rFonts w:hint="cs"/>
          <w:rtl/>
          <w:lang w:val="he-IL"/>
        </w:rPr>
        <w:t xml:space="preserve"> זהב שאמנם ערכן רב, אבל קשה לסחור בהן ויש לפרוט אותן למטבעות זולות יותר </w:t>
      </w:r>
      <w:r w:rsidR="00BD0795">
        <w:rPr>
          <w:rFonts w:hint="cs"/>
          <w:rtl/>
          <w:lang w:val="he-IL"/>
        </w:rPr>
        <w:t xml:space="preserve">(לפרוטות) </w:t>
      </w:r>
      <w:r w:rsidR="00433157">
        <w:rPr>
          <w:rFonts w:hint="cs"/>
          <w:rtl/>
          <w:lang w:val="he-IL"/>
        </w:rPr>
        <w:t xml:space="preserve">על מנת לקנות מצרכים בכל מקום </w:t>
      </w:r>
      <w:r w:rsidR="00D011BA">
        <w:rPr>
          <w:rFonts w:hint="cs"/>
          <w:rtl/>
          <w:lang w:val="he-IL"/>
        </w:rPr>
        <w:t xml:space="preserve">אליו </w:t>
      </w:r>
      <w:r w:rsidR="00433157">
        <w:rPr>
          <w:rFonts w:hint="cs"/>
          <w:rtl/>
          <w:lang w:val="he-IL"/>
        </w:rPr>
        <w:t>מזדמ</w:t>
      </w:r>
      <w:r w:rsidR="00D011BA">
        <w:rPr>
          <w:rFonts w:hint="cs"/>
          <w:rtl/>
          <w:lang w:val="he-IL"/>
        </w:rPr>
        <w:t>נים</w:t>
      </w:r>
      <w:r w:rsidR="00433157">
        <w:rPr>
          <w:rFonts w:hint="cs"/>
          <w:rtl/>
          <w:lang w:val="he-IL"/>
        </w:rPr>
        <w:t xml:space="preserve">. </w:t>
      </w:r>
      <w:r w:rsidR="0076094F">
        <w:rPr>
          <w:rFonts w:hint="cs"/>
          <w:rtl/>
          <w:lang w:val="he-IL"/>
        </w:rPr>
        <w:t>(ראה משל הפוך ב</w:t>
      </w:r>
      <w:r w:rsidR="0076094F" w:rsidRPr="0076094F">
        <w:rPr>
          <w:rtl/>
          <w:lang w:val="he-IL"/>
        </w:rPr>
        <w:t>ספרי דברים פיסקא שו</w:t>
      </w:r>
      <w:r w:rsidR="0076094F">
        <w:rPr>
          <w:rFonts w:hint="cs"/>
          <w:rtl/>
          <w:lang w:val="he-IL"/>
        </w:rPr>
        <w:t xml:space="preserve"> בשבח הסלעים מול הזוזים, כינוס דברי תורה לכללים מול "פרטים מייגעים". מובא בדברינו </w:t>
      </w:r>
      <w:hyperlink r:id="rId6" w:history="1">
        <w:r w:rsidR="0076094F" w:rsidRPr="002E11EC">
          <w:rPr>
            <w:rStyle w:val="Hyperlink"/>
            <w:rFonts w:hint="cs"/>
            <w:rtl/>
            <w:lang w:val="he-IL"/>
          </w:rPr>
          <w:t xml:space="preserve">כמטר לקחי </w:t>
        </w:r>
        <w:r w:rsidR="002E11EC" w:rsidRPr="002E11EC">
          <w:rPr>
            <w:rStyle w:val="Hyperlink"/>
            <w:rFonts w:hint="cs"/>
            <w:rtl/>
            <w:lang w:val="he-IL"/>
          </w:rPr>
          <w:t>כטל אמרתי</w:t>
        </w:r>
      </w:hyperlink>
      <w:r w:rsidR="002E11EC">
        <w:rPr>
          <w:rFonts w:hint="cs"/>
          <w:rtl/>
          <w:lang w:val="he-IL"/>
        </w:rPr>
        <w:t xml:space="preserve"> </w:t>
      </w:r>
      <w:r w:rsidR="0076094F">
        <w:rPr>
          <w:rFonts w:hint="cs"/>
          <w:rtl/>
          <w:lang w:val="he-IL"/>
        </w:rPr>
        <w:t xml:space="preserve">בפרשת האזינו). </w:t>
      </w:r>
      <w:r w:rsidR="00433157">
        <w:rPr>
          <w:rFonts w:hint="cs"/>
          <w:rtl/>
          <w:lang w:val="he-IL"/>
        </w:rPr>
        <w:t xml:space="preserve">יתרון בעל האגדה, בסחורה שהוא "מוכר" לציבור, </w:t>
      </w:r>
      <w:r w:rsidR="0076094F">
        <w:rPr>
          <w:rFonts w:hint="cs"/>
          <w:rtl/>
          <w:lang w:val="he-IL"/>
        </w:rPr>
        <w:t>מובא גם ב</w:t>
      </w:r>
      <w:r>
        <w:rPr>
          <w:rFonts w:hint="cs"/>
          <w:rtl/>
          <w:lang w:val="he-IL"/>
        </w:rPr>
        <w:t xml:space="preserve">גמרא בבלי </w:t>
      </w:r>
      <w:r w:rsidRPr="00A477A8">
        <w:rPr>
          <w:rtl/>
          <w:lang w:val="he-IL"/>
        </w:rPr>
        <w:t>סוטה מ ע</w:t>
      </w:r>
      <w:r w:rsidR="003431C0">
        <w:rPr>
          <w:rFonts w:hint="cs"/>
          <w:rtl/>
          <w:lang w:val="he-IL"/>
        </w:rPr>
        <w:t>"א</w:t>
      </w:r>
      <w:r w:rsidR="0076094F">
        <w:rPr>
          <w:rFonts w:hint="cs"/>
          <w:rtl/>
          <w:lang w:val="he-IL"/>
        </w:rPr>
        <w:t>,</w:t>
      </w:r>
      <w:r w:rsidR="003431C0">
        <w:rPr>
          <w:rFonts w:hint="cs"/>
          <w:rtl/>
          <w:lang w:val="he-IL"/>
        </w:rPr>
        <w:t xml:space="preserve"> בסיפור על ר' אבהו ור' חייא</w:t>
      </w:r>
      <w:r w:rsidR="0076094F">
        <w:rPr>
          <w:rFonts w:hint="cs"/>
          <w:rtl/>
          <w:lang w:val="he-IL"/>
        </w:rPr>
        <w:t xml:space="preserve">. להלן </w:t>
      </w:r>
      <w:r w:rsidR="004D0EF0">
        <w:rPr>
          <w:rFonts w:hint="cs"/>
          <w:rtl/>
          <w:lang w:val="he-IL"/>
        </w:rPr>
        <w:t>ב</w:t>
      </w:r>
      <w:r w:rsidR="003431C0">
        <w:rPr>
          <w:rFonts w:hint="cs"/>
          <w:rtl/>
          <w:lang w:val="he-IL"/>
        </w:rPr>
        <w:t xml:space="preserve">תרגום </w:t>
      </w:r>
      <w:r w:rsidR="004D0EF0">
        <w:rPr>
          <w:rFonts w:hint="cs"/>
          <w:rtl/>
          <w:lang w:val="he-IL"/>
        </w:rPr>
        <w:t xml:space="preserve">חופשי </w:t>
      </w:r>
      <w:r w:rsidR="003431C0">
        <w:rPr>
          <w:rFonts w:hint="cs"/>
          <w:rtl/>
          <w:lang w:val="he-IL"/>
        </w:rPr>
        <w:t>ל</w:t>
      </w:r>
      <w:r w:rsidR="004D0EF0">
        <w:rPr>
          <w:rFonts w:hint="cs"/>
          <w:rtl/>
          <w:lang w:val="he-IL"/>
        </w:rPr>
        <w:t>ע</w:t>
      </w:r>
      <w:r w:rsidR="003431C0">
        <w:rPr>
          <w:rFonts w:hint="cs"/>
          <w:rtl/>
          <w:lang w:val="he-IL"/>
        </w:rPr>
        <w:t xml:space="preserve">ברית: </w:t>
      </w:r>
      <w:r w:rsidR="00433157">
        <w:rPr>
          <w:rFonts w:hint="cs"/>
          <w:rtl/>
          <w:lang w:val="he-IL"/>
        </w:rPr>
        <w:t>"</w:t>
      </w:r>
      <w:r w:rsidRPr="00A477A8">
        <w:rPr>
          <w:rtl/>
          <w:lang w:val="he-IL"/>
        </w:rPr>
        <w:t xml:space="preserve">ר' אבהו ור' חייא בר' אבא </w:t>
      </w:r>
      <w:r w:rsidR="003431C0">
        <w:rPr>
          <w:rFonts w:hint="cs"/>
          <w:rtl/>
          <w:lang w:val="he-IL"/>
        </w:rPr>
        <w:t xml:space="preserve">נקלעו לאותו מקום. </w:t>
      </w:r>
      <w:r w:rsidRPr="00A477A8">
        <w:rPr>
          <w:rtl/>
          <w:lang w:val="he-IL"/>
        </w:rPr>
        <w:t>רבי אבהו דרש באגד</w:t>
      </w:r>
      <w:r w:rsidR="003431C0">
        <w:rPr>
          <w:rFonts w:hint="cs"/>
          <w:rtl/>
          <w:lang w:val="he-IL"/>
        </w:rPr>
        <w:t>ה</w:t>
      </w:r>
      <w:r w:rsidRPr="00A477A8">
        <w:rPr>
          <w:rtl/>
          <w:lang w:val="he-IL"/>
        </w:rPr>
        <w:t>, רבי חייא בר אבא דרש בשמעתא</w:t>
      </w:r>
      <w:r w:rsidR="004D0EF0">
        <w:rPr>
          <w:rFonts w:hint="cs"/>
          <w:rtl/>
          <w:lang w:val="he-IL"/>
        </w:rPr>
        <w:t xml:space="preserve"> (בהלכה). עזבו הציבור את </w:t>
      </w:r>
      <w:r w:rsidRPr="00A477A8">
        <w:rPr>
          <w:rtl/>
          <w:lang w:val="he-IL"/>
        </w:rPr>
        <w:t>רבי חייא בר אבא ו</w:t>
      </w:r>
      <w:r w:rsidR="004D0EF0">
        <w:rPr>
          <w:rFonts w:hint="cs"/>
          <w:rtl/>
          <w:lang w:val="he-IL"/>
        </w:rPr>
        <w:t xml:space="preserve">הלכו אצל </w:t>
      </w:r>
      <w:r w:rsidRPr="00A477A8">
        <w:rPr>
          <w:rtl/>
          <w:lang w:val="he-IL"/>
        </w:rPr>
        <w:t>ר' אבהו</w:t>
      </w:r>
      <w:r w:rsidR="004D0EF0">
        <w:rPr>
          <w:rFonts w:hint="cs"/>
          <w:rtl/>
          <w:lang w:val="he-IL"/>
        </w:rPr>
        <w:t xml:space="preserve">. </w:t>
      </w:r>
      <w:r w:rsidRPr="00A477A8">
        <w:rPr>
          <w:rtl/>
          <w:lang w:val="he-IL"/>
        </w:rPr>
        <w:t>חלש</w:t>
      </w:r>
      <w:r w:rsidR="004D0EF0">
        <w:rPr>
          <w:rFonts w:hint="cs"/>
          <w:rtl/>
          <w:lang w:val="he-IL"/>
        </w:rPr>
        <w:t xml:space="preserve">ה </w:t>
      </w:r>
      <w:r w:rsidRPr="00A477A8">
        <w:rPr>
          <w:rtl/>
          <w:lang w:val="he-IL"/>
        </w:rPr>
        <w:t>דעת</w:t>
      </w:r>
      <w:r w:rsidR="004D0EF0">
        <w:rPr>
          <w:rFonts w:hint="cs"/>
          <w:rtl/>
          <w:lang w:val="he-IL"/>
        </w:rPr>
        <w:t xml:space="preserve">ו (של ר' חייא בר אבא). </w:t>
      </w:r>
      <w:r w:rsidRPr="00A477A8">
        <w:rPr>
          <w:rtl/>
          <w:lang w:val="he-IL"/>
        </w:rPr>
        <w:t>אמר ל</w:t>
      </w:r>
      <w:r w:rsidR="004D0EF0">
        <w:rPr>
          <w:rFonts w:hint="cs"/>
          <w:rtl/>
          <w:lang w:val="he-IL"/>
        </w:rPr>
        <w:t>ו (ר' אבהו לר' חייא)</w:t>
      </w:r>
      <w:r w:rsidRPr="00A477A8">
        <w:rPr>
          <w:rtl/>
          <w:lang w:val="he-IL"/>
        </w:rPr>
        <w:t>: אמש</w:t>
      </w:r>
      <w:r w:rsidR="004D0EF0">
        <w:rPr>
          <w:rFonts w:hint="cs"/>
          <w:rtl/>
          <w:lang w:val="he-IL"/>
        </w:rPr>
        <w:t>ו</w:t>
      </w:r>
      <w:r w:rsidRPr="00A477A8">
        <w:rPr>
          <w:rtl/>
          <w:lang w:val="he-IL"/>
        </w:rPr>
        <w:t>ל לך משל, למה הדבר דומה? לשני בני אדם, אחד מוכר אבנים טובות ואחד מוכר מיני סידקית</w:t>
      </w:r>
      <w:r w:rsidR="004D0EF0">
        <w:rPr>
          <w:rFonts w:hint="cs"/>
          <w:rtl/>
          <w:lang w:val="he-IL"/>
        </w:rPr>
        <w:t>.</w:t>
      </w:r>
      <w:r w:rsidRPr="00A477A8">
        <w:rPr>
          <w:rtl/>
          <w:lang w:val="he-IL"/>
        </w:rPr>
        <w:t xml:space="preserve"> על מי קופצין, לא על זה שמוכר מיני סידקית?</w:t>
      </w:r>
      <w:r w:rsidR="004D0EF0">
        <w:rPr>
          <w:rFonts w:hint="cs"/>
          <w:rtl/>
          <w:lang w:val="he-IL"/>
        </w:rPr>
        <w:t>".</w:t>
      </w:r>
      <w:r w:rsidRPr="00A477A8">
        <w:rPr>
          <w:rtl/>
          <w:lang w:val="he-IL"/>
        </w:rPr>
        <w:t xml:space="preserve"> </w:t>
      </w:r>
      <w:r w:rsidR="004D0EF0">
        <w:rPr>
          <w:rFonts w:hint="cs"/>
          <w:rtl/>
          <w:lang w:val="he-IL"/>
        </w:rPr>
        <w:t>והגמרא ממשיכה שם שר' אבהו הוסיף לרצות את ר' חייא וליווה אותו למקום בו התאכסן, למרות שבד"כ היה ר' חייא מלווה את ר' אבהו משום שהיה ממונה מטעם המלכות על העיר קיסריה</w:t>
      </w:r>
      <w:r w:rsidR="009B0428">
        <w:rPr>
          <w:rFonts w:hint="cs"/>
          <w:rtl/>
          <w:lang w:val="he-IL"/>
        </w:rPr>
        <w:t>.</w:t>
      </w:r>
      <w:r w:rsidR="004D0EF0">
        <w:rPr>
          <w:rFonts w:hint="cs"/>
          <w:rtl/>
          <w:lang w:val="he-IL"/>
        </w:rPr>
        <w:t xml:space="preserve"> ו</w:t>
      </w:r>
      <w:r w:rsidR="009B0428">
        <w:rPr>
          <w:rFonts w:hint="cs"/>
          <w:rtl/>
          <w:lang w:val="he-IL"/>
        </w:rPr>
        <w:t xml:space="preserve">עם כל זאת, </w:t>
      </w:r>
      <w:r w:rsidR="004D0EF0">
        <w:rPr>
          <w:rFonts w:hint="cs"/>
          <w:rtl/>
          <w:lang w:val="he-IL"/>
        </w:rPr>
        <w:t>לא נחה דעתו של ר' חייא.</w:t>
      </w:r>
      <w:r w:rsidR="002E7992">
        <w:rPr>
          <w:rFonts w:hint="cs"/>
          <w:rtl/>
        </w:rPr>
        <w:t xml:space="preserve"> ראה עוד בגמרא </w:t>
      </w:r>
      <w:r w:rsidR="002E7992">
        <w:rPr>
          <w:rtl/>
        </w:rPr>
        <w:t>תענית ז ע</w:t>
      </w:r>
      <w:r w:rsidR="002E7992">
        <w:rPr>
          <w:rFonts w:hint="cs"/>
          <w:rtl/>
        </w:rPr>
        <w:t>"א ש</w:t>
      </w:r>
      <w:r w:rsidR="002E7992">
        <w:rPr>
          <w:rtl/>
        </w:rPr>
        <w:t xml:space="preserve">רבי ירמיה </w:t>
      </w:r>
      <w:r w:rsidR="002E7992">
        <w:rPr>
          <w:rFonts w:hint="cs"/>
          <w:rtl/>
        </w:rPr>
        <w:t>ביקש מ</w:t>
      </w:r>
      <w:r w:rsidR="002E7992">
        <w:rPr>
          <w:rtl/>
        </w:rPr>
        <w:t>רבי זירא</w:t>
      </w:r>
      <w:r w:rsidR="002E7992">
        <w:rPr>
          <w:rFonts w:hint="cs"/>
          <w:rtl/>
        </w:rPr>
        <w:t xml:space="preserve"> שיגיד לו דבר הלכה וכשזה ענה שקשה לו וחלש ליבו, ביקש שיאמר "</w:t>
      </w:r>
      <w:r w:rsidR="002E7992">
        <w:rPr>
          <w:rtl/>
        </w:rPr>
        <w:t>מילתא דאגדתא</w:t>
      </w:r>
      <w:r w:rsidR="002E7992">
        <w:rPr>
          <w:rFonts w:hint="cs"/>
          <w:rtl/>
        </w:rPr>
        <w:t>" ור' זירא נענה לו</w:t>
      </w:r>
      <w:r w:rsidR="002E7992">
        <w:rPr>
          <w:rtl/>
        </w:rPr>
        <w:t>.</w:t>
      </w:r>
      <w:r w:rsidR="00F525AF">
        <w:rPr>
          <w:rFonts w:hint="cs"/>
          <w:rtl/>
        </w:rPr>
        <w:t xml:space="preserve"> ראה דברינו </w:t>
      </w:r>
      <w:hyperlink r:id="rId7" w:history="1">
        <w:r w:rsidR="00F525AF" w:rsidRPr="00F525AF">
          <w:rPr>
            <w:rStyle w:val="Hyperlink"/>
            <w:rFonts w:hint="cs"/>
            <w:rtl/>
          </w:rPr>
          <w:t>בשבחה של האגדה</w:t>
        </w:r>
      </w:hyperlink>
      <w:r w:rsidR="00F525AF">
        <w:rPr>
          <w:rFonts w:hint="cs"/>
          <w:rtl/>
        </w:rPr>
        <w:t xml:space="preserve"> בפרשת עקב.</w:t>
      </w:r>
    </w:p>
  </w:footnote>
  <w:footnote w:id="19">
    <w:p w14:paraId="14DA600E" w14:textId="77777777" w:rsidR="0033588D" w:rsidRDefault="0033588D">
      <w:pPr>
        <w:pStyle w:val="a3"/>
        <w:rPr>
          <w:rFonts w:hint="cs"/>
          <w:rtl/>
        </w:rPr>
      </w:pPr>
      <w:r>
        <w:rPr>
          <w:rStyle w:val="a5"/>
        </w:rPr>
        <w:footnoteRef/>
      </w:r>
      <w:r>
        <w:rPr>
          <w:rtl/>
        </w:rPr>
        <w:t xml:space="preserve"> </w:t>
      </w:r>
      <w:r>
        <w:rPr>
          <w:rFonts w:hint="cs"/>
          <w:rtl/>
        </w:rPr>
        <w:t xml:space="preserve">התרגום החופשי לעברית, באחריותנו. הלמדנים </w:t>
      </w:r>
      <w:r w:rsidR="00D011BA">
        <w:rPr>
          <w:rFonts w:hint="cs"/>
          <w:rtl/>
        </w:rPr>
        <w:t xml:space="preserve">והמצטטים </w:t>
      </w:r>
      <w:r>
        <w:rPr>
          <w:rFonts w:hint="cs"/>
          <w:rtl/>
        </w:rPr>
        <w:t>מוזמנים לעיין במקור.</w:t>
      </w:r>
    </w:p>
  </w:footnote>
  <w:footnote w:id="20">
    <w:p w14:paraId="18A3B1CF" w14:textId="77777777" w:rsidR="0033588D" w:rsidRDefault="0033588D">
      <w:pPr>
        <w:pStyle w:val="a3"/>
        <w:rPr>
          <w:rFonts w:hint="cs"/>
        </w:rPr>
      </w:pPr>
      <w:r>
        <w:rPr>
          <w:rStyle w:val="a5"/>
        </w:rPr>
        <w:footnoteRef/>
      </w:r>
      <w:r>
        <w:rPr>
          <w:rtl/>
        </w:rPr>
        <w:t xml:space="preserve"> </w:t>
      </w:r>
      <w:r>
        <w:rPr>
          <w:rFonts w:hint="cs"/>
          <w:rtl/>
        </w:rPr>
        <w:t>ברייתות חיצוניות ותוספתא.</w:t>
      </w:r>
    </w:p>
  </w:footnote>
  <w:footnote w:id="21">
    <w:p w14:paraId="5AE918EE" w14:textId="77777777" w:rsidR="00357F87" w:rsidRDefault="00357F87" w:rsidP="00FC3F40">
      <w:pPr>
        <w:pStyle w:val="a3"/>
        <w:rPr>
          <w:rFonts w:hint="cs"/>
          <w:rtl/>
        </w:rPr>
      </w:pPr>
      <w:r>
        <w:rPr>
          <w:rStyle w:val="a5"/>
        </w:rPr>
        <w:footnoteRef/>
      </w:r>
      <w:r>
        <w:rPr>
          <w:rtl/>
        </w:rPr>
        <w:t xml:space="preserve"> </w:t>
      </w:r>
      <w:r w:rsidR="00FC3F40">
        <w:rPr>
          <w:rFonts w:hint="cs"/>
          <w:rtl/>
        </w:rPr>
        <w:t xml:space="preserve">נראה שזה שיבוש וצ"ל </w:t>
      </w:r>
      <w:r>
        <w:rPr>
          <w:rFonts w:hint="cs"/>
          <w:rtl/>
        </w:rPr>
        <w:t>ר' חייא</w:t>
      </w:r>
      <w:r w:rsidR="00FC3F40">
        <w:rPr>
          <w:rFonts w:hint="cs"/>
          <w:rtl/>
        </w:rPr>
        <w:t xml:space="preserve"> כמו שמופיע במקורות רבים אחרים כגון שיר השירים רבה ח ב, קהלת רבה ב ח ועוד.</w:t>
      </w:r>
    </w:p>
  </w:footnote>
  <w:footnote w:id="22">
    <w:p w14:paraId="3B6E4E49" w14:textId="77777777" w:rsidR="00BD0795" w:rsidRDefault="00BD0795" w:rsidP="0010108D">
      <w:pPr>
        <w:pStyle w:val="a3"/>
        <w:rPr>
          <w:rFonts w:hint="cs"/>
          <w:rtl/>
        </w:rPr>
      </w:pPr>
      <w:r>
        <w:rPr>
          <w:rStyle w:val="a5"/>
        </w:rPr>
        <w:footnoteRef/>
      </w:r>
      <w:r>
        <w:rPr>
          <w:rtl/>
        </w:rPr>
        <w:t xml:space="preserve"> </w:t>
      </w:r>
      <w:r>
        <w:rPr>
          <w:rFonts w:hint="cs"/>
          <w:rtl/>
        </w:rPr>
        <w:t>הרי לנו יחס אחר לבעל האגדה</w:t>
      </w:r>
      <w:r w:rsidR="00FC3F40">
        <w:rPr>
          <w:rFonts w:hint="cs"/>
          <w:rtl/>
        </w:rPr>
        <w:t xml:space="preserve"> שאינו איש הלכה ולא יודע להתיר ולאסור, לטמא ולטהר.</w:t>
      </w:r>
      <w:r w:rsidR="0010108D">
        <w:rPr>
          <w:rFonts w:hint="cs"/>
          <w:rtl/>
        </w:rPr>
        <w:t xml:space="preserve"> בעל התלמוד הוא בעל עשתות הזהב. ואם הציבור רץ בכל זאת לשמוע את בעל האגדה, אין זה אלא כדברי ר' יצחק ב</w:t>
      </w:r>
      <w:r w:rsidR="0010108D">
        <w:rPr>
          <w:rtl/>
        </w:rPr>
        <w:t>פסיקתא דרב כהנא פיסקא יב - בחדש השלישי</w:t>
      </w:r>
      <w:r w:rsidR="0010108D">
        <w:rPr>
          <w:rFonts w:hint="cs"/>
          <w:rtl/>
        </w:rPr>
        <w:t>: "אמר ר' י</w:t>
      </w:r>
      <w:r w:rsidR="0010108D">
        <w:rPr>
          <w:rtl/>
        </w:rPr>
        <w:t>צח</w:t>
      </w:r>
      <w:r w:rsidR="0010108D">
        <w:rPr>
          <w:rFonts w:hint="cs"/>
          <w:rtl/>
        </w:rPr>
        <w:t>ק:</w:t>
      </w:r>
      <w:r w:rsidR="0010108D">
        <w:rPr>
          <w:rtl/>
        </w:rPr>
        <w:t xml:space="preserve"> בראשו</w:t>
      </w:r>
      <w:r w:rsidR="0010108D">
        <w:rPr>
          <w:rFonts w:hint="cs"/>
          <w:rtl/>
        </w:rPr>
        <w:t>נה</w:t>
      </w:r>
      <w:r w:rsidR="0010108D">
        <w:rPr>
          <w:rtl/>
        </w:rPr>
        <w:t xml:space="preserve"> היתה הפרוטה מצויה, היה אדם מתאוה דבר משנה ודבר תלמוד</w:t>
      </w:r>
      <w:r w:rsidR="0010108D">
        <w:rPr>
          <w:rFonts w:hint="cs"/>
          <w:rtl/>
        </w:rPr>
        <w:t>.</w:t>
      </w:r>
      <w:r w:rsidR="0010108D">
        <w:rPr>
          <w:rtl/>
        </w:rPr>
        <w:t xml:space="preserve"> ועכשיו שאין פרוטה מצויה, וביותר שאנו חולים מן המלכיות, אדם מתאוה לשמוע דבר מקרא ודבר אגדה</w:t>
      </w:r>
      <w:r w:rsidR="0010108D">
        <w:rPr>
          <w:rFonts w:hint="cs"/>
          <w:rtl/>
        </w:rPr>
        <w:t>"</w:t>
      </w:r>
      <w:r w:rsidR="0010108D">
        <w:rPr>
          <w:rtl/>
        </w:rPr>
        <w:t xml:space="preserve">. </w:t>
      </w:r>
      <w:r w:rsidR="00FC3F40">
        <w:rPr>
          <w:rFonts w:hint="cs"/>
          <w:rtl/>
        </w:rPr>
        <w:t xml:space="preserve">   </w:t>
      </w:r>
    </w:p>
  </w:footnote>
  <w:footnote w:id="23">
    <w:p w14:paraId="11BE089C" w14:textId="77777777" w:rsidR="002E11EC" w:rsidRDefault="002E11EC" w:rsidP="00D011BA">
      <w:pPr>
        <w:pStyle w:val="a3"/>
        <w:rPr>
          <w:rFonts w:hint="cs"/>
          <w:rtl/>
        </w:rPr>
      </w:pPr>
      <w:r>
        <w:rPr>
          <w:rStyle w:val="a5"/>
        </w:rPr>
        <w:footnoteRef/>
      </w:r>
      <w:r>
        <w:rPr>
          <w:rtl/>
        </w:rPr>
        <w:t xml:space="preserve"> </w:t>
      </w:r>
      <w:r>
        <w:rPr>
          <w:rFonts w:hint="cs"/>
          <w:rtl/>
          <w:lang w:val="he-IL"/>
        </w:rPr>
        <w:t xml:space="preserve">או מיושב. ר' אבא בר כהנא אהב מאד את דרשתו ר' לוי, שהיה אז איש צעיר, וברך אותו שכשם שזכה לומר דרשה זו בעודו עומד (שיכול לעמוד על רגליו, או שהיה נהוג שאדם צעיר דורש כשהוא עומד), יזכה לאומרה כשהוא אדם מבוגר שיושב בדרשתו. </w:t>
      </w:r>
      <w:r>
        <w:rPr>
          <w:rFonts w:hint="cs"/>
          <w:rtl/>
        </w:rPr>
        <w:t>שים לב אגב איך בעל האגדה עומד במדרש זה בתווך בין בעל המשנה ובעל התלמוד.</w:t>
      </w:r>
      <w:r>
        <w:rPr>
          <w:rFonts w:hint="cs"/>
          <w:rtl/>
          <w:lang w:val="he-IL"/>
        </w:rPr>
        <w:t xml:space="preserve"> באותו ירושלמי וכן במקומות אחרים כמו </w:t>
      </w:r>
      <w:r w:rsidRPr="00D56BDF">
        <w:rPr>
          <w:rtl/>
          <w:lang w:val="he-IL"/>
        </w:rPr>
        <w:t xml:space="preserve">ויקרא רבה </w:t>
      </w:r>
      <w:r>
        <w:rPr>
          <w:rFonts w:hint="cs"/>
          <w:rtl/>
          <w:lang w:val="he-IL"/>
        </w:rPr>
        <w:t>כב יש וויכוח מי עדיף, בעל המשנה או בעל התלמוד (הסודרן או הפי</w:t>
      </w:r>
      <w:r w:rsidR="0075015A">
        <w:rPr>
          <w:rFonts w:hint="cs"/>
          <w:rtl/>
          <w:lang w:val="he-IL"/>
        </w:rPr>
        <w:t>ל</w:t>
      </w:r>
      <w:r>
        <w:rPr>
          <w:rFonts w:hint="cs"/>
          <w:rtl/>
          <w:lang w:val="he-IL"/>
        </w:rPr>
        <w:t>פלן, בלשון הירושלמי</w:t>
      </w:r>
      <w:r w:rsidR="00D011BA">
        <w:rPr>
          <w:rFonts w:hint="cs"/>
          <w:rtl/>
          <w:lang w:val="he-IL"/>
        </w:rPr>
        <w:t xml:space="preserve">, ראה דברינו </w:t>
      </w:r>
      <w:hyperlink r:id="rId8" w:history="1">
        <w:r w:rsidR="00D011BA" w:rsidRPr="0075015A">
          <w:rPr>
            <w:rStyle w:val="Hyperlink"/>
            <w:rFonts w:hint="cs"/>
            <w:rtl/>
            <w:lang w:val="he-IL"/>
          </w:rPr>
          <w:t>סיני או עוקר הרים</w:t>
        </w:r>
        <w:r w:rsidR="0075015A" w:rsidRPr="0075015A">
          <w:rPr>
            <w:rStyle w:val="Hyperlink"/>
            <w:rFonts w:hint="cs"/>
            <w:rtl/>
            <w:lang w:val="he-IL"/>
          </w:rPr>
          <w:t xml:space="preserve"> – סודרן או פילפלן</w:t>
        </w:r>
      </w:hyperlink>
      <w:r w:rsidR="00D011BA">
        <w:rPr>
          <w:rFonts w:hint="cs"/>
          <w:rtl/>
          <w:lang w:val="he-IL"/>
        </w:rPr>
        <w:t xml:space="preserve"> בדפים המיוחדים</w:t>
      </w:r>
      <w:r>
        <w:rPr>
          <w:rFonts w:hint="cs"/>
          <w:rtl/>
          <w:lang w:val="he-IL"/>
        </w:rPr>
        <w:t>). בא בעל האגדה ועומד באמצע ולפחות עליו שניהם מסכימים שהוא פ</w:t>
      </w:r>
      <w:r>
        <w:rPr>
          <w:rFonts w:hint="eastAsia"/>
          <w:rtl/>
          <w:lang w:val="he-IL"/>
        </w:rPr>
        <w:t>ָ</w:t>
      </w:r>
      <w:r>
        <w:rPr>
          <w:rFonts w:hint="cs"/>
          <w:rtl/>
          <w:lang w:val="he-IL"/>
        </w:rPr>
        <w:t>חו</w:t>
      </w:r>
      <w:r>
        <w:rPr>
          <w:rFonts w:hint="eastAsia"/>
          <w:rtl/>
          <w:lang w:val="he-IL"/>
        </w:rPr>
        <w:t>ּ</w:t>
      </w:r>
      <w:r>
        <w:rPr>
          <w:rFonts w:hint="cs"/>
          <w:rtl/>
          <w:lang w:val="he-IL"/>
        </w:rPr>
        <w:t>ת.</w:t>
      </w:r>
    </w:p>
  </w:footnote>
  <w:footnote w:id="24">
    <w:p w14:paraId="425D0417" w14:textId="77777777" w:rsidR="00C32D90" w:rsidRDefault="00C32D90">
      <w:pPr>
        <w:pStyle w:val="a3"/>
        <w:rPr>
          <w:rFonts w:hint="cs"/>
          <w:rtl/>
        </w:rPr>
      </w:pPr>
      <w:r>
        <w:rPr>
          <w:rStyle w:val="a5"/>
        </w:rPr>
        <w:footnoteRef/>
      </w:r>
      <w:r>
        <w:rPr>
          <w:rtl/>
        </w:rPr>
        <w:t xml:space="preserve"> </w:t>
      </w:r>
      <w:r>
        <w:rPr>
          <w:rFonts w:hint="cs"/>
          <w:rtl/>
        </w:rPr>
        <w:t>שוב תרגום לעברית חופשי באחריותנו.</w:t>
      </w:r>
    </w:p>
  </w:footnote>
  <w:footnote w:id="25">
    <w:p w14:paraId="0572C1C6" w14:textId="77777777" w:rsidR="00C32D90" w:rsidRDefault="00C32D90">
      <w:pPr>
        <w:pStyle w:val="a3"/>
        <w:rPr>
          <w:rFonts w:hint="cs"/>
          <w:rtl/>
        </w:rPr>
      </w:pPr>
      <w:r>
        <w:rPr>
          <w:rStyle w:val="a5"/>
        </w:rPr>
        <w:footnoteRef/>
      </w:r>
      <w:r>
        <w:rPr>
          <w:rtl/>
        </w:rPr>
        <w:t xml:space="preserve"> </w:t>
      </w:r>
      <w:r>
        <w:rPr>
          <w:rFonts w:hint="cs"/>
          <w:rtl/>
        </w:rPr>
        <w:t>שלקחו כצידה לדרך. ר' יהושע לקח יותר וכפי שנראה הם נזקקו לזה.</w:t>
      </w:r>
    </w:p>
  </w:footnote>
  <w:footnote w:id="26">
    <w:p w14:paraId="1E806D1F" w14:textId="77777777" w:rsidR="00E71C73" w:rsidRDefault="00E71C73" w:rsidP="0044556D">
      <w:pPr>
        <w:pStyle w:val="a3"/>
        <w:rPr>
          <w:rFonts w:hint="cs"/>
          <w:rtl/>
        </w:rPr>
      </w:pPr>
      <w:r>
        <w:rPr>
          <w:rStyle w:val="a5"/>
        </w:rPr>
        <w:footnoteRef/>
      </w:r>
      <w:r>
        <w:rPr>
          <w:rtl/>
        </w:rPr>
        <w:t xml:space="preserve"> </w:t>
      </w:r>
      <w:r>
        <w:rPr>
          <w:rFonts w:hint="cs"/>
          <w:rtl/>
        </w:rPr>
        <w:t xml:space="preserve">יש שמזהים כוכב זה עם כוכב השביט היילי </w:t>
      </w:r>
      <w:hyperlink r:id="rId9" w:history="1">
        <w:r w:rsidRPr="00E71C73">
          <w:rPr>
            <w:rStyle w:val="Hyperlink"/>
            <w:sz w:val="18"/>
            <w:szCs w:val="18"/>
            <w:lang w:val="en"/>
          </w:rPr>
          <w:t>Halley's Comet</w:t>
        </w:r>
      </w:hyperlink>
      <w:r>
        <w:rPr>
          <w:rFonts w:hint="cs"/>
          <w:rtl/>
          <w:lang w:val="en"/>
        </w:rPr>
        <w:t xml:space="preserve"> </w:t>
      </w:r>
      <w:r>
        <w:rPr>
          <w:rFonts w:hint="cs"/>
          <w:rtl/>
        </w:rPr>
        <w:t>שמוכר היום ונראה מכדור הארץ אחת ל75-76 שנים.</w:t>
      </w:r>
      <w:r w:rsidR="00F65148">
        <w:rPr>
          <w:rFonts w:hint="cs"/>
          <w:rtl/>
        </w:rPr>
        <w:t xml:space="preserve"> ראה 'סיפור מדעי' אחר בין ר' יהושע ורבן גמליאל ב</w:t>
      </w:r>
      <w:r w:rsidR="00F65148">
        <w:rPr>
          <w:rtl/>
        </w:rPr>
        <w:t xml:space="preserve">בראשית רבה </w:t>
      </w:r>
      <w:r w:rsidR="00F65148">
        <w:rPr>
          <w:rFonts w:hint="cs"/>
          <w:rtl/>
        </w:rPr>
        <w:t xml:space="preserve">כ ד, לגבי השאלה ששאלו חכמי רומא את </w:t>
      </w:r>
      <w:r w:rsidR="00F65148">
        <w:rPr>
          <w:rtl/>
        </w:rPr>
        <w:t>רבן גמליאל</w:t>
      </w:r>
      <w:r w:rsidR="00F65148">
        <w:rPr>
          <w:rFonts w:hint="cs"/>
          <w:rtl/>
        </w:rPr>
        <w:t>: "</w:t>
      </w:r>
      <w:r w:rsidR="00F65148">
        <w:rPr>
          <w:rtl/>
        </w:rPr>
        <w:t>לכמה הנחש מוליד</w:t>
      </w:r>
      <w:r w:rsidR="00F525AF">
        <w:rPr>
          <w:rFonts w:hint="cs"/>
          <w:rtl/>
        </w:rPr>
        <w:t xml:space="preserve">?" </w:t>
      </w:r>
      <w:r w:rsidR="00F65148">
        <w:rPr>
          <w:rFonts w:hint="cs"/>
          <w:rtl/>
        </w:rPr>
        <w:t>ולא ידע</w:t>
      </w:r>
      <w:r w:rsidR="00F525AF">
        <w:rPr>
          <w:rFonts w:hint="cs"/>
          <w:rtl/>
        </w:rPr>
        <w:t xml:space="preserve"> רבן גמליאל את התשובה</w:t>
      </w:r>
      <w:r w:rsidR="00F65148">
        <w:rPr>
          <w:rFonts w:hint="cs"/>
          <w:rtl/>
        </w:rPr>
        <w:t xml:space="preserve"> ור' יהושע "הושיט לו בקנה".</w:t>
      </w:r>
    </w:p>
  </w:footnote>
  <w:footnote w:id="27">
    <w:p w14:paraId="3FE70DD6" w14:textId="77777777" w:rsidR="000B4692" w:rsidRDefault="000B4692" w:rsidP="0044556D">
      <w:pPr>
        <w:pStyle w:val="a3"/>
        <w:rPr>
          <w:rFonts w:hint="cs"/>
          <w:rtl/>
        </w:rPr>
      </w:pPr>
      <w:r>
        <w:rPr>
          <w:rStyle w:val="a5"/>
        </w:rPr>
        <w:footnoteRef/>
      </w:r>
      <w:r>
        <w:rPr>
          <w:rtl/>
        </w:rPr>
        <w:t xml:space="preserve"> </w:t>
      </w:r>
      <w:r w:rsidR="00E71C73">
        <w:rPr>
          <w:rFonts w:hint="cs"/>
          <w:rtl/>
        </w:rPr>
        <w:t xml:space="preserve">ידע רב כזה יש לך, אומר רבן גמליאל לר' יהושע, ואתה צריך להפליג לפרנסתך בים? ראה נסיעתם המשותפת בים, עם עוד חכמים, גם בסוכה מא ע"ב. ועל תמיהתו של רבן גמליאל ממה מתפרנס ר' יהושע, ראה גם פליאתו </w:t>
      </w:r>
      <w:r w:rsidR="00154115">
        <w:rPr>
          <w:rFonts w:hint="cs"/>
          <w:rtl/>
        </w:rPr>
        <w:t xml:space="preserve">על כך </w:t>
      </w:r>
      <w:r w:rsidR="00E71C73">
        <w:rPr>
          <w:rFonts w:hint="cs"/>
          <w:rtl/>
        </w:rPr>
        <w:t xml:space="preserve">בגמרא </w:t>
      </w:r>
      <w:r w:rsidR="00E71C73">
        <w:rPr>
          <w:rtl/>
        </w:rPr>
        <w:t>ברכות כח ע</w:t>
      </w:r>
      <w:r w:rsidR="00E71C73">
        <w:rPr>
          <w:rFonts w:hint="cs"/>
          <w:rtl/>
        </w:rPr>
        <w:t xml:space="preserve">"א אחרי </w:t>
      </w:r>
      <w:r w:rsidR="0044556D">
        <w:rPr>
          <w:rFonts w:hint="cs"/>
          <w:rtl/>
        </w:rPr>
        <w:t>ה</w:t>
      </w:r>
      <w:r w:rsidR="00E71C73">
        <w:rPr>
          <w:rFonts w:hint="cs"/>
          <w:rtl/>
        </w:rPr>
        <w:t>מחלוקת הגדולה בה הודח רבן גמליאל: "</w:t>
      </w:r>
      <w:r w:rsidR="00E71C73">
        <w:rPr>
          <w:rtl/>
        </w:rPr>
        <w:t>מכותלי ביתך אתה ניכר שפחמי אתה</w:t>
      </w:r>
      <w:r w:rsidR="00E71C73">
        <w:rPr>
          <w:rFonts w:hint="cs"/>
          <w:rtl/>
        </w:rPr>
        <w:t>"</w:t>
      </w:r>
      <w:r w:rsidR="00E71C73">
        <w:rPr>
          <w:rtl/>
        </w:rPr>
        <w:t>.</w:t>
      </w:r>
    </w:p>
  </w:footnote>
  <w:footnote w:id="28">
    <w:p w14:paraId="1E0AA0D6" w14:textId="77777777" w:rsidR="00FD3244" w:rsidRDefault="00FD3244">
      <w:pPr>
        <w:pStyle w:val="a3"/>
        <w:rPr>
          <w:rFonts w:hint="cs"/>
          <w:rtl/>
        </w:rPr>
      </w:pPr>
      <w:r>
        <w:rPr>
          <w:rStyle w:val="a5"/>
        </w:rPr>
        <w:footnoteRef/>
      </w:r>
      <w:r>
        <w:rPr>
          <w:rtl/>
        </w:rPr>
        <w:t xml:space="preserve"> </w:t>
      </w:r>
      <w:r>
        <w:rPr>
          <w:rFonts w:hint="cs"/>
          <w:rtl/>
        </w:rPr>
        <w:t>לתת להם תפקיד שיתפרנסו.</w:t>
      </w:r>
    </w:p>
  </w:footnote>
  <w:footnote w:id="29">
    <w:p w14:paraId="18C90045" w14:textId="77777777" w:rsidR="00FC397A" w:rsidRDefault="00FC397A">
      <w:pPr>
        <w:pStyle w:val="a3"/>
        <w:rPr>
          <w:rFonts w:hint="cs"/>
        </w:rPr>
      </w:pPr>
      <w:r>
        <w:rPr>
          <w:rStyle w:val="a5"/>
        </w:rPr>
        <w:footnoteRef/>
      </w:r>
      <w:r>
        <w:rPr>
          <w:rtl/>
        </w:rPr>
        <w:t xml:space="preserve"> </w:t>
      </w:r>
      <w:r>
        <w:rPr>
          <w:rFonts w:hint="cs"/>
          <w:rtl/>
        </w:rPr>
        <w:t xml:space="preserve">עצת הזקנים לרחבעם </w:t>
      </w:r>
      <w:r w:rsidR="00336BCC">
        <w:rPr>
          <w:rFonts w:hint="cs"/>
          <w:rtl/>
        </w:rPr>
        <w:t xml:space="preserve">מלך יהודה, בנו של שלמה, </w:t>
      </w:r>
      <w:r>
        <w:rPr>
          <w:rFonts w:hint="cs"/>
          <w:rtl/>
        </w:rPr>
        <w:t>להקל מהעול על העם</w:t>
      </w:r>
      <w:r w:rsidR="002200F1">
        <w:rPr>
          <w:rFonts w:hint="cs"/>
          <w:rtl/>
        </w:rPr>
        <w:t>. ולמדרש זה המדגיש שנבחרי ציבור הנוטלים שררה נוטלים בעצם על עצמם עבדות לציבור והם משרתיו, אין כמובן כל קשר לאירועי השבוע.</w:t>
      </w:r>
      <w:r>
        <w:rPr>
          <w:rFonts w:hint="cs"/>
          <w:rtl/>
        </w:rPr>
        <w:t xml:space="preserve"> </w:t>
      </w:r>
    </w:p>
  </w:footnote>
  <w:footnote w:id="30">
    <w:p w14:paraId="721C1854" w14:textId="77777777" w:rsidR="002200F1" w:rsidRDefault="002200F1" w:rsidP="0089212C">
      <w:pPr>
        <w:pStyle w:val="a3"/>
        <w:rPr>
          <w:rFonts w:hint="cs"/>
          <w:rtl/>
        </w:rPr>
      </w:pPr>
      <w:r>
        <w:rPr>
          <w:rStyle w:val="a5"/>
        </w:rPr>
        <w:footnoteRef/>
      </w:r>
      <w:r>
        <w:rPr>
          <w:rtl/>
        </w:rPr>
        <w:t xml:space="preserve"> </w:t>
      </w:r>
      <w:r w:rsidR="0044556D">
        <w:rPr>
          <w:rFonts w:hint="cs"/>
          <w:rtl/>
        </w:rPr>
        <w:t xml:space="preserve">מי שמביא קרבן לבית המקדש על שגגתו הוא בוודאי מי שמודה ששגה. אשריו הוא אישית ואשרי הדור שמנהיגיו מכירים בטעויותיהם ולא מחפים ומתכחשים להם. ראה דברינו </w:t>
      </w:r>
      <w:hyperlink r:id="rId10" w:history="1">
        <w:r w:rsidRPr="0044556D">
          <w:rPr>
            <w:rStyle w:val="Hyperlink"/>
            <w:rFonts w:hint="cs"/>
            <w:rtl/>
          </w:rPr>
          <w:t xml:space="preserve">אשר </w:t>
        </w:r>
        <w:r w:rsidR="00336BCC" w:rsidRPr="0044556D">
          <w:rPr>
            <w:rStyle w:val="Hyperlink"/>
            <w:rFonts w:hint="cs"/>
            <w:rtl/>
          </w:rPr>
          <w:t>נ</w:t>
        </w:r>
        <w:r w:rsidRPr="0044556D">
          <w:rPr>
            <w:rStyle w:val="Hyperlink"/>
            <w:rFonts w:hint="cs"/>
            <w:rtl/>
          </w:rPr>
          <w:t>שיא יחטא</w:t>
        </w:r>
      </w:hyperlink>
      <w:r w:rsidR="0044556D">
        <w:rPr>
          <w:rFonts w:hint="cs"/>
          <w:rtl/>
        </w:rPr>
        <w:t xml:space="preserve"> בפרשה זו ושוב גם </w:t>
      </w:r>
      <w:hyperlink r:id="rId11" w:history="1">
        <w:r w:rsidR="0044556D" w:rsidRPr="00CD25D7">
          <w:rPr>
            <w:rStyle w:val="Hyperlink"/>
            <w:rFonts w:hint="cs"/>
            <w:rtl/>
          </w:rPr>
          <w:t>לא שמעתי, שכחתי טעיתי</w:t>
        </w:r>
      </w:hyperlink>
      <w:r w:rsidR="0044556D">
        <w:rPr>
          <w:rFonts w:hint="cs"/>
          <w:rtl/>
        </w:rPr>
        <w:t xml:space="preserve"> בפרשת שמיני.</w:t>
      </w:r>
    </w:p>
  </w:footnote>
  <w:footnote w:id="31">
    <w:p w14:paraId="3ADE305F" w14:textId="77777777" w:rsidR="0089212C" w:rsidRDefault="0089212C">
      <w:pPr>
        <w:pStyle w:val="a3"/>
        <w:rPr>
          <w:rFonts w:hint="cs"/>
        </w:rPr>
      </w:pPr>
      <w:r>
        <w:rPr>
          <w:rStyle w:val="a5"/>
        </w:rPr>
        <w:footnoteRef/>
      </w:r>
      <w:r>
        <w:rPr>
          <w:rtl/>
        </w:rPr>
        <w:t xml:space="preserve"> </w:t>
      </w:r>
      <w:r>
        <w:rPr>
          <w:rFonts w:hint="cs"/>
          <w:rtl/>
        </w:rPr>
        <w:t>בשנים שאינן מעוברות בהן פרשת ויקרא חלה בחודש ניסן סמוך לחג הפסח.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858D2" w14:textId="77777777" w:rsidR="003C6A86" w:rsidRDefault="003C6A86" w:rsidP="003626C7">
    <w:pPr>
      <w:pStyle w:val="1"/>
      <w:tabs>
        <w:tab w:val="clear" w:pos="9469"/>
        <w:tab w:val="right" w:pos="9299"/>
      </w:tabs>
      <w:rPr>
        <w:rFonts w:hint="cs"/>
        <w:rtl/>
      </w:rPr>
    </w:pPr>
    <w:r>
      <w:rPr>
        <w:rtl/>
      </w:rPr>
      <w:t xml:space="preserve">פרשת </w:t>
    </w:r>
    <w:fldSimple w:instr=" SUBJECT  \* MERGEFORMAT ">
      <w:r w:rsidR="00F65148">
        <w:rPr>
          <w:rtl/>
        </w:rPr>
        <w:t>ויקרא</w:t>
      </w:r>
    </w:fldSimple>
    <w:r>
      <w:rPr>
        <w:rtl/>
      </w:rPr>
      <w:tab/>
    </w:r>
    <w:r>
      <w:rPr>
        <w:rFonts w:hint="cs"/>
        <w:rtl/>
      </w:rPr>
      <w:t>תש</w:t>
    </w:r>
    <w:r w:rsidR="00F569D7">
      <w:rPr>
        <w:rFonts w:hint="cs"/>
        <w:rtl/>
      </w:rPr>
      <w:t>ע"</w:t>
    </w:r>
    <w:r w:rsidR="00F021B4">
      <w:rPr>
        <w:rFonts w:hint="cs"/>
        <w:rtl/>
      </w:rPr>
      <w:t>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E5A02" w14:textId="77777777" w:rsidR="003C6A86" w:rsidRDefault="003C6A8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65148">
      <w:rPr>
        <w:szCs w:val="24"/>
        <w:rtl/>
      </w:rPr>
      <w:t>ויקרא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A03BB">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CxsDCyMDQ2tASSlko6SsGpxcWZ+XkgBSa1AMP3cw0sAAAA"/>
  </w:docVars>
  <w:rsids>
    <w:rsidRoot w:val="001B3E49"/>
    <w:rsid w:val="00026CFC"/>
    <w:rsid w:val="00042C93"/>
    <w:rsid w:val="00063357"/>
    <w:rsid w:val="0006465C"/>
    <w:rsid w:val="00066EB7"/>
    <w:rsid w:val="00072DDF"/>
    <w:rsid w:val="000752E6"/>
    <w:rsid w:val="00080197"/>
    <w:rsid w:val="00086FDE"/>
    <w:rsid w:val="00093043"/>
    <w:rsid w:val="00096B92"/>
    <w:rsid w:val="000A11A6"/>
    <w:rsid w:val="000A2214"/>
    <w:rsid w:val="000A619E"/>
    <w:rsid w:val="000B2B58"/>
    <w:rsid w:val="000B3B29"/>
    <w:rsid w:val="000B4692"/>
    <w:rsid w:val="000C4004"/>
    <w:rsid w:val="0010108D"/>
    <w:rsid w:val="0012093A"/>
    <w:rsid w:val="00154115"/>
    <w:rsid w:val="00183CA1"/>
    <w:rsid w:val="001B0A88"/>
    <w:rsid w:val="001B12C0"/>
    <w:rsid w:val="001B3E49"/>
    <w:rsid w:val="001B4D97"/>
    <w:rsid w:val="001F646E"/>
    <w:rsid w:val="001F7DE7"/>
    <w:rsid w:val="002200F1"/>
    <w:rsid w:val="00233C9A"/>
    <w:rsid w:val="00245B86"/>
    <w:rsid w:val="00252250"/>
    <w:rsid w:val="00261ED0"/>
    <w:rsid w:val="00294D25"/>
    <w:rsid w:val="002B10D2"/>
    <w:rsid w:val="002B204B"/>
    <w:rsid w:val="002C2AD6"/>
    <w:rsid w:val="002E11EC"/>
    <w:rsid w:val="002E7992"/>
    <w:rsid w:val="002F6777"/>
    <w:rsid w:val="00313B7B"/>
    <w:rsid w:val="003315DC"/>
    <w:rsid w:val="0033588D"/>
    <w:rsid w:val="00336BCC"/>
    <w:rsid w:val="003431C0"/>
    <w:rsid w:val="00357F87"/>
    <w:rsid w:val="003626C7"/>
    <w:rsid w:val="00371C63"/>
    <w:rsid w:val="0038753D"/>
    <w:rsid w:val="003975E9"/>
    <w:rsid w:val="003A007F"/>
    <w:rsid w:val="003A5180"/>
    <w:rsid w:val="003C6A86"/>
    <w:rsid w:val="003D5418"/>
    <w:rsid w:val="003D7228"/>
    <w:rsid w:val="004100D6"/>
    <w:rsid w:val="00411050"/>
    <w:rsid w:val="00420A28"/>
    <w:rsid w:val="00421112"/>
    <w:rsid w:val="00433157"/>
    <w:rsid w:val="0044556D"/>
    <w:rsid w:val="004647F2"/>
    <w:rsid w:val="00465E94"/>
    <w:rsid w:val="00475BFC"/>
    <w:rsid w:val="004A49C7"/>
    <w:rsid w:val="004B1290"/>
    <w:rsid w:val="004D0EF0"/>
    <w:rsid w:val="004D5E13"/>
    <w:rsid w:val="004D7CE0"/>
    <w:rsid w:val="004E447B"/>
    <w:rsid w:val="005040B5"/>
    <w:rsid w:val="00512F04"/>
    <w:rsid w:val="00525859"/>
    <w:rsid w:val="00527F0C"/>
    <w:rsid w:val="00534316"/>
    <w:rsid w:val="00537E2D"/>
    <w:rsid w:val="00543306"/>
    <w:rsid w:val="00545935"/>
    <w:rsid w:val="0056351A"/>
    <w:rsid w:val="00563F80"/>
    <w:rsid w:val="005764F9"/>
    <w:rsid w:val="005A0F97"/>
    <w:rsid w:val="005B4589"/>
    <w:rsid w:val="005C7999"/>
    <w:rsid w:val="005D7F1A"/>
    <w:rsid w:val="005E5994"/>
    <w:rsid w:val="005F33FD"/>
    <w:rsid w:val="0062193A"/>
    <w:rsid w:val="006278B3"/>
    <w:rsid w:val="00630E8B"/>
    <w:rsid w:val="006347C2"/>
    <w:rsid w:val="00637E60"/>
    <w:rsid w:val="0064319F"/>
    <w:rsid w:val="0064517E"/>
    <w:rsid w:val="006542E9"/>
    <w:rsid w:val="0066564D"/>
    <w:rsid w:val="006756F5"/>
    <w:rsid w:val="00692EDE"/>
    <w:rsid w:val="00693FC3"/>
    <w:rsid w:val="00694826"/>
    <w:rsid w:val="006A2F29"/>
    <w:rsid w:val="006E2364"/>
    <w:rsid w:val="006E4612"/>
    <w:rsid w:val="006E550E"/>
    <w:rsid w:val="006F4644"/>
    <w:rsid w:val="00704F8C"/>
    <w:rsid w:val="0071124F"/>
    <w:rsid w:val="0072389A"/>
    <w:rsid w:val="007260C0"/>
    <w:rsid w:val="0074012B"/>
    <w:rsid w:val="00741BB9"/>
    <w:rsid w:val="0075015A"/>
    <w:rsid w:val="0076094F"/>
    <w:rsid w:val="007779E1"/>
    <w:rsid w:val="00790F1A"/>
    <w:rsid w:val="00792059"/>
    <w:rsid w:val="00794E3B"/>
    <w:rsid w:val="007A5F69"/>
    <w:rsid w:val="007B0ABE"/>
    <w:rsid w:val="007B484D"/>
    <w:rsid w:val="007C59C6"/>
    <w:rsid w:val="007D0D34"/>
    <w:rsid w:val="00807640"/>
    <w:rsid w:val="0081150A"/>
    <w:rsid w:val="0082048F"/>
    <w:rsid w:val="0082290F"/>
    <w:rsid w:val="00847776"/>
    <w:rsid w:val="0085618A"/>
    <w:rsid w:val="00884109"/>
    <w:rsid w:val="0089212C"/>
    <w:rsid w:val="008D6BD9"/>
    <w:rsid w:val="008D6E12"/>
    <w:rsid w:val="00911E3E"/>
    <w:rsid w:val="0093482D"/>
    <w:rsid w:val="00980250"/>
    <w:rsid w:val="00980E06"/>
    <w:rsid w:val="009852F3"/>
    <w:rsid w:val="00994B14"/>
    <w:rsid w:val="009B0428"/>
    <w:rsid w:val="009B2D56"/>
    <w:rsid w:val="009B30C9"/>
    <w:rsid w:val="009D31F7"/>
    <w:rsid w:val="009D72D2"/>
    <w:rsid w:val="009F305F"/>
    <w:rsid w:val="00A05DBC"/>
    <w:rsid w:val="00A2230B"/>
    <w:rsid w:val="00A2663B"/>
    <w:rsid w:val="00A34C78"/>
    <w:rsid w:val="00A37DAA"/>
    <w:rsid w:val="00A42434"/>
    <w:rsid w:val="00A57A28"/>
    <w:rsid w:val="00A7587A"/>
    <w:rsid w:val="00A77110"/>
    <w:rsid w:val="00A83E99"/>
    <w:rsid w:val="00AA08C1"/>
    <w:rsid w:val="00AA1F3D"/>
    <w:rsid w:val="00AA7DD5"/>
    <w:rsid w:val="00AB09CF"/>
    <w:rsid w:val="00AB72C9"/>
    <w:rsid w:val="00AC140F"/>
    <w:rsid w:val="00AF55CF"/>
    <w:rsid w:val="00B0228C"/>
    <w:rsid w:val="00B11771"/>
    <w:rsid w:val="00B1704C"/>
    <w:rsid w:val="00B23319"/>
    <w:rsid w:val="00B776F0"/>
    <w:rsid w:val="00BA47CF"/>
    <w:rsid w:val="00BB640A"/>
    <w:rsid w:val="00BD0795"/>
    <w:rsid w:val="00BD1660"/>
    <w:rsid w:val="00BE1F7D"/>
    <w:rsid w:val="00BF4D6B"/>
    <w:rsid w:val="00C017FB"/>
    <w:rsid w:val="00C0297D"/>
    <w:rsid w:val="00C14598"/>
    <w:rsid w:val="00C1632E"/>
    <w:rsid w:val="00C16EB6"/>
    <w:rsid w:val="00C32D90"/>
    <w:rsid w:val="00C4277D"/>
    <w:rsid w:val="00C60D3E"/>
    <w:rsid w:val="00C6118D"/>
    <w:rsid w:val="00C642D5"/>
    <w:rsid w:val="00C732E5"/>
    <w:rsid w:val="00CA65CC"/>
    <w:rsid w:val="00CB3C22"/>
    <w:rsid w:val="00CD25D7"/>
    <w:rsid w:val="00CE05F0"/>
    <w:rsid w:val="00CE06DC"/>
    <w:rsid w:val="00D011BA"/>
    <w:rsid w:val="00D04E81"/>
    <w:rsid w:val="00D10245"/>
    <w:rsid w:val="00D34A46"/>
    <w:rsid w:val="00D47AB4"/>
    <w:rsid w:val="00D56BDF"/>
    <w:rsid w:val="00D67560"/>
    <w:rsid w:val="00DA7964"/>
    <w:rsid w:val="00DC7AF6"/>
    <w:rsid w:val="00DE7F9F"/>
    <w:rsid w:val="00E07BE7"/>
    <w:rsid w:val="00E15515"/>
    <w:rsid w:val="00E17239"/>
    <w:rsid w:val="00E212DD"/>
    <w:rsid w:val="00E32D1E"/>
    <w:rsid w:val="00E477C8"/>
    <w:rsid w:val="00E53AEA"/>
    <w:rsid w:val="00E547A1"/>
    <w:rsid w:val="00E65AC8"/>
    <w:rsid w:val="00E66A18"/>
    <w:rsid w:val="00E71C73"/>
    <w:rsid w:val="00EA0117"/>
    <w:rsid w:val="00EA03BB"/>
    <w:rsid w:val="00EA476C"/>
    <w:rsid w:val="00EC12D0"/>
    <w:rsid w:val="00EC32E7"/>
    <w:rsid w:val="00ED2AEC"/>
    <w:rsid w:val="00ED6DAF"/>
    <w:rsid w:val="00EE2177"/>
    <w:rsid w:val="00F021B4"/>
    <w:rsid w:val="00F44575"/>
    <w:rsid w:val="00F52179"/>
    <w:rsid w:val="00F525AF"/>
    <w:rsid w:val="00F54741"/>
    <w:rsid w:val="00F569D7"/>
    <w:rsid w:val="00F56B3F"/>
    <w:rsid w:val="00F57C35"/>
    <w:rsid w:val="00F62137"/>
    <w:rsid w:val="00F65148"/>
    <w:rsid w:val="00F664F6"/>
    <w:rsid w:val="00F7542D"/>
    <w:rsid w:val="00F92A8D"/>
    <w:rsid w:val="00F95C4A"/>
    <w:rsid w:val="00FB3DE5"/>
    <w:rsid w:val="00FC1286"/>
    <w:rsid w:val="00FC397A"/>
    <w:rsid w:val="00FC3F40"/>
    <w:rsid w:val="00FD3244"/>
    <w:rsid w:val="00FF65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7E7701"/>
  <w15:chartTrackingRefBased/>
  <w15:docId w15:val="{08F06F17-9EAF-44A4-B47A-17E8D69D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03BB"/>
    <w:pPr>
      <w:bidi/>
    </w:pPr>
    <w:rPr>
      <w:rFonts w:cs="Narkisim"/>
      <w:sz w:val="22"/>
      <w:szCs w:val="22"/>
      <w:lang w:eastAsia="he-IL"/>
    </w:rPr>
  </w:style>
  <w:style w:type="paragraph" w:styleId="1">
    <w:name w:val="heading 1"/>
    <w:basedOn w:val="a"/>
    <w:next w:val="a"/>
    <w:link w:val="10"/>
    <w:qFormat/>
    <w:rsid w:val="00EA03BB"/>
    <w:pPr>
      <w:keepNext/>
      <w:tabs>
        <w:tab w:val="right" w:pos="9469"/>
      </w:tabs>
      <w:jc w:val="both"/>
      <w:outlineLvl w:val="0"/>
    </w:pPr>
    <w:rPr>
      <w:rFonts w:cs="David"/>
      <w:b/>
      <w:bCs/>
      <w:szCs w:val="28"/>
    </w:rPr>
  </w:style>
  <w:style w:type="character" w:default="1" w:styleId="a0">
    <w:name w:val="Default Paragraph Font"/>
    <w:uiPriority w:val="1"/>
    <w:semiHidden/>
    <w:unhideWhenUsed/>
    <w:rsid w:val="00EA03B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A03BB"/>
  </w:style>
  <w:style w:type="paragraph" w:styleId="a3">
    <w:name w:val="footnote text"/>
    <w:basedOn w:val="a"/>
    <w:link w:val="a4"/>
    <w:rsid w:val="00EA03BB"/>
    <w:pPr>
      <w:ind w:left="170" w:hanging="170"/>
      <w:jc w:val="both"/>
    </w:pPr>
    <w:rPr>
      <w:sz w:val="20"/>
      <w:szCs w:val="20"/>
    </w:rPr>
  </w:style>
  <w:style w:type="character" w:styleId="a5">
    <w:name w:val="footnote reference"/>
    <w:semiHidden/>
    <w:rsid w:val="00EA03BB"/>
    <w:rPr>
      <w:vertAlign w:val="superscript"/>
    </w:rPr>
  </w:style>
  <w:style w:type="paragraph" w:styleId="a6">
    <w:name w:val="header"/>
    <w:basedOn w:val="a"/>
    <w:link w:val="a7"/>
    <w:rsid w:val="00EA03BB"/>
    <w:pPr>
      <w:tabs>
        <w:tab w:val="center" w:pos="4153"/>
        <w:tab w:val="right" w:pos="8306"/>
      </w:tabs>
    </w:pPr>
  </w:style>
  <w:style w:type="paragraph" w:styleId="a8">
    <w:name w:val="footer"/>
    <w:basedOn w:val="a"/>
    <w:link w:val="a9"/>
    <w:rsid w:val="00EA03BB"/>
    <w:pPr>
      <w:tabs>
        <w:tab w:val="center" w:pos="4153"/>
        <w:tab w:val="right" w:pos="8306"/>
      </w:tabs>
    </w:pPr>
  </w:style>
  <w:style w:type="paragraph" w:customStyle="1" w:styleId="aa">
    <w:name w:val="כותרת"/>
    <w:basedOn w:val="a"/>
    <w:rsid w:val="00EA03BB"/>
    <w:pPr>
      <w:spacing w:before="240" w:line="320" w:lineRule="atLeast"/>
      <w:jc w:val="center"/>
    </w:pPr>
    <w:rPr>
      <w:rFonts w:cs="David"/>
      <w:b/>
      <w:bCs/>
      <w:spacing w:val="20"/>
      <w:szCs w:val="32"/>
    </w:rPr>
  </w:style>
  <w:style w:type="paragraph" w:customStyle="1" w:styleId="ab">
    <w:name w:val="כותרת קטע"/>
    <w:basedOn w:val="a"/>
    <w:rsid w:val="00EA03BB"/>
    <w:pPr>
      <w:spacing w:before="240" w:line="300" w:lineRule="atLeast"/>
    </w:pPr>
    <w:rPr>
      <w:rFonts w:cs="Arial"/>
      <w:b/>
      <w:bCs/>
      <w:szCs w:val="24"/>
    </w:rPr>
  </w:style>
  <w:style w:type="paragraph" w:customStyle="1" w:styleId="ac">
    <w:name w:val="מקור"/>
    <w:basedOn w:val="a"/>
    <w:rsid w:val="00EA03BB"/>
    <w:pPr>
      <w:spacing w:line="320" w:lineRule="atLeast"/>
      <w:jc w:val="both"/>
    </w:pPr>
    <w:rPr>
      <w:rFonts w:cs="David"/>
      <w:szCs w:val="24"/>
    </w:rPr>
  </w:style>
  <w:style w:type="paragraph" w:customStyle="1" w:styleId="ad">
    <w:name w:val="מחלקי המים"/>
    <w:basedOn w:val="a"/>
    <w:rsid w:val="00EA03BB"/>
    <w:pPr>
      <w:spacing w:line="320" w:lineRule="atLeast"/>
      <w:jc w:val="both"/>
    </w:pPr>
    <w:rPr>
      <w:b/>
      <w:bCs/>
      <w:szCs w:val="24"/>
    </w:rPr>
  </w:style>
  <w:style w:type="paragraph" w:styleId="ae">
    <w:name w:val="Balloon Text"/>
    <w:basedOn w:val="a"/>
    <w:link w:val="af"/>
    <w:uiPriority w:val="99"/>
    <w:semiHidden/>
    <w:unhideWhenUsed/>
    <w:rsid w:val="00EA03BB"/>
    <w:rPr>
      <w:rFonts w:ascii="Tahoma" w:hAnsi="Tahoma" w:cs="Tahoma"/>
      <w:sz w:val="16"/>
      <w:szCs w:val="16"/>
    </w:rPr>
  </w:style>
  <w:style w:type="character" w:styleId="af0">
    <w:name w:val="page number"/>
    <w:rsid w:val="009D72D2"/>
  </w:style>
  <w:style w:type="character" w:customStyle="1" w:styleId="a9">
    <w:name w:val="כותרת תחתונה תו"/>
    <w:link w:val="a8"/>
    <w:rsid w:val="00EA03BB"/>
    <w:rPr>
      <w:rFonts w:cs="Narkisim"/>
      <w:sz w:val="22"/>
      <w:szCs w:val="22"/>
      <w:lang w:eastAsia="he-IL"/>
    </w:rPr>
  </w:style>
  <w:style w:type="character" w:customStyle="1" w:styleId="a4">
    <w:name w:val="טקסט הערת שוליים תו"/>
    <w:link w:val="a3"/>
    <w:rsid w:val="00EA03BB"/>
    <w:rPr>
      <w:rFonts w:cs="Narkisim"/>
      <w:lang w:eastAsia="he-IL"/>
    </w:rPr>
  </w:style>
  <w:style w:type="character" w:customStyle="1" w:styleId="10">
    <w:name w:val="כותרת 1 תו"/>
    <w:link w:val="1"/>
    <w:rsid w:val="00EA03BB"/>
    <w:rPr>
      <w:rFonts w:cs="David"/>
      <w:b/>
      <w:bCs/>
      <w:sz w:val="22"/>
      <w:szCs w:val="28"/>
      <w:lang w:eastAsia="he-IL"/>
    </w:rPr>
  </w:style>
  <w:style w:type="character" w:customStyle="1" w:styleId="a7">
    <w:name w:val="כותרת עליונה תו"/>
    <w:link w:val="a6"/>
    <w:rsid w:val="00EA03BB"/>
    <w:rPr>
      <w:rFonts w:cs="Narkisim"/>
      <w:sz w:val="22"/>
      <w:szCs w:val="22"/>
      <w:lang w:eastAsia="he-IL"/>
    </w:rPr>
  </w:style>
  <w:style w:type="character" w:styleId="Hyperlink">
    <w:name w:val="Hyperlink"/>
    <w:rsid w:val="00EA03BB"/>
    <w:rPr>
      <w:color w:val="0000FF"/>
      <w:u w:val="single"/>
    </w:rPr>
  </w:style>
  <w:style w:type="character" w:customStyle="1" w:styleId="af">
    <w:name w:val="טקסט בלונים תו"/>
    <w:link w:val="ae"/>
    <w:uiPriority w:val="99"/>
    <w:semiHidden/>
    <w:rsid w:val="00EA03BB"/>
    <w:rPr>
      <w:rFonts w:ascii="Tahoma" w:hAnsi="Tahoma" w:cs="Tahoma"/>
      <w:sz w:val="16"/>
      <w:szCs w:val="16"/>
      <w:lang w:eastAsia="he-IL"/>
    </w:rPr>
  </w:style>
  <w:style w:type="paragraph" w:customStyle="1" w:styleId="af1">
    <w:name w:val="פסוק"/>
    <w:basedOn w:val="ac"/>
    <w:qFormat/>
    <w:rsid w:val="00EA03BB"/>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A1%D7%99%D7%A0%D7%99-%D7%90%D7%95-%D7%A2%D7%95%D7%A7%D7%A8-%D7%94%D7%A8%D7%99%D7%9D-%D7%A1%D7%95%D7%93%D7%A8%D7%9F-%D7%90%D7%95-%D7%A4%D7%99%D7%9C%D7%A4%D7%9C%D7%9F" TargetMode="External"/><Relationship Id="rId3" Type="http://schemas.openxmlformats.org/officeDocument/2006/relationships/hyperlink" Target="https://www.mayim.org.il/?parasha=%D7%9C%D7%90-%D7%A9%D7%9E%D7%A2%D7%AA%D7%99-%D7%A9%D7%9B%D7%97%D7%AA%D7%99-%D7%98%D7%A2%D7%99%D7%AA%D7%99" TargetMode="External"/><Relationship Id="rId7" Type="http://schemas.openxmlformats.org/officeDocument/2006/relationships/hyperlink" Target="http://www.mayim.org.il/?parasha=%D7%91%D7%A9%D7%91%D7%97%D7%94-%D7%A9%D7%9C-%D7%94%D7%90%D7%92%D7%93%D7%94" TargetMode="External"/><Relationship Id="rId2" Type="http://schemas.openxmlformats.org/officeDocument/2006/relationships/hyperlink" Target="https://www.mayim.org.il/?parasha=%D7%94%D7%97%D7%A6%D7%99-%D7%94%D7%A9%D7%A0%D7%99-%D7%A9%D7%9C-%D7%94%D7%A4%D7%A8%D7%A9%D7%941" TargetMode="External"/><Relationship Id="rId1" Type="http://schemas.openxmlformats.org/officeDocument/2006/relationships/hyperlink" Target="http://www.mayim.org.il/?parasha=%D7%95%D7%9B%D7%99-%D7%AA%D7%A9%D7%92%D7%95" TargetMode="External"/><Relationship Id="rId6" Type="http://schemas.openxmlformats.org/officeDocument/2006/relationships/hyperlink" Target="http://www.mayim.org.il/?parasha=%D7%9B%D6%BC%D6%B7%D7%9E%D6%BC%D6%B8%D7%98%D6%B8%D7%A8-%D7%9C%D6%B4%D7%A7%D6%B0%D7%97%D6%B4%D7%99-%D7%9B%D6%BC%D6%B7%D7%98%D6%BC%D6%B7%D7%9C-%D7%90%D6%B4%D7%9E%D6%B0%D7%A8%D6%B8%D7%AA%D6%B4%D7%99" TargetMode="External"/><Relationship Id="rId11" Type="http://schemas.openxmlformats.org/officeDocument/2006/relationships/hyperlink" Target="https://www.mayim.org.il/?parasha=%D7%9C%D7%90-%D7%A9%D7%9E%D7%A2%D7%AA%D7%99-%D7%A9%D7%9B%D7%97%D7%AA%D7%99-%D7%98%D7%A2%D7%99%D7%AA%D7%99" TargetMode="External"/><Relationship Id="rId5" Type="http://schemas.openxmlformats.org/officeDocument/2006/relationships/hyperlink" Target="http://www.mayim.org.il/?parasha=%d7%a2%d7%9c-%d7%99%d7%9e%d7%99%d7%9f-%d7%a9%d7%94%d7%95%d7%90-%d7%a9%d7%9e%d7%90%d7%9c-%d7%95%d7%a2%d7%9c-%d7%a9%d7%9e%d7%90%d7%9c-%d7%a9%d7%94%d7%95%d7%90-%d7%99%d7%9e%d7%99%d7%9f" TargetMode="External"/><Relationship Id="rId10" Type="http://schemas.openxmlformats.org/officeDocument/2006/relationships/hyperlink" Target="https://www.mayim.org.il/?parasha=%D7%90%D7%A9%D7%A8-%D7%A0%D7%A9%D7%99%D7%90-%D7%99%D7%97%D7%98%D7%90" TargetMode="External"/><Relationship Id="rId4" Type="http://schemas.openxmlformats.org/officeDocument/2006/relationships/hyperlink" Target="http://www.mayim.org.il/?parasha=%D7%96%D7%A7%D7%9F-%D7%9E%D7%9E%D7%A8%D7%901" TargetMode="External"/><Relationship Id="rId9" Type="http://schemas.openxmlformats.org/officeDocument/2006/relationships/hyperlink" Target="http://en.wikipedia.org/wiki/Halley's_Com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33711-F8A7-4D4D-8722-F48EEE1B0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980</Words>
  <Characters>4900</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קרבן מנחה לה'</vt:lpstr>
      <vt:lpstr>קרבן מנחה לה'</vt:lpstr>
    </vt:vector>
  </TitlesOfParts>
  <Company>Microsoft</Company>
  <LinksUpToDate>false</LinksUpToDate>
  <CharactersWithSpaces>5869</CharactersWithSpaces>
  <SharedDoc>false</SharedDoc>
  <HLinks>
    <vt:vector size="66" baseType="variant">
      <vt:variant>
        <vt:i4>6750248</vt:i4>
      </vt:variant>
      <vt:variant>
        <vt:i4>30</vt:i4>
      </vt:variant>
      <vt:variant>
        <vt:i4>0</vt:i4>
      </vt:variant>
      <vt:variant>
        <vt:i4>5</vt:i4>
      </vt:variant>
      <vt:variant>
        <vt:lpwstr>https://www.mayim.org.il/?parasha=%D7%9C%D7%90-%D7%A9%D7%9E%D7%A2%D7%AA%D7%99-%D7%A9%D7%9B%D7%97%D7%AA%D7%99-%D7%98%D7%A2%D7%99%D7%AA%D7%99</vt:lpwstr>
      </vt:variant>
      <vt:variant>
        <vt:lpwstr/>
      </vt:variant>
      <vt:variant>
        <vt:i4>7274593</vt:i4>
      </vt:variant>
      <vt:variant>
        <vt:i4>27</vt:i4>
      </vt:variant>
      <vt:variant>
        <vt:i4>0</vt:i4>
      </vt:variant>
      <vt:variant>
        <vt:i4>5</vt:i4>
      </vt:variant>
      <vt:variant>
        <vt:lpwstr>https://www.mayim.org.il/?parasha=%D7%90%D7%A9%D7%A8-%D7%A0%D7%A9%D7%99%D7%90-%D7%99%D7%97%D7%98%D7%90</vt:lpwstr>
      </vt:variant>
      <vt:variant>
        <vt:lpwstr/>
      </vt:variant>
      <vt:variant>
        <vt:i4>786492</vt:i4>
      </vt:variant>
      <vt:variant>
        <vt:i4>24</vt:i4>
      </vt:variant>
      <vt:variant>
        <vt:i4>0</vt:i4>
      </vt:variant>
      <vt:variant>
        <vt:i4>5</vt:i4>
      </vt:variant>
      <vt:variant>
        <vt:lpwstr>http://en.wikipedia.org/wiki/Halley's_Comet</vt:lpwstr>
      </vt:variant>
      <vt:variant>
        <vt:lpwstr/>
      </vt:variant>
      <vt:variant>
        <vt:i4>5177357</vt:i4>
      </vt:variant>
      <vt:variant>
        <vt:i4>21</vt:i4>
      </vt:variant>
      <vt:variant>
        <vt:i4>0</vt:i4>
      </vt:variant>
      <vt:variant>
        <vt:i4>5</vt:i4>
      </vt:variant>
      <vt:variant>
        <vt:lpwstr>https://www.mayim.org.il/?meyuhadim=%D7%A1%D7%99%D7%A0%D7%99-%D7%90%D7%95-%D7%A2%D7%95%D7%A7%D7%A8-%D7%94%D7%A8%D7%99%D7%9D-%D7%A1%D7%95%D7%93%D7%A8%D7%9F-%D7%90%D7%95-%D7%A4%D7%99%D7%9C%D7%A4%D7%9C%D7%9F</vt:lpwstr>
      </vt:variant>
      <vt:variant>
        <vt:lpwstr/>
      </vt:variant>
      <vt:variant>
        <vt:i4>2293862</vt:i4>
      </vt:variant>
      <vt:variant>
        <vt:i4>18</vt:i4>
      </vt:variant>
      <vt:variant>
        <vt:i4>0</vt:i4>
      </vt:variant>
      <vt:variant>
        <vt:i4>5</vt:i4>
      </vt:variant>
      <vt:variant>
        <vt:lpwstr>http://www.mayim.org.il/?parasha=%D7%91%D7%A9%D7%91%D7%97%D7%94-%D7%A9%D7%9C-%D7%94%D7%90%D7%92%D7%93%D7%94</vt:lpwstr>
      </vt:variant>
      <vt:variant>
        <vt:lpwstr/>
      </vt:variant>
      <vt:variant>
        <vt:i4>5832714</vt:i4>
      </vt:variant>
      <vt:variant>
        <vt:i4>15</vt:i4>
      </vt:variant>
      <vt:variant>
        <vt:i4>0</vt:i4>
      </vt:variant>
      <vt:variant>
        <vt:i4>5</vt:i4>
      </vt:variant>
      <vt:variant>
        <vt:lpwstr>http://www.mayim.org.il/?parasha=%D7%9B%D6%BC%D6%B7%D7%9E%D6%BC%D6%B8%D7%98%D6%B8%D7%A8-%D7%9C%D6%B4%D7%A7%D6%B0%D7%97%D6%B4%D7%99-%D7%9B%D6%BC%D6%B7%D7%98%D6%BC%D6%B7%D7%9C-%D7%90%D6%B4%D7%9E%D6%B0%D7%A8%D6%B8%D7%AA%D6%B4%D7%99</vt:lpwstr>
      </vt:variant>
      <vt:variant>
        <vt:lpwstr/>
      </vt:variant>
      <vt:variant>
        <vt:i4>2556021</vt:i4>
      </vt:variant>
      <vt:variant>
        <vt:i4>12</vt:i4>
      </vt:variant>
      <vt:variant>
        <vt:i4>0</vt:i4>
      </vt:variant>
      <vt:variant>
        <vt:i4>5</vt:i4>
      </vt:variant>
      <vt:variant>
        <vt:lpwstr>http://www.mayim.org.il/?parasha=%d7%a2%d7%9c-%d7%99%d7%9e%d7%99%d7%9f-%d7%a9%d7%94%d7%95%d7%90-%d7%a9%d7%9e%d7%90%d7%9c-%d7%95%d7%a2%d7%9c-%d7%a9%d7%9e%d7%90%d7%9c-%d7%a9%d7%94%d7%95%d7%90-%d7%99%d7%9e%d7%99%d7%9f</vt:lpwstr>
      </vt:variant>
      <vt:variant>
        <vt:lpwstr/>
      </vt:variant>
      <vt:variant>
        <vt:i4>5898322</vt:i4>
      </vt:variant>
      <vt:variant>
        <vt:i4>9</vt:i4>
      </vt:variant>
      <vt:variant>
        <vt:i4>0</vt:i4>
      </vt:variant>
      <vt:variant>
        <vt:i4>5</vt:i4>
      </vt:variant>
      <vt:variant>
        <vt:lpwstr>http://www.mayim.org.il/?parasha=%D7%96%D7%A7%D7%9F-%D7%9E%D7%9E%D7%A8%D7%901</vt:lpwstr>
      </vt:variant>
      <vt:variant>
        <vt:lpwstr/>
      </vt:variant>
      <vt:variant>
        <vt:i4>6750248</vt:i4>
      </vt:variant>
      <vt:variant>
        <vt:i4>6</vt:i4>
      </vt:variant>
      <vt:variant>
        <vt:i4>0</vt:i4>
      </vt:variant>
      <vt:variant>
        <vt:i4>5</vt:i4>
      </vt:variant>
      <vt:variant>
        <vt:lpwstr>https://www.mayim.org.il/?parasha=%D7%9C%D7%90-%D7%A9%D7%9E%D7%A2%D7%AA%D7%99-%D7%A9%D7%9B%D7%97%D7%AA%D7%99-%D7%98%D7%A2%D7%99%D7%AA%D7%99</vt:lpwstr>
      </vt:variant>
      <vt:variant>
        <vt:lpwstr/>
      </vt:variant>
      <vt:variant>
        <vt:i4>851991</vt:i4>
      </vt:variant>
      <vt:variant>
        <vt:i4>3</vt:i4>
      </vt:variant>
      <vt:variant>
        <vt:i4>0</vt:i4>
      </vt:variant>
      <vt:variant>
        <vt:i4>5</vt:i4>
      </vt:variant>
      <vt:variant>
        <vt:lpwstr>https://www.mayim.org.il/?parasha=%D7%94%D7%97%D7%A6%D7%99-%D7%94%D7%A9%D7%A0%D7%99-%D7%A9%D7%9C-%D7%94%D7%A4%D7%A8%D7%A9%D7%941</vt:lpwstr>
      </vt:variant>
      <vt:variant>
        <vt:lpwstr/>
      </vt:variant>
      <vt:variant>
        <vt:i4>5570563</vt:i4>
      </vt:variant>
      <vt:variant>
        <vt:i4>0</vt:i4>
      </vt:variant>
      <vt:variant>
        <vt:i4>0</vt:i4>
      </vt:variant>
      <vt:variant>
        <vt:i4>5</vt:i4>
      </vt:variant>
      <vt:variant>
        <vt:lpwstr>http://www.mayim.org.il/?parasha=%D7%95%D7%9B%D7%99-%D7%AA%D7%A9%D7%92%D7%95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אם כל עדת ישראל ישגו</dc:title>
  <dc:subject>ויקרא</dc:subject>
  <dc:creator>אשר יובל</dc:creator>
  <cp:keywords/>
  <cp:lastModifiedBy>Shimon Afek</cp:lastModifiedBy>
  <cp:revision>2</cp:revision>
  <cp:lastPrinted>2015-03-25T14:08:00Z</cp:lastPrinted>
  <dcterms:created xsi:type="dcterms:W3CDTF">2021-02-25T06:44:00Z</dcterms:created>
  <dcterms:modified xsi:type="dcterms:W3CDTF">2021-02-25T06:44:00Z</dcterms:modified>
</cp:coreProperties>
</file>