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D26F" w14:textId="77777777" w:rsidR="002C37FD" w:rsidRDefault="002C37FD" w:rsidP="002C37FD">
      <w:pPr>
        <w:pStyle w:val="aa"/>
        <w:rPr>
          <w:rFonts w:hint="cs"/>
          <w:rtl/>
        </w:rPr>
      </w:pPr>
      <w:r>
        <w:rPr>
          <w:rFonts w:hint="cs"/>
          <w:rtl/>
        </w:rPr>
        <w:t xml:space="preserve">חדשים גם ישנים </w:t>
      </w:r>
      <w:r>
        <w:rPr>
          <w:rtl/>
        </w:rPr>
        <w:t>–</w:t>
      </w:r>
      <w:r>
        <w:rPr>
          <w:rFonts w:hint="cs"/>
          <w:rtl/>
        </w:rPr>
        <w:t xml:space="preserve"> נספח</w:t>
      </w:r>
    </w:p>
    <w:p w14:paraId="37839922" w14:textId="77777777" w:rsidR="002C37FD" w:rsidRPr="000502B0" w:rsidRDefault="002C37FD" w:rsidP="006F5C75">
      <w:pPr>
        <w:pStyle w:val="ab"/>
        <w:tabs>
          <w:tab w:val="left" w:pos="505"/>
        </w:tabs>
        <w:jc w:val="both"/>
        <w:rPr>
          <w:rFonts w:cs="Narkisim" w:hint="cs"/>
          <w:b w:val="0"/>
          <w:bCs w:val="0"/>
          <w:szCs w:val="22"/>
          <w:rtl/>
        </w:rPr>
      </w:pPr>
      <w:r w:rsidRPr="002C37FD">
        <w:rPr>
          <w:rFonts w:cs="Narkisim" w:hint="cs"/>
          <w:szCs w:val="22"/>
          <w:rtl/>
        </w:rPr>
        <w:t>מים ראשונים:</w:t>
      </w:r>
      <w:r w:rsidRPr="002C37FD">
        <w:rPr>
          <w:rFonts w:cs="Narkisim" w:hint="cs"/>
          <w:b w:val="0"/>
          <w:bCs w:val="0"/>
          <w:szCs w:val="22"/>
          <w:rtl/>
        </w:rPr>
        <w:t xml:space="preserve"> דף זה הוא נספח לדף </w:t>
      </w:r>
      <w:hyperlink r:id="rId8" w:history="1">
        <w:r w:rsidRPr="006F5C75">
          <w:rPr>
            <w:rStyle w:val="Hyperlink"/>
            <w:rFonts w:cs="Narkisim" w:hint="cs"/>
            <w:b w:val="0"/>
            <w:bCs w:val="0"/>
            <w:szCs w:val="22"/>
            <w:rtl/>
          </w:rPr>
          <w:t>חדשים גם ישנים</w:t>
        </w:r>
        <w:r w:rsidR="006F5C75" w:rsidRPr="006F5C75">
          <w:rPr>
            <w:rStyle w:val="Hyperlink"/>
            <w:rFonts w:cs="Narkisim" w:hint="cs"/>
            <w:b w:val="0"/>
            <w:bCs w:val="0"/>
            <w:szCs w:val="22"/>
            <w:rtl/>
          </w:rPr>
          <w:t xml:space="preserve"> – ראשונים גם אחרונים</w:t>
        </w:r>
      </w:hyperlink>
      <w:r w:rsidRPr="002C37FD">
        <w:rPr>
          <w:rFonts w:cs="Narkisim" w:hint="cs"/>
          <w:b w:val="0"/>
          <w:bCs w:val="0"/>
          <w:szCs w:val="22"/>
          <w:rtl/>
        </w:rPr>
        <w:t xml:space="preserve"> ומביא בתמצית מקורות נוספים שקשורים לנושא. מומלץ כמובן לעיין תחילה בדף הראשי ואח"כ בנספח זה.</w:t>
      </w:r>
      <w:r w:rsidR="00194334">
        <w:rPr>
          <w:rFonts w:hint="cs"/>
          <w:b w:val="0"/>
          <w:bCs w:val="0"/>
          <w:szCs w:val="22"/>
          <w:rtl/>
          <w:lang w:val="he-IL"/>
        </w:rPr>
        <w:t xml:space="preserve"> </w:t>
      </w:r>
      <w:r w:rsidR="00194334" w:rsidRPr="000502B0">
        <w:rPr>
          <w:rFonts w:cs="Narkisim" w:hint="cs"/>
          <w:b w:val="0"/>
          <w:bCs w:val="0"/>
          <w:szCs w:val="22"/>
          <w:rtl/>
        </w:rPr>
        <w:t xml:space="preserve">ברשימת המקורות כמו גם בדף הראשי, נעזרנו רבות בספרו של </w:t>
      </w:r>
      <w:hyperlink r:id="rId9" w:history="1">
        <w:r w:rsidR="000502B0" w:rsidRPr="000502B0">
          <w:rPr>
            <w:rStyle w:val="Hyperlink"/>
            <w:rFonts w:cs="Narkisim" w:hint="cs"/>
            <w:b w:val="0"/>
            <w:bCs w:val="0"/>
            <w:szCs w:val="22"/>
            <w:rtl/>
          </w:rPr>
          <w:t>אברהם מלמד, על כתפי ענקים</w:t>
        </w:r>
      </w:hyperlink>
      <w:r w:rsidR="000502B0" w:rsidRPr="000502B0">
        <w:rPr>
          <w:rFonts w:cs="Narkisim" w:hint="cs"/>
          <w:b w:val="0"/>
          <w:bCs w:val="0"/>
          <w:szCs w:val="22"/>
          <w:rtl/>
        </w:rPr>
        <w:t>.</w:t>
      </w:r>
      <w:r w:rsidRPr="000502B0">
        <w:rPr>
          <w:rFonts w:cs="Narkisim" w:hint="cs"/>
          <w:b w:val="0"/>
          <w:bCs w:val="0"/>
          <w:szCs w:val="22"/>
          <w:rtl/>
        </w:rPr>
        <w:t xml:space="preserve"> </w:t>
      </w:r>
    </w:p>
    <w:p w14:paraId="4E9678A7" w14:textId="77777777" w:rsidR="00194334" w:rsidRDefault="00194334" w:rsidP="006F5C75">
      <w:pPr>
        <w:pStyle w:val="ab"/>
        <w:tabs>
          <w:tab w:val="left" w:pos="505"/>
        </w:tabs>
        <w:jc w:val="both"/>
        <w:rPr>
          <w:rFonts w:hint="cs"/>
          <w:rtl/>
          <w:lang w:val="he-IL"/>
        </w:rPr>
      </w:pPr>
      <w:r w:rsidRPr="003D4D8A">
        <w:rPr>
          <w:rtl/>
          <w:lang w:val="he-IL"/>
        </w:rPr>
        <w:t>מסכת תמורה טו ע</w:t>
      </w:r>
      <w:r>
        <w:rPr>
          <w:rFonts w:hint="cs"/>
          <w:rtl/>
          <w:lang w:val="he-IL"/>
        </w:rPr>
        <w:t>"ב</w:t>
      </w:r>
    </w:p>
    <w:p w14:paraId="7D9F8D8F" w14:textId="77777777" w:rsidR="00194334" w:rsidRPr="002C37FD" w:rsidRDefault="00194334" w:rsidP="00194334">
      <w:pPr>
        <w:pStyle w:val="ac"/>
        <w:rPr>
          <w:rFonts w:hint="cs"/>
          <w:b/>
          <w:bCs/>
          <w:szCs w:val="22"/>
          <w:rtl/>
          <w:lang w:val="he-IL"/>
        </w:rPr>
      </w:pPr>
      <w:r>
        <w:rPr>
          <w:rtl/>
          <w:lang w:val="he-IL"/>
        </w:rPr>
        <w:t xml:space="preserve">תנן התם: משמת יוסף בן יועזר איש צרידה ויוסף בן יוחנן איש ירושלים בטלו האשכולות </w:t>
      </w:r>
      <w:r>
        <w:rPr>
          <w:rFonts w:hint="cs"/>
          <w:rtl/>
          <w:lang w:val="he-IL"/>
        </w:rPr>
        <w:t xml:space="preserve">- </w:t>
      </w:r>
      <w:r>
        <w:rPr>
          <w:rtl/>
          <w:lang w:val="he-IL"/>
        </w:rPr>
        <w:t>איש שהכל בו</w:t>
      </w:r>
      <w:r>
        <w:rPr>
          <w:rFonts w:hint="cs"/>
          <w:rtl/>
          <w:lang w:val="he-IL"/>
        </w:rPr>
        <w:t>.</w:t>
      </w:r>
      <w:r>
        <w:rPr>
          <w:rStyle w:val="a5"/>
          <w:b/>
          <w:bCs/>
          <w:szCs w:val="22"/>
          <w:rtl/>
          <w:lang w:val="he-IL"/>
        </w:rPr>
        <w:footnoteReference w:id="1"/>
      </w:r>
    </w:p>
    <w:p w14:paraId="6D06A08E" w14:textId="77777777" w:rsidR="002C37FD" w:rsidRPr="00E64C44" w:rsidRDefault="002C37FD" w:rsidP="002C37FD">
      <w:pPr>
        <w:pStyle w:val="ab"/>
        <w:rPr>
          <w:rFonts w:hint="cs"/>
          <w:rtl/>
          <w:lang w:val="he-IL"/>
        </w:rPr>
      </w:pPr>
      <w:r w:rsidRPr="00E64C44">
        <w:rPr>
          <w:rFonts w:hint="cs"/>
          <w:rtl/>
          <w:lang w:val="he-IL"/>
        </w:rPr>
        <w:t xml:space="preserve">רש"י בפירושו לגמרא חולין דף ז ע"א </w:t>
      </w:r>
      <w:r w:rsidRPr="00E64C44">
        <w:rPr>
          <w:rtl/>
          <w:lang w:val="he-IL"/>
        </w:rPr>
        <w:t>–</w:t>
      </w:r>
      <w:r w:rsidRPr="00E64C44">
        <w:rPr>
          <w:rFonts w:hint="cs"/>
          <w:rtl/>
          <w:lang w:val="he-IL"/>
        </w:rPr>
        <w:t xml:space="preserve"> מדוע רק בימי חזקיהו כותת נחש הנחושת</w:t>
      </w:r>
    </w:p>
    <w:p w14:paraId="324A604C" w14:textId="77777777" w:rsidR="002C37FD" w:rsidRPr="004223A1" w:rsidRDefault="000502B0" w:rsidP="000502B0">
      <w:pPr>
        <w:pStyle w:val="ac"/>
        <w:rPr>
          <w:rtl/>
        </w:rPr>
      </w:pPr>
      <w:r>
        <w:rPr>
          <w:rFonts w:hint="cs"/>
          <w:rtl/>
        </w:rPr>
        <w:t xml:space="preserve">גמרא: </w:t>
      </w:r>
      <w:r w:rsidR="002C37FD" w:rsidRPr="004223A1">
        <w:rPr>
          <w:rFonts w:hint="cs"/>
          <w:rtl/>
        </w:rPr>
        <w:t>מקום הניחו לו אבותיו להתגדר בו</w:t>
      </w:r>
      <w:r>
        <w:rPr>
          <w:rFonts w:hint="cs"/>
          <w:rtl/>
        </w:rPr>
        <w:t xml:space="preserve">. פירוש רש"י: </w:t>
      </w:r>
      <w:r w:rsidR="002C37FD" w:rsidRPr="004223A1">
        <w:rPr>
          <w:rFonts w:hint="eastAsia"/>
          <w:rtl/>
        </w:rPr>
        <w:t>כשיב</w:t>
      </w:r>
      <w:r w:rsidR="002C37FD" w:rsidRPr="004223A1">
        <w:rPr>
          <w:rFonts w:hint="cs"/>
          <w:rtl/>
        </w:rPr>
        <w:t>ו</w:t>
      </w:r>
      <w:r w:rsidR="002C37FD" w:rsidRPr="004223A1">
        <w:rPr>
          <w:rFonts w:hint="eastAsia"/>
          <w:rtl/>
        </w:rPr>
        <w:t>או</w:t>
      </w:r>
      <w:r w:rsidR="002C37FD" w:rsidRPr="004223A1">
        <w:rPr>
          <w:rtl/>
        </w:rPr>
        <w:t xml:space="preserve"> </w:t>
      </w:r>
      <w:r w:rsidR="002C37FD" w:rsidRPr="004223A1">
        <w:rPr>
          <w:rFonts w:hint="eastAsia"/>
          <w:rtl/>
        </w:rPr>
        <w:t>בנינו</w:t>
      </w:r>
      <w:r w:rsidR="002C37FD" w:rsidRPr="004223A1">
        <w:rPr>
          <w:rtl/>
        </w:rPr>
        <w:t xml:space="preserve"> </w:t>
      </w:r>
      <w:r w:rsidR="002C37FD" w:rsidRPr="004223A1">
        <w:rPr>
          <w:rFonts w:hint="eastAsia"/>
          <w:rtl/>
        </w:rPr>
        <w:t>אחרינו</w:t>
      </w:r>
      <w:r w:rsidR="002C37FD" w:rsidRPr="004223A1">
        <w:rPr>
          <w:rFonts w:hint="cs"/>
          <w:rtl/>
        </w:rPr>
        <w:t>,</w:t>
      </w:r>
      <w:r w:rsidR="002C37FD" w:rsidRPr="004223A1">
        <w:rPr>
          <w:rtl/>
        </w:rPr>
        <w:t xml:space="preserve"> </w:t>
      </w:r>
      <w:r w:rsidR="002C37FD" w:rsidRPr="004223A1">
        <w:rPr>
          <w:rFonts w:hint="eastAsia"/>
          <w:rtl/>
        </w:rPr>
        <w:t>אם</w:t>
      </w:r>
      <w:r w:rsidR="002C37FD" w:rsidRPr="004223A1">
        <w:rPr>
          <w:rtl/>
        </w:rPr>
        <w:t xml:space="preserve"> </w:t>
      </w:r>
      <w:r w:rsidR="002C37FD" w:rsidRPr="004223A1">
        <w:rPr>
          <w:rFonts w:hint="eastAsia"/>
          <w:rtl/>
        </w:rPr>
        <w:t>לא</w:t>
      </w:r>
      <w:r w:rsidR="002C37FD" w:rsidRPr="004223A1">
        <w:rPr>
          <w:rtl/>
        </w:rPr>
        <w:t xml:space="preserve"> </w:t>
      </w:r>
      <w:r w:rsidR="002C37FD" w:rsidRPr="004223A1">
        <w:rPr>
          <w:rFonts w:hint="eastAsia"/>
          <w:rtl/>
        </w:rPr>
        <w:t>ימצאו</w:t>
      </w:r>
      <w:r w:rsidR="002C37FD" w:rsidRPr="004223A1">
        <w:rPr>
          <w:rtl/>
        </w:rPr>
        <w:t xml:space="preserve"> </w:t>
      </w:r>
      <w:r w:rsidR="002C37FD" w:rsidRPr="004223A1">
        <w:rPr>
          <w:rFonts w:hint="eastAsia"/>
          <w:rtl/>
        </w:rPr>
        <w:t>מה</w:t>
      </w:r>
      <w:r w:rsidR="002C37FD" w:rsidRPr="004223A1">
        <w:rPr>
          <w:rtl/>
        </w:rPr>
        <w:t xml:space="preserve"> </w:t>
      </w:r>
      <w:r w:rsidR="002C37FD" w:rsidRPr="004223A1">
        <w:rPr>
          <w:rFonts w:hint="eastAsia"/>
          <w:rtl/>
        </w:rPr>
        <w:t>לתקן</w:t>
      </w:r>
      <w:r w:rsidR="002C37FD" w:rsidRPr="004223A1">
        <w:rPr>
          <w:rFonts w:hint="cs"/>
          <w:rtl/>
        </w:rPr>
        <w:t>,</w:t>
      </w:r>
      <w:r w:rsidR="002C37FD" w:rsidRPr="004223A1">
        <w:rPr>
          <w:rtl/>
        </w:rPr>
        <w:t xml:space="preserve"> </w:t>
      </w:r>
      <w:r w:rsidR="002C37FD" w:rsidRPr="004223A1">
        <w:rPr>
          <w:rFonts w:hint="eastAsia"/>
          <w:rtl/>
        </w:rPr>
        <w:t>במה</w:t>
      </w:r>
      <w:r w:rsidR="002C37FD" w:rsidRPr="004223A1">
        <w:rPr>
          <w:rtl/>
        </w:rPr>
        <w:t xml:space="preserve"> </w:t>
      </w:r>
      <w:r w:rsidR="002C37FD" w:rsidRPr="004223A1">
        <w:rPr>
          <w:rFonts w:hint="eastAsia"/>
          <w:rtl/>
        </w:rPr>
        <w:t>יגדל</w:t>
      </w:r>
      <w:r w:rsidR="002C37FD" w:rsidRPr="004223A1">
        <w:rPr>
          <w:rtl/>
        </w:rPr>
        <w:t xml:space="preserve"> </w:t>
      </w:r>
      <w:r w:rsidR="002C37FD" w:rsidRPr="004223A1">
        <w:rPr>
          <w:rFonts w:hint="eastAsia"/>
          <w:rtl/>
        </w:rPr>
        <w:t>שמם</w:t>
      </w:r>
      <w:r w:rsidR="002C37FD" w:rsidRPr="004223A1">
        <w:rPr>
          <w:rFonts w:hint="cs"/>
          <w:rtl/>
        </w:rPr>
        <w:t>?</w:t>
      </w:r>
    </w:p>
    <w:p w14:paraId="6A5D0F0F" w14:textId="77777777" w:rsidR="002C37FD" w:rsidRPr="00E64C44" w:rsidRDefault="002C37FD" w:rsidP="002C37FD">
      <w:pPr>
        <w:pStyle w:val="ab"/>
        <w:rPr>
          <w:rFonts w:hint="cs"/>
          <w:rtl/>
          <w:lang w:val="he-IL"/>
        </w:rPr>
      </w:pPr>
      <w:r w:rsidRPr="00E64C44">
        <w:rPr>
          <w:rFonts w:hint="cs"/>
          <w:rtl/>
          <w:lang w:val="he-IL"/>
        </w:rPr>
        <w:t>רמב"ן בהקדמה להשגותיו על ספר המצוות של הרמב"ם</w:t>
      </w:r>
    </w:p>
    <w:p w14:paraId="0F17AF48" w14:textId="77777777" w:rsidR="002C37FD" w:rsidRPr="004223A1" w:rsidRDefault="002C37FD" w:rsidP="002C37FD">
      <w:pPr>
        <w:pStyle w:val="ac"/>
        <w:rPr>
          <w:rFonts w:hint="cs"/>
          <w:rtl/>
        </w:rPr>
      </w:pPr>
      <w:r w:rsidRPr="004223A1">
        <w:rPr>
          <w:rFonts w:hint="cs"/>
          <w:rtl/>
        </w:rPr>
        <w:t>והנני עם חשקי וחפצי להיות לראשונים תלמיד, לקיים דבריהם ולהעמיד, לעשות אותם לצווארי רביד, ועל ידי צמיד, לא אהיה חמור נושא ספריהם תמיד. אבחר דרכם ואדע ערכם. אך כאשר יכילו רעיוני ... אשפוט למראה עיני. ובהלכה ברורה, לא אשא פנים בתורה. כי ה' יתן חכמה בכל הזמנים ובכל הימים. לא ימנע טוב להולכים בתמים.</w:t>
      </w:r>
    </w:p>
    <w:p w14:paraId="1AAC2829" w14:textId="77777777" w:rsidR="002C37FD" w:rsidRDefault="002C37FD" w:rsidP="002C37FD">
      <w:pPr>
        <w:pStyle w:val="ab"/>
        <w:rPr>
          <w:rFonts w:hint="cs"/>
          <w:rtl/>
          <w:lang w:val="he-IL"/>
        </w:rPr>
      </w:pPr>
      <w:r w:rsidRPr="00E64C44">
        <w:rPr>
          <w:rFonts w:hint="cs"/>
          <w:rtl/>
          <w:lang w:val="he-IL"/>
        </w:rPr>
        <w:t>אייזיק ניוטון:</w:t>
      </w:r>
    </w:p>
    <w:p w14:paraId="598D7FEA" w14:textId="77777777" w:rsidR="002C37FD" w:rsidRDefault="002C37FD" w:rsidP="002C37FD">
      <w:pPr>
        <w:pStyle w:val="ac"/>
        <w:bidi w:val="0"/>
        <w:jc w:val="left"/>
      </w:pPr>
      <w:r w:rsidRPr="004223A1">
        <w:t xml:space="preserve">If I have seen </w:t>
      </w:r>
      <w:proofErr w:type="gramStart"/>
      <w:r w:rsidRPr="004223A1">
        <w:t>further</w:t>
      </w:r>
      <w:proofErr w:type="gramEnd"/>
      <w:r w:rsidRPr="004223A1">
        <w:t xml:space="preserve"> it is by standing on the shoulders of Giants</w:t>
      </w:r>
      <w:r>
        <w:t xml:space="preserve"> </w:t>
      </w:r>
      <w:r w:rsidRPr="004223A1">
        <w:t>–</w:t>
      </w:r>
      <w:r>
        <w:t xml:space="preserve"> </w:t>
      </w:r>
      <w:r w:rsidRPr="004223A1">
        <w:t>Nani gigantum humeris insidentes</w:t>
      </w:r>
    </w:p>
    <w:p w14:paraId="247117BD" w14:textId="77777777" w:rsidR="002C37FD" w:rsidRPr="00876AEC" w:rsidRDefault="002C37FD" w:rsidP="002C37FD">
      <w:pPr>
        <w:pStyle w:val="ac"/>
        <w:rPr>
          <w:lang w:val="en"/>
        </w:rPr>
      </w:pPr>
      <w:r>
        <w:rPr>
          <w:rFonts w:hint="cs"/>
          <w:rtl/>
        </w:rPr>
        <w:t xml:space="preserve">ביטוי זה מובא בראשונה בחיבור </w:t>
      </w:r>
      <w:r>
        <w:t>Metalogicon</w:t>
      </w:r>
      <w:r>
        <w:rPr>
          <w:rFonts w:hint="cs"/>
          <w:rtl/>
        </w:rPr>
        <w:t xml:space="preserve"> של ג'ון מסולסברי. הוא נותן שם את הקרדיט למורו ברנרד משרטר - </w:t>
      </w:r>
      <w:hyperlink r:id="rId10" w:history="1">
        <w:r w:rsidRPr="00876AEC">
          <w:rPr>
            <w:rStyle w:val="Hyperlink"/>
            <w:lang w:val="en"/>
          </w:rPr>
          <w:t>Bernard of Chartres</w:t>
        </w:r>
      </w:hyperlink>
    </w:p>
    <w:p w14:paraId="21A87E6F" w14:textId="77777777" w:rsidR="002C37FD" w:rsidRDefault="002C37FD" w:rsidP="002C37FD">
      <w:pPr>
        <w:pStyle w:val="ab"/>
        <w:rPr>
          <w:rFonts w:hint="cs"/>
          <w:rtl/>
        </w:rPr>
      </w:pPr>
      <w:r>
        <w:rPr>
          <w:rFonts w:hint="cs"/>
          <w:rtl/>
        </w:rPr>
        <w:t>הפיוט של אבן עזרא</w:t>
      </w:r>
    </w:p>
    <w:p w14:paraId="58073AD2" w14:textId="77777777" w:rsidR="002C37FD" w:rsidRDefault="002C37FD" w:rsidP="002C37FD">
      <w:pPr>
        <w:pStyle w:val="ac"/>
        <w:rPr>
          <w:rFonts w:hint="cs"/>
          <w:rtl/>
        </w:rPr>
      </w:pPr>
      <w:r>
        <w:rPr>
          <w:rFonts w:hint="cs"/>
          <w:rtl/>
        </w:rPr>
        <w:t>ואילו בא חגב</w:t>
      </w:r>
    </w:p>
    <w:p w14:paraId="2868639B" w14:textId="77777777" w:rsidR="002C37FD" w:rsidRDefault="002C37FD" w:rsidP="002C37FD">
      <w:pPr>
        <w:pStyle w:val="ac"/>
        <w:rPr>
          <w:rFonts w:hint="cs"/>
          <w:rtl/>
        </w:rPr>
      </w:pPr>
      <w:r>
        <w:rPr>
          <w:rFonts w:hint="cs"/>
          <w:rtl/>
        </w:rPr>
        <w:t>י</w:t>
      </w:r>
      <w:r>
        <w:rPr>
          <w:rFonts w:hint="eastAsia"/>
          <w:rtl/>
        </w:rPr>
        <w:t>ְ</w:t>
      </w:r>
      <w:r>
        <w:rPr>
          <w:rFonts w:hint="cs"/>
          <w:rtl/>
        </w:rPr>
        <w:t>ו</w:t>
      </w:r>
      <w:r>
        <w:rPr>
          <w:rFonts w:hint="eastAsia"/>
          <w:rtl/>
        </w:rPr>
        <w:t>ָ</w:t>
      </w:r>
      <w:r>
        <w:rPr>
          <w:rFonts w:hint="cs"/>
          <w:rtl/>
        </w:rPr>
        <w:t>נ</w:t>
      </w:r>
      <w:r>
        <w:rPr>
          <w:rFonts w:hint="eastAsia"/>
          <w:rtl/>
        </w:rPr>
        <w:t>ִ</w:t>
      </w:r>
      <w:r>
        <w:rPr>
          <w:rFonts w:hint="cs"/>
          <w:rtl/>
        </w:rPr>
        <w:t xml:space="preserve">י </w:t>
      </w:r>
      <w:r>
        <w:rPr>
          <w:rtl/>
        </w:rPr>
        <w:t>–</w:t>
      </w:r>
      <w:r>
        <w:rPr>
          <w:rFonts w:hint="cs"/>
          <w:rtl/>
        </w:rPr>
        <w:t xml:space="preserve"> ב</w:t>
      </w:r>
      <w:r>
        <w:rPr>
          <w:rFonts w:hint="eastAsia"/>
          <w:rtl/>
        </w:rPr>
        <w:t>ָּ</w:t>
      </w:r>
      <w:r>
        <w:rPr>
          <w:rFonts w:hint="cs"/>
          <w:rtl/>
        </w:rPr>
        <w:t>ם ש</w:t>
      </w:r>
      <w:r>
        <w:rPr>
          <w:rFonts w:hint="eastAsia"/>
          <w:rtl/>
        </w:rPr>
        <w:t>ׂ</w:t>
      </w:r>
      <w:r>
        <w:rPr>
          <w:rFonts w:hint="cs"/>
          <w:rtl/>
        </w:rPr>
        <w:t>ו</w:t>
      </w:r>
      <w:r>
        <w:rPr>
          <w:rFonts w:hint="eastAsia"/>
          <w:rtl/>
        </w:rPr>
        <w:t>ּ</w:t>
      </w:r>
      <w:r>
        <w:rPr>
          <w:rFonts w:hint="cs"/>
          <w:rtl/>
        </w:rPr>
        <w:t>ג</w:t>
      </w:r>
      <w:r>
        <w:rPr>
          <w:rFonts w:hint="eastAsia"/>
          <w:rtl/>
        </w:rPr>
        <w:t>ָ</w:t>
      </w:r>
      <w:r>
        <w:rPr>
          <w:rFonts w:hint="cs"/>
          <w:rtl/>
        </w:rPr>
        <w:t>ב</w:t>
      </w:r>
    </w:p>
    <w:p w14:paraId="47C1F891" w14:textId="77777777" w:rsidR="002C37FD" w:rsidRDefault="002C37FD" w:rsidP="002C37FD">
      <w:pPr>
        <w:pStyle w:val="ac"/>
        <w:rPr>
          <w:rFonts w:hint="cs"/>
          <w:rtl/>
        </w:rPr>
      </w:pPr>
      <w:r>
        <w:rPr>
          <w:rFonts w:hint="cs"/>
          <w:rtl/>
        </w:rPr>
        <w:t>ורכב על כל גב</w:t>
      </w:r>
    </w:p>
    <w:p w14:paraId="7769A28C" w14:textId="77777777" w:rsidR="002C37FD" w:rsidRPr="00EB70FE" w:rsidRDefault="002C37FD" w:rsidP="002C37FD">
      <w:pPr>
        <w:pStyle w:val="ac"/>
        <w:rPr>
          <w:rtl/>
        </w:rPr>
      </w:pPr>
      <w:r>
        <w:rPr>
          <w:rFonts w:hint="cs"/>
          <w:rtl/>
        </w:rPr>
        <w:t xml:space="preserve">ונחשב כענקים </w:t>
      </w:r>
    </w:p>
    <w:p w14:paraId="2A8DC6D4" w14:textId="77777777" w:rsidR="002C37FD" w:rsidRDefault="002C37FD" w:rsidP="002C37FD">
      <w:pPr>
        <w:pStyle w:val="ab"/>
        <w:rPr>
          <w:rFonts w:hint="cs"/>
          <w:rtl/>
          <w:lang w:val="he-IL"/>
        </w:rPr>
      </w:pPr>
      <w:r>
        <w:rPr>
          <w:rFonts w:hint="cs"/>
          <w:rtl/>
          <w:lang w:val="he-IL"/>
        </w:rPr>
        <w:t xml:space="preserve">רבי זרחיה הלוי </w:t>
      </w:r>
      <w:r>
        <w:rPr>
          <w:rtl/>
          <w:lang w:val="he-IL"/>
        </w:rPr>
        <w:t>–</w:t>
      </w:r>
      <w:r>
        <w:rPr>
          <w:rFonts w:hint="cs"/>
          <w:rtl/>
          <w:lang w:val="he-IL"/>
        </w:rPr>
        <w:t xml:space="preserve"> בעל המאור, מאה 12 פרובנס</w:t>
      </w:r>
    </w:p>
    <w:p w14:paraId="1C117122" w14:textId="77777777" w:rsidR="002C37FD" w:rsidRDefault="002C37FD" w:rsidP="002C37FD">
      <w:pPr>
        <w:pStyle w:val="ac"/>
        <w:rPr>
          <w:rFonts w:hint="cs"/>
          <w:rtl/>
          <w:lang w:val="he-IL"/>
        </w:rPr>
      </w:pPr>
      <w:r>
        <w:rPr>
          <w:rFonts w:hint="cs"/>
          <w:rtl/>
          <w:lang w:val="he-IL"/>
        </w:rPr>
        <w:t>ואמרו עוד: מנין לתלמיד היושב לפני רבו ורואה זכות לעני וחובה לעשיר, מנין שלא ישתוק? תלמוד לומר: "מדבר שקר תרחק". וזה המנהג נהגו כל חכמי העולם, כמו שכתב החכם המורה אבן ג'נאח ... הזכיר דברי הפילוסוף שהשיב על רבו ואמר: ריב לאמת עם אפלטון ושניהם אוהבנו, אך האמת אהוב יותר.</w:t>
      </w:r>
    </w:p>
    <w:p w14:paraId="642DEF14" w14:textId="77777777" w:rsidR="002C37FD" w:rsidRPr="002E08B8" w:rsidRDefault="002C37FD" w:rsidP="002C37FD">
      <w:pPr>
        <w:pStyle w:val="ac"/>
        <w:spacing w:before="120"/>
        <w:rPr>
          <w:rFonts w:hint="cs"/>
          <w:i/>
          <w:iCs/>
          <w:rtl/>
        </w:rPr>
      </w:pPr>
      <w:r w:rsidRPr="002E08B8">
        <w:rPr>
          <w:rFonts w:hint="cs"/>
          <w:i/>
          <w:iCs/>
          <w:rtl/>
        </w:rPr>
        <w:t>וב</w:t>
      </w:r>
      <w:r>
        <w:rPr>
          <w:rFonts w:hint="cs"/>
          <w:i/>
          <w:iCs/>
          <w:rtl/>
        </w:rPr>
        <w:t>פולמוס שלו על הראב"ד מפוסקייר, ספר דברי הריבות:</w:t>
      </w:r>
    </w:p>
    <w:p w14:paraId="5139C847" w14:textId="77777777" w:rsidR="002C37FD" w:rsidRDefault="002C37FD" w:rsidP="002C37FD">
      <w:pPr>
        <w:pStyle w:val="ac"/>
        <w:rPr>
          <w:rFonts w:hint="cs"/>
          <w:rtl/>
          <w:lang w:val="he-IL"/>
        </w:rPr>
      </w:pPr>
      <w:r>
        <w:rPr>
          <w:rFonts w:hint="cs"/>
          <w:rtl/>
        </w:rPr>
        <w:t>וראה גם ראה כי מרוב אהבתי האמת וחשקי בה, אני פונה פנים אליה ועורף אליך, אע"פ שאני הידיד שלך. כי אך האמת אהוב יותר כאשר אמר אריסתבלוס על אפלטון הפלספוסי. "</w:t>
      </w:r>
      <w:r>
        <w:rPr>
          <w:rFonts w:hint="cs"/>
          <w:rtl/>
          <w:lang w:val="he-IL"/>
        </w:rPr>
        <w:t>והידידות תעמוד במקומה הראוי לה". ומשפטי ה' אמת צדקו יחדיו.</w:t>
      </w:r>
    </w:p>
    <w:p w14:paraId="30C528DB" w14:textId="77777777" w:rsidR="002C37FD" w:rsidRPr="00E64C44" w:rsidRDefault="002C37FD" w:rsidP="002C37FD">
      <w:pPr>
        <w:pStyle w:val="ab"/>
        <w:rPr>
          <w:rFonts w:hint="cs"/>
          <w:rtl/>
          <w:lang w:val="he-IL"/>
        </w:rPr>
      </w:pPr>
      <w:r w:rsidRPr="00E64C44">
        <w:rPr>
          <w:rFonts w:hint="cs"/>
          <w:rtl/>
          <w:lang w:val="he-IL"/>
        </w:rPr>
        <w:t>תשובות הרי"ד סימן א, כב, ר' ישעיהו מטראני, איטליה מאה ה-13</w:t>
      </w:r>
    </w:p>
    <w:p w14:paraId="16BD23F7" w14:textId="77777777" w:rsidR="002C37FD" w:rsidRPr="00E64C44" w:rsidRDefault="002C37FD" w:rsidP="002C37FD">
      <w:pPr>
        <w:pStyle w:val="ac"/>
        <w:rPr>
          <w:rFonts w:hint="cs"/>
          <w:rtl/>
          <w:lang w:val="he-IL"/>
        </w:rPr>
      </w:pPr>
      <w:r w:rsidRPr="004223A1">
        <w:rPr>
          <w:rFonts w:hint="cs"/>
          <w:rtl/>
        </w:rPr>
        <w:t>על מה שכתבת אלי שלא אחלוק על הרב הגדול רבינו יצחק, חלילה לי מעשות זאת ולא עלתה במחשבה .... חלילה ויזחיחני לבי לומר: אף חכמתי עמדה לי. אלא אני דן בעצמי מ</w:t>
      </w:r>
      <w:r w:rsidRPr="004223A1">
        <w:rPr>
          <w:rFonts w:hint="eastAsia"/>
          <w:rtl/>
        </w:rPr>
        <w:t>ָ</w:t>
      </w:r>
      <w:r w:rsidRPr="004223A1">
        <w:rPr>
          <w:rFonts w:hint="cs"/>
          <w:rtl/>
        </w:rPr>
        <w:t>ש</w:t>
      </w:r>
      <w:r w:rsidRPr="004223A1">
        <w:rPr>
          <w:rFonts w:hint="eastAsia"/>
          <w:rtl/>
        </w:rPr>
        <w:t>ָׁ</w:t>
      </w:r>
      <w:r w:rsidRPr="004223A1">
        <w:rPr>
          <w:rFonts w:hint="cs"/>
          <w:rtl/>
        </w:rPr>
        <w:t xml:space="preserve">ל הפילוסופים. שמעתי מחכמי הפילוסופים, שאלו לגדול שבהם ואמרו לו: הלוא אנחנו מודים שהראשונים חכמו והשכילו יותר ממנו, והלוא אנחנו מודים שאנחנו מדברים עליהם וסותרים דבריהם בהרבה מקומות והאמת איתנו. היאך יכון הדבר? </w:t>
      </w:r>
      <w:r w:rsidRPr="004223A1">
        <w:rPr>
          <w:rFonts w:hint="cs"/>
          <w:rtl/>
        </w:rPr>
        <w:lastRenderedPageBreak/>
        <w:t xml:space="preserve">השיבם ואמר: מי צופה למרחוק </w:t>
      </w:r>
      <w:r w:rsidRPr="004223A1">
        <w:rPr>
          <w:rtl/>
        </w:rPr>
        <w:t>–</w:t>
      </w:r>
      <w:r w:rsidRPr="004223A1">
        <w:rPr>
          <w:rFonts w:hint="cs"/>
          <w:rtl/>
        </w:rPr>
        <w:t xml:space="preserve"> הננס או הענק? הוי אומר הענק שעיניו עומדות במקום גבוה יותר מן הננס. ואם תרכיבו הננס על צווארי הענק, מי צופה יותר למרחוק? הוי אומר, הננס, שעיניו גבוהות עכשיו יותר מעיני הענק. כך, אנו ננסים רוכבים על צווארי הענקים, מפני שראינו חכמתם ומעניקים עליה. ומכוח חכמתם חכמנו לומר כל מה שאנו אומרים ולא שאנו גדולים מהם ...</w:t>
      </w:r>
    </w:p>
    <w:p w14:paraId="71197C5D" w14:textId="77777777" w:rsidR="002C37FD" w:rsidRPr="004223A1" w:rsidRDefault="002C37FD" w:rsidP="002C37FD">
      <w:pPr>
        <w:pStyle w:val="Normal1"/>
        <w:tabs>
          <w:tab w:val="left" w:pos="505"/>
        </w:tabs>
        <w:ind w:left="0"/>
        <w:jc w:val="left"/>
        <w:rPr>
          <w:rFonts w:hint="cs"/>
          <w:rtl/>
        </w:rPr>
      </w:pPr>
      <w:r w:rsidRPr="00E64C44">
        <w:rPr>
          <w:rFonts w:hint="cs"/>
          <w:b/>
          <w:bCs/>
          <w:sz w:val="20"/>
          <w:szCs w:val="20"/>
          <w:rtl/>
        </w:rPr>
        <w:t>רס"ג קהלת:</w:t>
      </w:r>
      <w:r w:rsidRPr="00E64C44">
        <w:rPr>
          <w:rFonts w:hint="cs"/>
          <w:sz w:val="20"/>
          <w:szCs w:val="20"/>
          <w:rtl/>
        </w:rPr>
        <w:t xml:space="preserve"> ועל ענין זה זירז החכם מתוך דאגה ופחד על המדע, ושמירתו ללומדיו ... ואמר עשות ספרים הרבה אין קץ, כוונתו לקבץ המדעים ולכנוס עניניהם וסוגיהם בספרים שינצרום, כדי שילמדו מהם ויתקיימו לדורות ויישארו עם חילוף הזמנים.</w:t>
      </w:r>
      <w:r w:rsidRPr="004223A1">
        <w:rPr>
          <w:rFonts w:hint="cs"/>
          <w:rtl/>
        </w:rPr>
        <w:t xml:space="preserve"> </w:t>
      </w:r>
    </w:p>
    <w:p w14:paraId="79C5007B" w14:textId="77777777" w:rsidR="002C37FD" w:rsidRDefault="002C37FD" w:rsidP="002C37FD">
      <w:pPr>
        <w:pStyle w:val="ab"/>
        <w:rPr>
          <w:rFonts w:hint="cs"/>
          <w:rtl/>
        </w:rPr>
      </w:pPr>
      <w:r>
        <w:rPr>
          <w:rFonts w:hint="cs"/>
          <w:rtl/>
        </w:rPr>
        <w:t>המשך דברי הרי"ד</w:t>
      </w:r>
    </w:p>
    <w:p w14:paraId="15B062E6" w14:textId="77777777" w:rsidR="002C37FD" w:rsidRDefault="002C37FD" w:rsidP="000502B0">
      <w:pPr>
        <w:pStyle w:val="ac"/>
        <w:rPr>
          <w:rFonts w:hint="cs"/>
          <w:sz w:val="20"/>
          <w:szCs w:val="20"/>
          <w:rtl/>
        </w:rPr>
      </w:pPr>
      <w:r w:rsidRPr="004223A1">
        <w:rPr>
          <w:rFonts w:hint="cs"/>
          <w:rtl/>
        </w:rPr>
        <w:t>אני מה שנראה לי להוכיח מתוך הספר אני כותב ... כי כל דבר שאינו נראה לי מתוך הספר, אי אמרה יהושע בן נון לא ציינתא ליה  ... ויש לנו לתור ולחקור מתוך הספר הראיות ברורות ולראות כמי הלכה נוטה. ואין בנו כח ודעת לשקול בפלס הרים מי גדול מחברו. הלכך, נניח הרבנים ההמה עליהם השלום בכבודם, ונחזור לבינת הספרים לראות היכן הדין נוטה</w:t>
      </w:r>
      <w:r>
        <w:rPr>
          <w:rFonts w:hint="cs"/>
          <w:rtl/>
        </w:rPr>
        <w:t>.</w:t>
      </w:r>
    </w:p>
    <w:p w14:paraId="2ACEE0E8" w14:textId="77777777" w:rsidR="002C37FD" w:rsidRDefault="002C37FD" w:rsidP="002C37FD">
      <w:pPr>
        <w:pStyle w:val="ab"/>
        <w:rPr>
          <w:rFonts w:hint="cs"/>
          <w:rtl/>
        </w:rPr>
      </w:pPr>
      <w:r>
        <w:rPr>
          <w:rFonts w:hint="cs"/>
          <w:rtl/>
        </w:rPr>
        <w:t xml:space="preserve">הרא"ש </w:t>
      </w:r>
      <w:r>
        <w:rPr>
          <w:rtl/>
        </w:rPr>
        <w:t>–</w:t>
      </w:r>
      <w:r>
        <w:rPr>
          <w:rFonts w:hint="cs"/>
          <w:rtl/>
        </w:rPr>
        <w:t xml:space="preserve"> ר' אשר בן יחיאל, גרמיה-ספרד מאות 13-14</w:t>
      </w:r>
    </w:p>
    <w:p w14:paraId="5D96E578" w14:textId="77777777" w:rsidR="002C37FD" w:rsidRDefault="002C37FD" w:rsidP="002C37FD">
      <w:pPr>
        <w:pStyle w:val="ac"/>
        <w:rPr>
          <w:rFonts w:hint="cs"/>
          <w:rtl/>
        </w:rPr>
      </w:pPr>
      <w:r>
        <w:rPr>
          <w:rFonts w:hint="cs"/>
          <w:rtl/>
        </w:rPr>
        <w:t>אם לא ישרו בעיניו (של דיין בן הדור) דבריהם (של הראשונים) ומביא ראיות לדבריו המקובלים לאנשי דורו, יפתח בדורו כשמואל בדורו, אין לך אלא שופט אשר יהיה בימים ההם. ויכול לסתור את דבריהם. כי כל הדברים שאינם מבוארים בש"ס שסידר רב אשי ורבינא, אדם יכול לסתור ולבנות, אפילו לחלוק על דברי הגאונים.</w:t>
      </w:r>
    </w:p>
    <w:p w14:paraId="00EE077C" w14:textId="77777777" w:rsidR="002C37FD" w:rsidRPr="002E08B8" w:rsidRDefault="002C37FD" w:rsidP="002C37FD">
      <w:pPr>
        <w:pStyle w:val="ac"/>
        <w:spacing w:before="120"/>
        <w:rPr>
          <w:rFonts w:hint="cs"/>
          <w:i/>
          <w:iCs/>
          <w:rtl/>
        </w:rPr>
      </w:pPr>
      <w:r w:rsidRPr="002E08B8">
        <w:rPr>
          <w:rFonts w:hint="cs"/>
          <w:i/>
          <w:iCs/>
          <w:rtl/>
        </w:rPr>
        <w:t>ובעימות עם ר' ישראל על פרשנות של תקנה הנוגעת לירוש</w:t>
      </w:r>
      <w:r>
        <w:rPr>
          <w:rFonts w:hint="cs"/>
          <w:i/>
          <w:iCs/>
          <w:rtl/>
        </w:rPr>
        <w:t>ת</w:t>
      </w:r>
      <w:r w:rsidRPr="002E08B8">
        <w:rPr>
          <w:rFonts w:hint="cs"/>
          <w:i/>
          <w:iCs/>
          <w:rtl/>
        </w:rPr>
        <w:t xml:space="preserve"> נשים:</w:t>
      </w:r>
    </w:p>
    <w:p w14:paraId="46A1E02F" w14:textId="77777777" w:rsidR="002C37FD" w:rsidRDefault="002C37FD" w:rsidP="002C37FD">
      <w:pPr>
        <w:pStyle w:val="ac"/>
        <w:rPr>
          <w:rFonts w:hint="cs"/>
          <w:rtl/>
        </w:rPr>
      </w:pPr>
      <w:r>
        <w:rPr>
          <w:rFonts w:hint="cs"/>
          <w:rtl/>
        </w:rPr>
        <w:t>... זו אינה ראיה. כי מי גדול לנו כרש"י זצ"ל שהאיר עיני הגולה בפירושיו, ונחלקו עליו בהרבה מקומות יוצאי חלציו רבינו תם ורבינו יצחק וסתרו דבריו. כי תורת אמת היא ואין מחניפין לשום אדם .... יפתח בדורו כשמואל בדורו ... ועוד שאמרו הגאונים דמאביי ורבא ואילך הלכתא כבתראי. הילכך דידן עדיפא.</w:t>
      </w:r>
    </w:p>
    <w:p w14:paraId="4B22577F" w14:textId="77777777" w:rsidR="002C37FD" w:rsidRPr="00861E2A" w:rsidRDefault="002C37FD" w:rsidP="002C37FD">
      <w:pPr>
        <w:pStyle w:val="ab"/>
        <w:rPr>
          <w:rtl/>
          <w:lang w:val="he-IL"/>
        </w:rPr>
      </w:pPr>
      <w:r w:rsidRPr="00861E2A">
        <w:rPr>
          <w:rtl/>
          <w:lang w:val="he-IL"/>
        </w:rPr>
        <w:t>פסקי מהרי"ק סימן שו</w:t>
      </w:r>
      <w:r>
        <w:rPr>
          <w:rFonts w:hint="cs"/>
          <w:rtl/>
          <w:lang w:val="he-IL"/>
        </w:rPr>
        <w:t xml:space="preserve"> - </w:t>
      </w:r>
      <w:r>
        <w:rPr>
          <w:rtl/>
        </w:rPr>
        <w:t>רבי יוסף בן שלמה קולון</w:t>
      </w:r>
      <w:r>
        <w:rPr>
          <w:rFonts w:hint="cs"/>
          <w:rtl/>
        </w:rPr>
        <w:t>, צרפת וצפון איטליה מאה 15</w:t>
      </w:r>
    </w:p>
    <w:p w14:paraId="7F838211" w14:textId="77777777" w:rsidR="002C37FD" w:rsidRDefault="002C37FD" w:rsidP="002C37FD">
      <w:pPr>
        <w:pStyle w:val="ac"/>
        <w:rPr>
          <w:rFonts w:hint="cs"/>
          <w:rtl/>
        </w:rPr>
      </w:pPr>
      <w:r w:rsidRPr="00861E2A">
        <w:rPr>
          <w:rtl/>
          <w:lang w:val="he-IL"/>
        </w:rPr>
        <w:t>על דבר הרבנים הרוצים להשתרר על התלמידים יותר מן הראוי, עד כי יעלה על דעתם לומר, שמי שלמד לפני רב אחד בינקותו יהיה לעולם כפוף תחתיו שלא לחלוק עליו בשום דבר</w:t>
      </w:r>
      <w:r>
        <w:rPr>
          <w:rFonts w:hint="cs"/>
          <w:rtl/>
          <w:lang w:val="he-IL"/>
        </w:rPr>
        <w:t>.</w:t>
      </w:r>
      <w:r w:rsidRPr="00861E2A">
        <w:rPr>
          <w:rtl/>
          <w:lang w:val="he-IL"/>
        </w:rPr>
        <w:t xml:space="preserve"> ולא עוד</w:t>
      </w:r>
      <w:r>
        <w:rPr>
          <w:rFonts w:hint="cs"/>
          <w:rtl/>
          <w:lang w:val="he-IL"/>
        </w:rPr>
        <w:t>,</w:t>
      </w:r>
      <w:r w:rsidRPr="00861E2A">
        <w:rPr>
          <w:rtl/>
          <w:lang w:val="he-IL"/>
        </w:rPr>
        <w:t xml:space="preserve"> אלא אפי</w:t>
      </w:r>
      <w:r>
        <w:rPr>
          <w:rFonts w:hint="cs"/>
          <w:rtl/>
          <w:lang w:val="he-IL"/>
        </w:rPr>
        <w:t>לו</w:t>
      </w:r>
      <w:r w:rsidRPr="00861E2A">
        <w:rPr>
          <w:rtl/>
          <w:lang w:val="he-IL"/>
        </w:rPr>
        <w:t xml:space="preserve"> נתחכם אח"כ התלמיד ונעשה שוה לו או גדול הימנו</w:t>
      </w:r>
      <w:r>
        <w:rPr>
          <w:rFonts w:hint="cs"/>
          <w:rtl/>
          <w:lang w:val="he-IL"/>
        </w:rPr>
        <w:t>,</w:t>
      </w:r>
      <w:r w:rsidRPr="00861E2A">
        <w:rPr>
          <w:rtl/>
          <w:lang w:val="he-IL"/>
        </w:rPr>
        <w:t xml:space="preserve"> יאמרו דאזלינן בתר מע</w:t>
      </w:r>
      <w:r>
        <w:rPr>
          <w:rFonts w:hint="cs"/>
          <w:rtl/>
          <w:lang w:val="he-IL"/>
        </w:rPr>
        <w:t>י</w:t>
      </w:r>
      <w:r w:rsidRPr="00861E2A">
        <w:rPr>
          <w:rtl/>
          <w:lang w:val="he-IL"/>
        </w:rPr>
        <w:t>קרא דהוה ליה תלמיד</w:t>
      </w:r>
      <w:r>
        <w:rPr>
          <w:rFonts w:hint="cs"/>
          <w:rtl/>
          <w:lang w:val="he-IL"/>
        </w:rPr>
        <w:t>.</w:t>
      </w:r>
      <w:r w:rsidRPr="00861E2A">
        <w:rPr>
          <w:rtl/>
          <w:lang w:val="he-IL"/>
        </w:rPr>
        <w:t xml:space="preserve"> וגם אם יראה בעיני התלמיד שהרב הוא טועה או שהוא עושה שלא כהוגן</w:t>
      </w:r>
      <w:r>
        <w:rPr>
          <w:rFonts w:hint="cs"/>
          <w:rtl/>
          <w:lang w:val="he-IL"/>
        </w:rPr>
        <w:t>.</w:t>
      </w:r>
      <w:r w:rsidRPr="00861E2A">
        <w:rPr>
          <w:rtl/>
          <w:lang w:val="he-IL"/>
        </w:rPr>
        <w:t xml:space="preserve"> ומאיימי</w:t>
      </w:r>
      <w:r>
        <w:rPr>
          <w:rFonts w:hint="cs"/>
          <w:rtl/>
          <w:lang w:val="he-IL"/>
        </w:rPr>
        <w:t>ם</w:t>
      </w:r>
      <w:r w:rsidRPr="00861E2A">
        <w:rPr>
          <w:rtl/>
          <w:lang w:val="he-IL"/>
        </w:rPr>
        <w:t xml:space="preserve"> הם עליו מפני שאמרו</w:t>
      </w:r>
      <w:r>
        <w:rPr>
          <w:rFonts w:hint="cs"/>
          <w:rtl/>
          <w:lang w:val="he-IL"/>
        </w:rPr>
        <w:t>:</w:t>
      </w:r>
      <w:r w:rsidRPr="00861E2A">
        <w:rPr>
          <w:rtl/>
          <w:lang w:val="he-IL"/>
        </w:rPr>
        <w:t xml:space="preserve"> כל החולק על רבו כחולק על השכינה וכיוצא בדברים אלו.</w:t>
      </w:r>
    </w:p>
    <w:p w14:paraId="7321CBB2" w14:textId="77777777" w:rsidR="002C37FD" w:rsidRDefault="002C37FD" w:rsidP="002C37FD">
      <w:pPr>
        <w:pStyle w:val="ab"/>
        <w:rPr>
          <w:rFonts w:hint="cs"/>
          <w:rtl/>
          <w:lang w:val="he-IL"/>
        </w:rPr>
      </w:pPr>
      <w:r>
        <w:rPr>
          <w:rFonts w:hint="cs"/>
          <w:rtl/>
          <w:lang w:val="he-IL"/>
        </w:rPr>
        <w:t>יעב"ץ (</w:t>
      </w:r>
      <w:r w:rsidRPr="00D61F66">
        <w:rPr>
          <w:rtl/>
          <w:lang w:val="he-IL"/>
        </w:rPr>
        <w:t>רבי יעקב בן צבי</w:t>
      </w:r>
      <w:r>
        <w:rPr>
          <w:rFonts w:hint="cs"/>
          <w:rtl/>
          <w:lang w:val="he-IL"/>
        </w:rPr>
        <w:t>), יעקב מעמדין,</w:t>
      </w:r>
      <w:r w:rsidRPr="00D61F66">
        <w:rPr>
          <w:rtl/>
          <w:lang w:val="he-IL"/>
        </w:rPr>
        <w:t xml:space="preserve"> </w:t>
      </w:r>
      <w:r>
        <w:rPr>
          <w:rFonts w:hint="cs"/>
          <w:rtl/>
          <w:lang w:val="he-IL"/>
        </w:rPr>
        <w:t xml:space="preserve">מאה 17-18, גרמניה, בנו של </w:t>
      </w:r>
      <w:r w:rsidRPr="00D61F66">
        <w:rPr>
          <w:rtl/>
          <w:lang w:val="he-IL"/>
        </w:rPr>
        <w:t>החכם צבי</w:t>
      </w:r>
    </w:p>
    <w:p w14:paraId="72905FE0" w14:textId="77777777" w:rsidR="002C37FD" w:rsidRPr="00E64C44" w:rsidRDefault="002C37FD" w:rsidP="002C37FD">
      <w:pPr>
        <w:pStyle w:val="ac"/>
        <w:rPr>
          <w:rFonts w:hint="cs"/>
          <w:rtl/>
        </w:rPr>
      </w:pPr>
      <w:r>
        <w:rPr>
          <w:rFonts w:hint="cs"/>
          <w:rtl/>
          <w:lang w:val="he-IL"/>
        </w:rPr>
        <w:t xml:space="preserve">הקדמה לספרו </w:t>
      </w:r>
      <w:r w:rsidRPr="00D61F66">
        <w:rPr>
          <w:rtl/>
          <w:lang w:val="he-IL"/>
        </w:rPr>
        <w:t>מור וקציעה</w:t>
      </w:r>
      <w:r>
        <w:rPr>
          <w:rFonts w:hint="cs"/>
          <w:rtl/>
          <w:lang w:val="he-IL"/>
        </w:rPr>
        <w:t>: "</w:t>
      </w:r>
      <w:r w:rsidRPr="00D61F66">
        <w:rPr>
          <w:rtl/>
          <w:lang w:val="he-IL"/>
        </w:rPr>
        <w:t>על כן שמעוני אחיי ועמי, לא זו העיר ולא זו הדרך שיבור לו האדם הישר הולך ללמוד מרב אחד למסור עליו נפשו, להצדיק כל אשר יצא מפי קולמוסו, להיות משכיל בכל דרכיו, לאסוקי שמעתא אליבא דהלכתא בלי נטיה בשום מקום. זה דבר כמעט נמנע בח</w:t>
      </w:r>
      <w:r>
        <w:rPr>
          <w:rFonts w:hint="cs"/>
          <w:rtl/>
          <w:lang w:val="he-IL"/>
        </w:rPr>
        <w:t>ו</w:t>
      </w:r>
      <w:r w:rsidRPr="00D61F66">
        <w:rPr>
          <w:rtl/>
          <w:lang w:val="he-IL"/>
        </w:rPr>
        <w:t>ק אנושי, רק את אשר יבחרהו השכל הבריא בשופי ולא בקושי. את אשר ישים ה' בפי למשפט ישר אותו אשמור לדבר, כאשר צוה ה' לאמר</w:t>
      </w:r>
      <w:r>
        <w:rPr>
          <w:rFonts w:hint="cs"/>
          <w:rtl/>
          <w:lang w:val="he-IL"/>
        </w:rPr>
        <w:t>".</w:t>
      </w:r>
      <w:r w:rsidR="00194334">
        <w:rPr>
          <w:rStyle w:val="a5"/>
          <w:rtl/>
        </w:rPr>
        <w:footnoteReference w:id="2"/>
      </w:r>
    </w:p>
    <w:p w14:paraId="27BB0A17" w14:textId="77777777" w:rsidR="002C37FD" w:rsidRDefault="002C37FD" w:rsidP="002C37FD">
      <w:pPr>
        <w:pStyle w:val="ab"/>
        <w:rPr>
          <w:rFonts w:hint="cs"/>
          <w:rtl/>
        </w:rPr>
      </w:pPr>
      <w:r>
        <w:rPr>
          <w:rFonts w:hint="cs"/>
          <w:rtl/>
        </w:rPr>
        <w:t>הדבר השחור כקו פרשת המים</w:t>
      </w:r>
    </w:p>
    <w:p w14:paraId="4D7ED59E" w14:textId="77777777" w:rsidR="002C37FD" w:rsidRDefault="002C37FD" w:rsidP="00194334">
      <w:pPr>
        <w:pStyle w:val="ac"/>
        <w:rPr>
          <w:rFonts w:hint="cs"/>
          <w:rtl/>
        </w:rPr>
      </w:pPr>
      <w:r>
        <w:rPr>
          <w:rFonts w:hint="cs"/>
          <w:rtl/>
        </w:rPr>
        <w:t>המהרי"ל</w:t>
      </w:r>
      <w:r w:rsidR="00194334">
        <w:rPr>
          <w:rFonts w:hint="cs"/>
          <w:rtl/>
        </w:rPr>
        <w:t xml:space="preserve">, </w:t>
      </w:r>
      <w:r>
        <w:rPr>
          <w:rFonts w:hint="cs"/>
          <w:rtl/>
        </w:rPr>
        <w:t>שינוי כיוון ברור לשמרנות גמורה.</w:t>
      </w:r>
    </w:p>
    <w:p w14:paraId="15D5F042" w14:textId="77777777" w:rsidR="002C37FD" w:rsidRPr="00F67D60" w:rsidRDefault="002C37FD" w:rsidP="002C37FD">
      <w:pPr>
        <w:pStyle w:val="ac"/>
        <w:rPr>
          <w:rFonts w:hint="cs"/>
          <w:rtl/>
        </w:rPr>
      </w:pPr>
      <w:r>
        <w:rPr>
          <w:rFonts w:hint="cs"/>
          <w:rtl/>
        </w:rPr>
        <w:t>עמודים 167-168 בספר של אברהם מלמד על כתפי ענקים.</w:t>
      </w:r>
    </w:p>
    <w:p w14:paraId="4B6ECFFE" w14:textId="77777777" w:rsidR="00385B75" w:rsidRPr="002C37FD" w:rsidRDefault="00385B75" w:rsidP="002C37FD">
      <w:pPr>
        <w:rPr>
          <w:rFonts w:hint="cs"/>
          <w:rtl/>
        </w:rPr>
      </w:pPr>
    </w:p>
    <w:sectPr w:rsidR="00385B75" w:rsidRPr="002C37FD" w:rsidSect="000502B0">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8256" w14:textId="77777777" w:rsidR="004D516A" w:rsidRDefault="004D516A">
      <w:r>
        <w:separator/>
      </w:r>
    </w:p>
  </w:endnote>
  <w:endnote w:type="continuationSeparator" w:id="0">
    <w:p w14:paraId="1528DBB0" w14:textId="77777777" w:rsidR="004D516A" w:rsidRDefault="004D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F0EF" w14:textId="77777777" w:rsidR="00F67D60" w:rsidRDefault="00F67D60">
    <w:pPr>
      <w:pStyle w:val="a8"/>
      <w:jc w:val="right"/>
      <w:rPr>
        <w:cs/>
      </w:rPr>
    </w:pPr>
    <w:r>
      <w:fldChar w:fldCharType="begin"/>
    </w:r>
    <w:r>
      <w:rPr>
        <w:cs/>
      </w:rPr>
      <w:instrText>PAGE   \* MERGEFORMAT</w:instrText>
    </w:r>
    <w:r>
      <w:fldChar w:fldCharType="separate"/>
    </w:r>
    <w:r w:rsidR="000502B0" w:rsidRPr="000502B0">
      <w:rPr>
        <w:noProof/>
        <w:rtl/>
        <w:lang w:val="he-IL"/>
      </w:rPr>
      <w:t>1</w:t>
    </w:r>
    <w:r>
      <w:fldChar w:fldCharType="end"/>
    </w:r>
  </w:p>
  <w:p w14:paraId="4092D5B8" w14:textId="77777777" w:rsidR="00415BEF" w:rsidRDefault="00415B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111FA" w14:textId="77777777" w:rsidR="004D516A" w:rsidRDefault="004D516A">
      <w:r>
        <w:separator/>
      </w:r>
    </w:p>
  </w:footnote>
  <w:footnote w:type="continuationSeparator" w:id="0">
    <w:p w14:paraId="4DB384A4" w14:textId="77777777" w:rsidR="004D516A" w:rsidRDefault="004D516A">
      <w:r>
        <w:continuationSeparator/>
      </w:r>
    </w:p>
  </w:footnote>
  <w:footnote w:id="1">
    <w:p w14:paraId="1D19BC4E" w14:textId="77777777" w:rsidR="00194334" w:rsidRPr="00194334" w:rsidRDefault="00194334" w:rsidP="00194334">
      <w:pPr>
        <w:pStyle w:val="a3"/>
        <w:rPr>
          <w:rFonts w:hint="cs"/>
          <w:rtl/>
        </w:rPr>
      </w:pPr>
      <w:r>
        <w:rPr>
          <w:rStyle w:val="a5"/>
        </w:rPr>
        <w:footnoteRef/>
      </w:r>
      <w:r>
        <w:rPr>
          <w:rtl/>
        </w:rPr>
        <w:t xml:space="preserve"> </w:t>
      </w:r>
      <w:r>
        <w:rPr>
          <w:rFonts w:hint="cs"/>
          <w:rtl/>
        </w:rPr>
        <w:t>מקור זה הבאנו במים האחרונים ב</w:t>
      </w:r>
      <w:r w:rsidRPr="00194334">
        <w:rPr>
          <w:rtl/>
        </w:rPr>
        <w:t xml:space="preserve">דף </w:t>
      </w:r>
      <w:hyperlink r:id="rId1" w:history="1">
        <w:r w:rsidRPr="00194334">
          <w:rPr>
            <w:rStyle w:val="Hyperlink"/>
            <w:rFonts w:hint="cs"/>
            <w:rtl/>
          </w:rPr>
          <w:t>חדשים גם ישנים – ראשונים גם אחרונים</w:t>
        </w:r>
      </w:hyperlink>
      <w:r>
        <w:rPr>
          <w:rFonts w:hint="cs"/>
          <w:rtl/>
        </w:rPr>
        <w:t>. ראה שם.</w:t>
      </w:r>
    </w:p>
  </w:footnote>
  <w:footnote w:id="2">
    <w:p w14:paraId="7F59CC6E" w14:textId="77777777" w:rsidR="00194334" w:rsidRDefault="00194334" w:rsidP="00194334">
      <w:pPr>
        <w:pStyle w:val="a3"/>
        <w:rPr>
          <w:rFonts w:hint="cs"/>
          <w:rtl/>
        </w:rPr>
      </w:pPr>
      <w:r>
        <w:rPr>
          <w:rStyle w:val="a5"/>
        </w:rPr>
        <w:footnoteRef/>
      </w:r>
      <w:r>
        <w:rPr>
          <w:rtl/>
        </w:rPr>
        <w:t xml:space="preserve"> </w:t>
      </w:r>
      <w:r>
        <w:rPr>
          <w:rFonts w:hint="cs"/>
          <w:rtl/>
        </w:rPr>
        <w:t>ר</w:t>
      </w:r>
      <w:r w:rsidR="000502B0">
        <w:rPr>
          <w:rFonts w:hint="cs"/>
          <w:rtl/>
        </w:rPr>
        <w:t>א</w:t>
      </w:r>
      <w:r>
        <w:rPr>
          <w:rFonts w:hint="cs"/>
          <w:rtl/>
        </w:rPr>
        <w:t xml:space="preserve">ה דברינו </w:t>
      </w:r>
      <w:hyperlink r:id="rId2" w:history="1">
        <w:r w:rsidRPr="00194334">
          <w:rPr>
            <w:rStyle w:val="Hyperlink"/>
            <w:rFonts w:hint="cs"/>
            <w:rtl/>
          </w:rPr>
          <w:t>לימוד מרב אחד או מרבים</w:t>
        </w:r>
      </w:hyperlink>
      <w:r>
        <w:rPr>
          <w:rFonts w:hint="cs"/>
          <w:rtl/>
        </w:rPr>
        <w:t xml:space="preserve">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469D" w14:textId="77777777" w:rsidR="002C37FD" w:rsidRDefault="000502B0" w:rsidP="006F5C75">
    <w:pPr>
      <w:pStyle w:val="1"/>
      <w:tabs>
        <w:tab w:val="clear" w:pos="9469"/>
        <w:tab w:val="right" w:pos="9299"/>
      </w:tabs>
      <w:rPr>
        <w:rFonts w:hint="cs"/>
        <w:rtl/>
      </w:rPr>
    </w:pPr>
    <w:r>
      <w:rPr>
        <w:rFonts w:hint="cs"/>
        <w:rtl/>
      </w:rPr>
      <w:t>שיר השירים, שבת המעד פסח</w:t>
    </w:r>
    <w:r w:rsidR="002C37FD">
      <w:rPr>
        <w:rtl/>
      </w:rPr>
      <w:tab/>
    </w:r>
    <w:r w:rsidR="002C37FD">
      <w:rPr>
        <w:rFonts w:hint="cs"/>
        <w:rtl/>
      </w:rPr>
      <w:t>תשע"ו</w:t>
    </w:r>
  </w:p>
  <w:p w14:paraId="7B7CCECC" w14:textId="77777777" w:rsidR="002C37FD" w:rsidRDefault="002C37F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7190" w14:textId="77777777" w:rsidR="00001DB7" w:rsidRDefault="00001D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F17B4">
      <w:rPr>
        <w:szCs w:val="24"/>
        <w:rtl/>
      </w:rPr>
      <w:t>שבת חול המועד פסח, שיר השירים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6102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NDQ3tTAwMDM3N7FQ0lEKTi0uzszPAykwrgUAuVyjtCwAAAA="/>
  </w:docVars>
  <w:rsids>
    <w:rsidRoot w:val="00ED29CB"/>
    <w:rsid w:val="00001DB7"/>
    <w:rsid w:val="0003682D"/>
    <w:rsid w:val="000502B0"/>
    <w:rsid w:val="0005298B"/>
    <w:rsid w:val="00086EB4"/>
    <w:rsid w:val="00092D35"/>
    <w:rsid w:val="000C4AD0"/>
    <w:rsid w:val="00180816"/>
    <w:rsid w:val="00194334"/>
    <w:rsid w:val="002C37FD"/>
    <w:rsid w:val="002D2204"/>
    <w:rsid w:val="002D5100"/>
    <w:rsid w:val="002E08B8"/>
    <w:rsid w:val="002E57FD"/>
    <w:rsid w:val="002F6C20"/>
    <w:rsid w:val="00385B75"/>
    <w:rsid w:val="003A3B91"/>
    <w:rsid w:val="003A52A8"/>
    <w:rsid w:val="003D65B3"/>
    <w:rsid w:val="00415BEF"/>
    <w:rsid w:val="004223A1"/>
    <w:rsid w:val="00441F00"/>
    <w:rsid w:val="004438FA"/>
    <w:rsid w:val="004755F7"/>
    <w:rsid w:val="0048135F"/>
    <w:rsid w:val="004A3C01"/>
    <w:rsid w:val="004D516A"/>
    <w:rsid w:val="005348B1"/>
    <w:rsid w:val="00557F04"/>
    <w:rsid w:val="00563B36"/>
    <w:rsid w:val="005B4812"/>
    <w:rsid w:val="005D6667"/>
    <w:rsid w:val="00603755"/>
    <w:rsid w:val="006137F7"/>
    <w:rsid w:val="00654448"/>
    <w:rsid w:val="00671DFB"/>
    <w:rsid w:val="00681926"/>
    <w:rsid w:val="006C1D6F"/>
    <w:rsid w:val="006F207B"/>
    <w:rsid w:val="006F5C75"/>
    <w:rsid w:val="00701DC7"/>
    <w:rsid w:val="0071701D"/>
    <w:rsid w:val="00717D23"/>
    <w:rsid w:val="007340D8"/>
    <w:rsid w:val="007B18B7"/>
    <w:rsid w:val="008001A9"/>
    <w:rsid w:val="00840A99"/>
    <w:rsid w:val="00891E9E"/>
    <w:rsid w:val="008E3DC5"/>
    <w:rsid w:val="009852A3"/>
    <w:rsid w:val="009D1479"/>
    <w:rsid w:val="009D4C88"/>
    <w:rsid w:val="009F17B4"/>
    <w:rsid w:val="00A30AAD"/>
    <w:rsid w:val="00A57E0B"/>
    <w:rsid w:val="00A77864"/>
    <w:rsid w:val="00A863BD"/>
    <w:rsid w:val="00AA69AF"/>
    <w:rsid w:val="00AD0233"/>
    <w:rsid w:val="00AF2740"/>
    <w:rsid w:val="00B561CB"/>
    <w:rsid w:val="00B92B6A"/>
    <w:rsid w:val="00BA1A22"/>
    <w:rsid w:val="00BD4854"/>
    <w:rsid w:val="00C61023"/>
    <w:rsid w:val="00CA6CFB"/>
    <w:rsid w:val="00D55B88"/>
    <w:rsid w:val="00DB533C"/>
    <w:rsid w:val="00DF0493"/>
    <w:rsid w:val="00E04192"/>
    <w:rsid w:val="00E40F0F"/>
    <w:rsid w:val="00E4185E"/>
    <w:rsid w:val="00E52A44"/>
    <w:rsid w:val="00E64C44"/>
    <w:rsid w:val="00E823D6"/>
    <w:rsid w:val="00EA258B"/>
    <w:rsid w:val="00EA2B2F"/>
    <w:rsid w:val="00EB70FE"/>
    <w:rsid w:val="00EC0430"/>
    <w:rsid w:val="00ED29CB"/>
    <w:rsid w:val="00EE6E7B"/>
    <w:rsid w:val="00EF0D07"/>
    <w:rsid w:val="00EF13F6"/>
    <w:rsid w:val="00F306A6"/>
    <w:rsid w:val="00F4156E"/>
    <w:rsid w:val="00F67D60"/>
    <w:rsid w:val="00F740D0"/>
    <w:rsid w:val="00F90A96"/>
    <w:rsid w:val="00F94827"/>
    <w:rsid w:val="00FB0D86"/>
    <w:rsid w:val="00FB3D14"/>
    <w:rsid w:val="00FC713C"/>
    <w:rsid w:val="00FF3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7D81E"/>
  <w15:chartTrackingRefBased/>
  <w15:docId w15:val="{4FA50892-5E06-476B-808C-8703F652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1023"/>
    <w:pPr>
      <w:bidi/>
    </w:pPr>
    <w:rPr>
      <w:rFonts w:cs="Narkisim"/>
      <w:sz w:val="22"/>
      <w:szCs w:val="22"/>
      <w:lang w:eastAsia="he-IL"/>
    </w:rPr>
  </w:style>
  <w:style w:type="paragraph" w:styleId="1">
    <w:name w:val="heading 1"/>
    <w:basedOn w:val="a"/>
    <w:next w:val="a"/>
    <w:link w:val="10"/>
    <w:qFormat/>
    <w:rsid w:val="00C61023"/>
    <w:pPr>
      <w:keepNext/>
      <w:tabs>
        <w:tab w:val="right" w:pos="9469"/>
      </w:tabs>
      <w:jc w:val="both"/>
      <w:outlineLvl w:val="0"/>
    </w:pPr>
    <w:rPr>
      <w:rFonts w:cs="David"/>
      <w:b/>
      <w:bCs/>
      <w:szCs w:val="28"/>
    </w:rPr>
  </w:style>
  <w:style w:type="character" w:default="1" w:styleId="a0">
    <w:name w:val="Default Paragraph Font"/>
    <w:uiPriority w:val="1"/>
    <w:semiHidden/>
    <w:unhideWhenUsed/>
    <w:rsid w:val="00C610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61023"/>
  </w:style>
  <w:style w:type="paragraph" w:styleId="a3">
    <w:name w:val="footnote text"/>
    <w:basedOn w:val="a"/>
    <w:link w:val="a4"/>
    <w:rsid w:val="00C61023"/>
    <w:pPr>
      <w:ind w:left="170" w:hanging="170"/>
      <w:jc w:val="both"/>
    </w:pPr>
    <w:rPr>
      <w:sz w:val="20"/>
      <w:szCs w:val="20"/>
    </w:rPr>
  </w:style>
  <w:style w:type="character" w:styleId="a5">
    <w:name w:val="footnote reference"/>
    <w:semiHidden/>
    <w:rsid w:val="00C61023"/>
    <w:rPr>
      <w:vertAlign w:val="superscript"/>
    </w:rPr>
  </w:style>
  <w:style w:type="paragraph" w:styleId="a6">
    <w:name w:val="header"/>
    <w:basedOn w:val="a"/>
    <w:link w:val="a7"/>
    <w:rsid w:val="00C61023"/>
    <w:pPr>
      <w:tabs>
        <w:tab w:val="center" w:pos="4153"/>
        <w:tab w:val="right" w:pos="8306"/>
      </w:tabs>
    </w:pPr>
  </w:style>
  <w:style w:type="paragraph" w:styleId="a8">
    <w:name w:val="footer"/>
    <w:basedOn w:val="a"/>
    <w:link w:val="a9"/>
    <w:rsid w:val="00C61023"/>
    <w:pPr>
      <w:tabs>
        <w:tab w:val="center" w:pos="4153"/>
        <w:tab w:val="right" w:pos="8306"/>
      </w:tabs>
    </w:pPr>
  </w:style>
  <w:style w:type="paragraph" w:customStyle="1" w:styleId="aa">
    <w:name w:val="כותרת"/>
    <w:basedOn w:val="a"/>
    <w:rsid w:val="00C61023"/>
    <w:pPr>
      <w:spacing w:before="240" w:line="320" w:lineRule="atLeast"/>
      <w:jc w:val="center"/>
    </w:pPr>
    <w:rPr>
      <w:rFonts w:cs="David"/>
      <w:b/>
      <w:bCs/>
      <w:spacing w:val="20"/>
      <w:szCs w:val="32"/>
    </w:rPr>
  </w:style>
  <w:style w:type="paragraph" w:customStyle="1" w:styleId="ab">
    <w:name w:val="כותרת קטע"/>
    <w:basedOn w:val="a"/>
    <w:rsid w:val="00C61023"/>
    <w:pPr>
      <w:spacing w:before="240" w:line="300" w:lineRule="atLeast"/>
    </w:pPr>
    <w:rPr>
      <w:rFonts w:cs="Arial"/>
      <w:b/>
      <w:bCs/>
      <w:szCs w:val="24"/>
    </w:rPr>
  </w:style>
  <w:style w:type="paragraph" w:customStyle="1" w:styleId="ac">
    <w:name w:val="מקור"/>
    <w:basedOn w:val="a"/>
    <w:rsid w:val="00C61023"/>
    <w:pPr>
      <w:spacing w:line="320" w:lineRule="atLeast"/>
      <w:jc w:val="both"/>
    </w:pPr>
    <w:rPr>
      <w:rFonts w:cs="David"/>
      <w:szCs w:val="24"/>
    </w:rPr>
  </w:style>
  <w:style w:type="paragraph" w:customStyle="1" w:styleId="ad">
    <w:name w:val="מחלקי המים"/>
    <w:basedOn w:val="a"/>
    <w:rsid w:val="00C61023"/>
    <w:pPr>
      <w:spacing w:line="320" w:lineRule="atLeast"/>
      <w:jc w:val="both"/>
    </w:pPr>
    <w:rPr>
      <w:b/>
      <w:bCs/>
      <w:szCs w:val="24"/>
    </w:rPr>
  </w:style>
  <w:style w:type="character" w:customStyle="1" w:styleId="a4">
    <w:name w:val="טקסט הערת שוליים תו"/>
    <w:link w:val="a3"/>
    <w:rsid w:val="00C61023"/>
    <w:rPr>
      <w:rFonts w:cs="Narkisim"/>
      <w:lang w:eastAsia="he-IL"/>
    </w:rPr>
  </w:style>
  <w:style w:type="character" w:customStyle="1" w:styleId="10">
    <w:name w:val="כותרת 1 תו"/>
    <w:link w:val="1"/>
    <w:rsid w:val="00C61023"/>
    <w:rPr>
      <w:rFonts w:cs="David"/>
      <w:b/>
      <w:bCs/>
      <w:sz w:val="22"/>
      <w:szCs w:val="28"/>
      <w:lang w:eastAsia="he-IL"/>
    </w:rPr>
  </w:style>
  <w:style w:type="character" w:customStyle="1" w:styleId="a7">
    <w:name w:val="כותרת עליונה תו"/>
    <w:link w:val="a6"/>
    <w:rsid w:val="00C61023"/>
    <w:rPr>
      <w:rFonts w:cs="Narkisim"/>
      <w:sz w:val="22"/>
      <w:szCs w:val="22"/>
      <w:lang w:eastAsia="he-IL"/>
    </w:rPr>
  </w:style>
  <w:style w:type="character" w:customStyle="1" w:styleId="a9">
    <w:name w:val="כותרת תחתונה תו"/>
    <w:link w:val="a8"/>
    <w:rsid w:val="00C61023"/>
    <w:rPr>
      <w:rFonts w:cs="Narkisim"/>
      <w:sz w:val="22"/>
      <w:szCs w:val="22"/>
      <w:lang w:eastAsia="he-IL"/>
    </w:rPr>
  </w:style>
  <w:style w:type="character" w:styleId="ae">
    <w:name w:val="page number"/>
    <w:rsid w:val="00415BEF"/>
  </w:style>
  <w:style w:type="character" w:styleId="Hyperlink">
    <w:name w:val="Hyperlink"/>
    <w:rsid w:val="00C61023"/>
    <w:rPr>
      <w:color w:val="0000FF"/>
      <w:u w:val="single"/>
    </w:rPr>
  </w:style>
  <w:style w:type="paragraph" w:customStyle="1" w:styleId="Normal1">
    <w:name w:val="Normal1"/>
    <w:basedOn w:val="a"/>
    <w:rsid w:val="00D55B88"/>
    <w:pPr>
      <w:spacing w:before="120" w:line="320" w:lineRule="exact"/>
      <w:ind w:left="397"/>
      <w:jc w:val="both"/>
    </w:pPr>
    <w:rPr>
      <w:rFonts w:cs="David"/>
      <w:szCs w:val="24"/>
    </w:rPr>
  </w:style>
  <w:style w:type="paragraph" w:customStyle="1" w:styleId="BulletList">
    <w:name w:val="Bullet List"/>
    <w:basedOn w:val="a"/>
    <w:rsid w:val="00B561CB"/>
    <w:pPr>
      <w:numPr>
        <w:numId w:val="1"/>
      </w:numPr>
      <w:spacing w:before="120" w:line="320" w:lineRule="exact"/>
      <w:ind w:hanging="340"/>
      <w:jc w:val="both"/>
    </w:pPr>
    <w:rPr>
      <w:rFonts w:cs="David"/>
      <w:szCs w:val="24"/>
    </w:rPr>
  </w:style>
  <w:style w:type="paragraph" w:styleId="af">
    <w:name w:val="Balloon Text"/>
    <w:basedOn w:val="a"/>
    <w:link w:val="af0"/>
    <w:uiPriority w:val="99"/>
    <w:unhideWhenUsed/>
    <w:rsid w:val="00C61023"/>
    <w:rPr>
      <w:rFonts w:ascii="Tahoma" w:hAnsi="Tahoma" w:cs="Tahoma"/>
      <w:sz w:val="16"/>
      <w:szCs w:val="16"/>
    </w:rPr>
  </w:style>
  <w:style w:type="character" w:customStyle="1" w:styleId="af0">
    <w:name w:val="טקסט בלונים תו"/>
    <w:link w:val="af"/>
    <w:uiPriority w:val="99"/>
    <w:rsid w:val="00C61023"/>
    <w:rPr>
      <w:rFonts w:ascii="Tahoma" w:hAnsi="Tahoma" w:cs="Tahoma"/>
      <w:sz w:val="16"/>
      <w:szCs w:val="16"/>
      <w:lang w:eastAsia="he-IL"/>
    </w:rPr>
  </w:style>
  <w:style w:type="table" w:styleId="af1">
    <w:name w:val="Table Grid"/>
    <w:basedOn w:val="a1"/>
    <w:rsid w:val="0042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7%D7%93%D7%A9%D7%99%D7%9D-%D7%92%D7%9D-%D7%99%D7%A9%D7%A0%D7%99%D7%9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Bernard_of_Chartres" TargetMode="External"/><Relationship Id="rId4" Type="http://schemas.openxmlformats.org/officeDocument/2006/relationships/settings" Target="settings.xml"/><Relationship Id="rId9" Type="http://schemas.openxmlformats.org/officeDocument/2006/relationships/hyperlink" Target="https://www.biupress.co.il/website/index.asp?id=53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meyuhadim=%D7%9C%D7%99%D7%9E%D7%95%D7%93-%D7%9E%D7%A8%D7%91-%D7%90%D7%97%D7%93-%D7%90%D7%95-%D7%9E%D7%A8%D7%91%D7%99%D7%9D" TargetMode="External"/><Relationship Id="rId1" Type="http://schemas.openxmlformats.org/officeDocument/2006/relationships/hyperlink" Target="https://www.mayim.org.il/?holiday=%D7%97%D7%93%D7%A9%D7%99%D7%9D-%D7%92%D7%9D-%D7%99%D7%A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83B7-6534-462A-8381-F8582BDC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2</Pages>
  <Words>846</Words>
  <Characters>4234</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חדשים גם ישנים</vt:lpstr>
      <vt:lpstr>חדשים גם ישנים</vt:lpstr>
    </vt:vector>
  </TitlesOfParts>
  <Company>Microsoft</Company>
  <LinksUpToDate>false</LinksUpToDate>
  <CharactersWithSpaces>5070</CharactersWithSpaces>
  <SharedDoc>false</SharedDoc>
  <HLinks>
    <vt:vector size="30" baseType="variant">
      <vt:variant>
        <vt:i4>8257593</vt:i4>
      </vt:variant>
      <vt:variant>
        <vt:i4>6</vt:i4>
      </vt:variant>
      <vt:variant>
        <vt:i4>0</vt:i4>
      </vt:variant>
      <vt:variant>
        <vt:i4>5</vt:i4>
      </vt:variant>
      <vt:variant>
        <vt:lpwstr>https://en.wikipedia.org/wiki/Bernard_of_Chartres</vt:lpwstr>
      </vt:variant>
      <vt:variant>
        <vt:lpwstr/>
      </vt:variant>
      <vt:variant>
        <vt:i4>8126500</vt:i4>
      </vt:variant>
      <vt:variant>
        <vt:i4>3</vt:i4>
      </vt:variant>
      <vt:variant>
        <vt:i4>0</vt:i4>
      </vt:variant>
      <vt:variant>
        <vt:i4>5</vt:i4>
      </vt:variant>
      <vt:variant>
        <vt:lpwstr>https://www.biupress.co.il/website/index.asp?id=532</vt:lpwstr>
      </vt:variant>
      <vt:variant>
        <vt:lpwstr/>
      </vt:variant>
      <vt:variant>
        <vt:i4>1769549</vt:i4>
      </vt:variant>
      <vt:variant>
        <vt:i4>0</vt:i4>
      </vt:variant>
      <vt:variant>
        <vt:i4>0</vt:i4>
      </vt:variant>
      <vt:variant>
        <vt:i4>5</vt:i4>
      </vt:variant>
      <vt:variant>
        <vt:lpwstr>https://www.mayim.org.il/?holiday=%D7%97%D7%93%D7%A9%D7%99%D7%9D-%D7%92%D7%9D-%D7%99%D7%A9%D7%A0%D7%99%D7%9D</vt:lpwstr>
      </vt:variant>
      <vt:variant>
        <vt:lpwstr/>
      </vt:variant>
      <vt:variant>
        <vt:i4>4849753</vt:i4>
      </vt:variant>
      <vt:variant>
        <vt:i4>3</vt:i4>
      </vt:variant>
      <vt:variant>
        <vt:i4>0</vt:i4>
      </vt:variant>
      <vt:variant>
        <vt:i4>5</vt:i4>
      </vt:variant>
      <vt:variant>
        <vt:lpwstr>https://www.mayim.org.il/?meyuhadim=%D7%9C%D7%99%D7%9E%D7%95%D7%93-%D7%9E%D7%A8%D7%91-%D7%90%D7%97%D7%93-%D7%90%D7%95-%D7%9E%D7%A8%D7%91%D7%99%D7%9D</vt:lpwstr>
      </vt:variant>
      <vt:variant>
        <vt:lpwstr/>
      </vt:variant>
      <vt:variant>
        <vt:i4>1769549</vt:i4>
      </vt:variant>
      <vt:variant>
        <vt:i4>0</vt:i4>
      </vt:variant>
      <vt:variant>
        <vt:i4>0</vt:i4>
      </vt:variant>
      <vt:variant>
        <vt:i4>5</vt:i4>
      </vt:variant>
      <vt:variant>
        <vt:lpwstr>https://www.mayim.org.il/?holiday=%D7%97%D7%93%D7%A9%D7%99%D7%9D-%D7%92%D7%9D-%D7%99%D7%A9%D7%A0%D7%99%D7%9D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חדשים גם ישנים - נספח</dc:title>
  <dc:subject>שבת חול המועד פסח, שיר השירים</dc:subject>
  <dc:creator>Asher Yuval</dc:creator>
  <cp:keywords/>
  <cp:lastModifiedBy>Shimon Afek</cp:lastModifiedBy>
  <cp:revision>2</cp:revision>
  <cp:lastPrinted>2015-12-12T22:49:00Z</cp:lastPrinted>
  <dcterms:created xsi:type="dcterms:W3CDTF">2020-12-29T06:42:00Z</dcterms:created>
  <dcterms:modified xsi:type="dcterms:W3CDTF">2020-12-29T06:42:00Z</dcterms:modified>
</cp:coreProperties>
</file>