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5E802" w14:textId="77777777" w:rsidR="00334BB7" w:rsidRDefault="00334BB7" w:rsidP="0057153A">
      <w:pPr>
        <w:pStyle w:val="aa"/>
        <w:rPr>
          <w:rFonts w:hint="cs"/>
          <w:rtl/>
        </w:rPr>
      </w:pPr>
      <w:fldSimple w:instr=" TITLE  \* MERGEFORMAT ">
        <w:r>
          <w:rPr>
            <w:rtl/>
          </w:rPr>
          <w:t>פָּרָא בָּסִילֶיוֹס נוֹמוֹס אַגְרָפוֹס</w:t>
        </w:r>
      </w:fldSimple>
    </w:p>
    <w:p w14:paraId="6EB25769" w14:textId="77777777" w:rsidR="00334BB7" w:rsidRDefault="00334BB7">
      <w:pPr>
        <w:spacing w:before="120"/>
        <w:jc w:val="center"/>
        <w:rPr>
          <w:rFonts w:cs="David" w:hint="cs"/>
          <w:b/>
          <w:bCs/>
          <w:sz w:val="28"/>
          <w:szCs w:val="28"/>
          <w:rtl/>
        </w:rPr>
      </w:pPr>
      <w:r>
        <w:rPr>
          <w:rFonts w:cs="David"/>
          <w:b/>
          <w:bCs/>
          <w:sz w:val="28"/>
          <w:szCs w:val="28"/>
          <w:rtl/>
        </w:rPr>
        <w:t>על הקשר בין סדום לעקידה</w:t>
      </w:r>
    </w:p>
    <w:p w14:paraId="4AD04A4F" w14:textId="77777777" w:rsidR="00334BB7" w:rsidRDefault="00334BB7" w:rsidP="0057153A">
      <w:pPr>
        <w:autoSpaceDE w:val="0"/>
        <w:autoSpaceDN w:val="0"/>
        <w:adjustRightInd w:val="0"/>
        <w:spacing w:before="240" w:line="276" w:lineRule="auto"/>
        <w:rPr>
          <w:rFonts w:hint="cs"/>
          <w:rtl/>
          <w:lang w:val="he-IL"/>
        </w:rPr>
      </w:pPr>
      <w:r>
        <w:rPr>
          <w:rFonts w:cs="David" w:hint="cs"/>
          <w:b/>
          <w:bCs/>
          <w:sz w:val="24"/>
          <w:szCs w:val="24"/>
          <w:rtl/>
          <w:lang w:val="he-IL"/>
        </w:rPr>
        <w:t>חָלִלָה לְּךָ מֵעֲשֹׂת כַּדָּבָר הַזֶּה לְהָמִית צַדִּיק עִם רָשָׁע ... חָלִלָה לָּך,ְ הֲשֹׁפֵט כָּל הָאָרֶץ לֹא יַעֲשֶׂה מִשְׁפָּט</w:t>
      </w:r>
      <w:r w:rsidR="0057153A">
        <w:rPr>
          <w:rFonts w:cs="David" w:hint="cs"/>
          <w:b/>
          <w:bCs/>
          <w:sz w:val="24"/>
          <w:szCs w:val="24"/>
          <w:rtl/>
          <w:lang w:val="he-IL"/>
        </w:rPr>
        <w:t>.</w:t>
      </w:r>
      <w:r>
        <w:rPr>
          <w:rFonts w:cs="David" w:hint="cs"/>
          <w:b/>
          <w:bCs/>
          <w:sz w:val="24"/>
          <w:szCs w:val="24"/>
          <w:rtl/>
          <w:lang w:val="he-IL"/>
        </w:rPr>
        <w:t xml:space="preserve"> </w:t>
      </w:r>
      <w:r>
        <w:rPr>
          <w:rFonts w:hint="cs"/>
          <w:rtl/>
          <w:lang w:val="he-IL"/>
        </w:rPr>
        <w:t>(בראשית יח כה)</w:t>
      </w:r>
      <w:r w:rsidR="009B2669">
        <w:rPr>
          <w:rFonts w:hint="cs"/>
          <w:rtl/>
          <w:lang w:val="he-IL"/>
        </w:rPr>
        <w:t>.</w:t>
      </w:r>
    </w:p>
    <w:p w14:paraId="33BF9995" w14:textId="77777777" w:rsidR="00334BB7" w:rsidRDefault="00334BB7" w:rsidP="0057153A">
      <w:pPr>
        <w:autoSpaceDE w:val="0"/>
        <w:autoSpaceDN w:val="0"/>
        <w:adjustRightInd w:val="0"/>
        <w:spacing w:before="120" w:line="276" w:lineRule="auto"/>
        <w:rPr>
          <w:rFonts w:hint="cs"/>
          <w:rtl/>
          <w:lang w:val="he-IL"/>
        </w:rPr>
      </w:pPr>
      <w:r>
        <w:rPr>
          <w:rFonts w:cs="David" w:hint="cs"/>
          <w:b/>
          <w:bCs/>
          <w:sz w:val="24"/>
          <w:szCs w:val="24"/>
          <w:rtl/>
          <w:lang w:val="he-IL"/>
        </w:rPr>
        <w:t>בַּאֲשֶׁר דְּבַר מֶלֶךְ שִׁלְטוֹן וּמִי יֹאמַר לוֹ מַה תַּעֲשֶׂה</w:t>
      </w:r>
      <w:r w:rsidR="0057153A">
        <w:rPr>
          <w:rFonts w:hint="cs"/>
          <w:rtl/>
          <w:lang w:val="he-IL"/>
        </w:rPr>
        <w:t>.</w:t>
      </w:r>
      <w:r>
        <w:rPr>
          <w:rFonts w:hint="cs"/>
          <w:rtl/>
          <w:lang w:val="he-IL"/>
        </w:rPr>
        <w:t xml:space="preserve"> (קהלת ח ד)</w:t>
      </w:r>
      <w:r w:rsidR="009B2669">
        <w:rPr>
          <w:rFonts w:hint="cs"/>
          <w:rtl/>
          <w:lang w:val="he-IL"/>
        </w:rPr>
        <w:t>.</w:t>
      </w:r>
    </w:p>
    <w:p w14:paraId="5873BDA6" w14:textId="77777777" w:rsidR="00334BB7" w:rsidRDefault="00334BB7" w:rsidP="00C97944">
      <w:pPr>
        <w:pStyle w:val="ab"/>
        <w:spacing w:line="276" w:lineRule="auto"/>
        <w:rPr>
          <w:rtl/>
        </w:rPr>
      </w:pPr>
      <w:r>
        <w:rPr>
          <w:rtl/>
        </w:rPr>
        <w:t>ויקרא רבה, בחוקתי, פרשה לה סימן ג</w:t>
      </w:r>
    </w:p>
    <w:p w14:paraId="6B3F5EF2" w14:textId="77777777" w:rsidR="00334BB7" w:rsidRDefault="00334BB7" w:rsidP="00FF356D">
      <w:pPr>
        <w:pStyle w:val="ac"/>
        <w:rPr>
          <w:rFonts w:hint="cs"/>
          <w:rtl/>
        </w:rPr>
      </w:pPr>
      <w:r>
        <w:rPr>
          <w:rtl/>
        </w:rPr>
        <w:t xml:space="preserve">אמר ר' אלעזר: </w:t>
      </w:r>
      <w:fldSimple w:instr=" TITLE  \* MERGEFORMAT ">
        <w:r w:rsidR="0057153A">
          <w:rPr>
            <w:rtl/>
          </w:rPr>
          <w:t>פָּרָא בָּסִילֶיוֹס נוֹמוֹס אַגְרָפוֹס</w:t>
        </w:r>
      </w:fldSimple>
      <w:r>
        <w:rPr>
          <w:rtl/>
        </w:rPr>
        <w:t>.</w:t>
      </w:r>
      <w:r w:rsidR="0057153A">
        <w:rPr>
          <w:rStyle w:val="a5"/>
          <w:rtl/>
        </w:rPr>
        <w:footnoteReference w:id="1"/>
      </w:r>
      <w:r>
        <w:rPr>
          <w:rtl/>
        </w:rPr>
        <w:t xml:space="preserve"> בנוהג שבעולם מלך בשר ודם גוזר גזירה אם רוצה הוא מקיימה ואם לאו סוף שהוא מקיימה על ידי אחרים</w:t>
      </w:r>
      <w:r>
        <w:rPr>
          <w:rFonts w:hint="cs"/>
          <w:rtl/>
        </w:rPr>
        <w:t>.</w:t>
      </w:r>
      <w:r w:rsidR="00FF356D">
        <w:rPr>
          <w:rStyle w:val="a5"/>
          <w:rtl/>
        </w:rPr>
        <w:footnoteReference w:id="2"/>
      </w:r>
      <w:r>
        <w:rPr>
          <w:rtl/>
        </w:rPr>
        <w:t xml:space="preserve"> אבל הקב"ה אינו כן</w:t>
      </w:r>
      <w:r>
        <w:rPr>
          <w:rFonts w:hint="cs"/>
          <w:rtl/>
        </w:rPr>
        <w:t>,</w:t>
      </w:r>
      <w:r>
        <w:rPr>
          <w:rtl/>
        </w:rPr>
        <w:t xml:space="preserve"> אלא גוזר גזירה והוא מקיימה תחילה</w:t>
      </w:r>
      <w:r>
        <w:rPr>
          <w:rFonts w:hint="cs"/>
          <w:rtl/>
        </w:rPr>
        <w:t>:</w:t>
      </w:r>
      <w:r>
        <w:rPr>
          <w:rtl/>
        </w:rPr>
        <w:t xml:space="preserve"> "מפני שיבה תקום והדרת פני זקן ויראת מאלהיך אני ה'</w:t>
      </w:r>
      <w:r w:rsidR="00674175">
        <w:rPr>
          <w:rFonts w:hint="cs"/>
          <w:rtl/>
        </w:rPr>
        <w:t xml:space="preserve"> </w:t>
      </w:r>
      <w:r>
        <w:rPr>
          <w:rtl/>
        </w:rPr>
        <w:t>" (ויקרא יט לב)</w:t>
      </w:r>
      <w:r>
        <w:rPr>
          <w:rFonts w:hint="cs"/>
          <w:rtl/>
        </w:rPr>
        <w:t xml:space="preserve"> - </w:t>
      </w:r>
      <w:r>
        <w:rPr>
          <w:rtl/>
        </w:rPr>
        <w:t>אני הוא שקיימתי מצוות עמידת זקן תחילה</w:t>
      </w:r>
      <w:r>
        <w:rPr>
          <w:rFonts w:hint="cs"/>
          <w:rtl/>
        </w:rPr>
        <w:t>.</w:t>
      </w:r>
      <w:r w:rsidR="00FF356D">
        <w:rPr>
          <w:rStyle w:val="a5"/>
          <w:rtl/>
        </w:rPr>
        <w:footnoteReference w:id="3"/>
      </w:r>
    </w:p>
    <w:p w14:paraId="792A5B5A" w14:textId="77777777" w:rsidR="009B2669" w:rsidRDefault="009B2669" w:rsidP="009B2669">
      <w:pPr>
        <w:pStyle w:val="ab"/>
        <w:rPr>
          <w:rtl/>
        </w:rPr>
      </w:pPr>
      <w:r>
        <w:rPr>
          <w:rtl/>
        </w:rPr>
        <w:t>מסכת סוכה דף ל עמוד א</w:t>
      </w:r>
    </w:p>
    <w:p w14:paraId="68FF8C32" w14:textId="77777777" w:rsidR="009B2669" w:rsidRDefault="009B2669" w:rsidP="009B2669">
      <w:pPr>
        <w:pStyle w:val="ac"/>
        <w:rPr>
          <w:rFonts w:hint="cs"/>
          <w:rtl/>
        </w:rPr>
      </w:pPr>
      <w:r>
        <w:rPr>
          <w:rtl/>
        </w:rPr>
        <w:t>ואמר רבי יוחנן משום רבי שמעון בן יוחי: מאי דכתיב</w:t>
      </w:r>
      <w:r>
        <w:rPr>
          <w:rFonts w:hint="cs"/>
          <w:rtl/>
        </w:rPr>
        <w:t>:</w:t>
      </w:r>
      <w:r>
        <w:rPr>
          <w:rtl/>
        </w:rPr>
        <w:t xml:space="preserve"> </w:t>
      </w:r>
      <w:r>
        <w:rPr>
          <w:rFonts w:hint="cs"/>
          <w:rtl/>
        </w:rPr>
        <w:t>"</w:t>
      </w:r>
      <w:r>
        <w:rPr>
          <w:rtl/>
        </w:rPr>
        <w:t>כִּי אֲנִי ה' אֹהֵב מִשְׁפָּט שֹׂנֵא גָזֵל בְּעוֹלָה</w:t>
      </w:r>
      <w:r>
        <w:rPr>
          <w:rFonts w:hint="cs"/>
          <w:rtl/>
        </w:rPr>
        <w:t>" (</w:t>
      </w:r>
      <w:r>
        <w:rPr>
          <w:rtl/>
        </w:rPr>
        <w:t>ישעיהו סא ח</w:t>
      </w:r>
      <w:r>
        <w:rPr>
          <w:rFonts w:hint="cs"/>
          <w:rtl/>
        </w:rPr>
        <w:t>)</w:t>
      </w:r>
      <w:r>
        <w:rPr>
          <w:rtl/>
        </w:rPr>
        <w:t>. משל למלך בשר ודם שהיה עובר על בית המכס, אמר לעבדיו: תנו מכס למוכסים. אמרו לו: והלא כל המכס כולו שלך הוא! אמר להם: ממני ילמדו כל עוברי דרכים, ולא יבריחו עצמן מן המכס. אף הקדוש ברוך הוא אמר: אני ה' שונא גזל בעולה,</w:t>
      </w:r>
      <w:r w:rsidR="00123307">
        <w:rPr>
          <w:rStyle w:val="a5"/>
          <w:rtl/>
        </w:rPr>
        <w:footnoteReference w:id="4"/>
      </w:r>
      <w:r>
        <w:rPr>
          <w:rtl/>
        </w:rPr>
        <w:t xml:space="preserve"> ממני ילמדו בני ויבריחו עצמן מן הגזל.</w:t>
      </w:r>
      <w:r w:rsidR="00123307">
        <w:rPr>
          <w:rStyle w:val="a5"/>
          <w:rtl/>
        </w:rPr>
        <w:footnoteReference w:id="5"/>
      </w:r>
    </w:p>
    <w:p w14:paraId="2EB247C9" w14:textId="77777777" w:rsidR="00334BB7" w:rsidRDefault="00334BB7" w:rsidP="00C97944">
      <w:pPr>
        <w:pStyle w:val="ab"/>
        <w:spacing w:line="276" w:lineRule="auto"/>
        <w:rPr>
          <w:rtl/>
        </w:rPr>
      </w:pPr>
      <w:r>
        <w:rPr>
          <w:rtl/>
        </w:rPr>
        <w:t>בראשית רבה, לך לך, פרשה לט סימן ו</w:t>
      </w:r>
    </w:p>
    <w:p w14:paraId="0878B9E6" w14:textId="77777777" w:rsidR="00971DA8" w:rsidRDefault="00334BB7" w:rsidP="00971DA8">
      <w:pPr>
        <w:pStyle w:val="ac"/>
        <w:rPr>
          <w:rFonts w:hint="cs"/>
          <w:rtl/>
        </w:rPr>
      </w:pPr>
      <w:r>
        <w:rPr>
          <w:rtl/>
        </w:rPr>
        <w:t>רבי עזריה משום רבי אחא פתח: "אהבת צדק ותשנא רשע על כן משחך אלהים אלהיך שמן ששון מחבריך" (תהלים מה ח). רבי עזריה פתר המקרא באברהם. בשעה שעמד אברהם אבינו לבקש רחמים על הסדומ</w:t>
      </w:r>
      <w:r w:rsidR="00915628">
        <w:rPr>
          <w:rFonts w:hint="cs"/>
          <w:rtl/>
        </w:rPr>
        <w:t>י</w:t>
      </w:r>
      <w:r>
        <w:rPr>
          <w:rtl/>
        </w:rPr>
        <w:t>ים, מה כתיב שם? "חלילה לך מעשות כדבר הזה להמית צדיק עם רשע והיה כצדיק כרשע" (בראשית יח</w:t>
      </w:r>
      <w:r>
        <w:rPr>
          <w:rFonts w:hint="cs"/>
          <w:rtl/>
        </w:rPr>
        <w:t xml:space="preserve"> כה</w:t>
      </w:r>
      <w:r>
        <w:rPr>
          <w:rtl/>
        </w:rPr>
        <w:t>).</w:t>
      </w:r>
      <w:r w:rsidR="00971DA8">
        <w:rPr>
          <w:rStyle w:val="a5"/>
          <w:rtl/>
        </w:rPr>
        <w:footnoteReference w:id="6"/>
      </w:r>
      <w:r>
        <w:rPr>
          <w:rtl/>
        </w:rPr>
        <w:t xml:space="preserve"> </w:t>
      </w:r>
    </w:p>
    <w:p w14:paraId="1A8051CC" w14:textId="77777777" w:rsidR="00971DA8" w:rsidRDefault="00334BB7" w:rsidP="00971DA8">
      <w:pPr>
        <w:pStyle w:val="ac"/>
        <w:rPr>
          <w:rFonts w:hint="cs"/>
          <w:rtl/>
        </w:rPr>
      </w:pPr>
      <w:r>
        <w:rPr>
          <w:rtl/>
        </w:rPr>
        <w:t>אמר ר' אחא: נשבעת ואמרת שאין אתה מביא מבול לעולם, ומה אתה מערים על השבועה? אתמהא! מבול של מים אין אתה מביא, מבול אש אתה מביא? אם כן לא יצאת ידי השבועה!</w:t>
      </w:r>
      <w:r w:rsidR="00DF145B">
        <w:rPr>
          <w:rStyle w:val="a5"/>
          <w:rtl/>
        </w:rPr>
        <w:footnoteReference w:id="7"/>
      </w:r>
      <w:r>
        <w:rPr>
          <w:rtl/>
        </w:rPr>
        <w:t xml:space="preserve"> </w:t>
      </w:r>
    </w:p>
    <w:p w14:paraId="47CEBD26" w14:textId="77777777" w:rsidR="00334BB7" w:rsidRDefault="00334BB7" w:rsidP="00971DA8">
      <w:pPr>
        <w:pStyle w:val="ac"/>
        <w:rPr>
          <w:rFonts w:hint="cs"/>
          <w:rtl/>
        </w:rPr>
      </w:pPr>
      <w:r>
        <w:rPr>
          <w:rtl/>
        </w:rPr>
        <w:t>אמר רבי לוי: "השופט כל הארץ לא יעשה משפט" - אם עולם אתה מבקש אין דין, ואם דין אתה מבקש אין עולם, ומה אתה תופש חבל בשני ראשים? אתה מבקש עולם ומבקש דין, טול לך אחד מהם</w:t>
      </w:r>
      <w:r w:rsidR="00971DA8">
        <w:rPr>
          <w:rFonts w:hint="cs"/>
          <w:rtl/>
        </w:rPr>
        <w:t>.</w:t>
      </w:r>
      <w:r>
        <w:rPr>
          <w:rtl/>
        </w:rPr>
        <w:t xml:space="preserve"> ואם אין אתה מוותר מעט,</w:t>
      </w:r>
      <w:r w:rsidR="005314E5">
        <w:rPr>
          <w:rStyle w:val="a5"/>
          <w:rtl/>
        </w:rPr>
        <w:footnoteReference w:id="8"/>
      </w:r>
      <w:r>
        <w:rPr>
          <w:rtl/>
        </w:rPr>
        <w:t xml:space="preserve"> אין העולם יכול לעמוד. אמר לו הקב"ה: אברהם, "אהבת צדק ותשנא רשע על כן משחך אלהים </w:t>
      </w:r>
      <w:r>
        <w:rPr>
          <w:rtl/>
        </w:rPr>
        <w:lastRenderedPageBreak/>
        <w:t>אלהיך שמן ששון מחבריך", מהו "מחבריך"? מנח ועד אצלך עשרה דורות, ומכולם לא דברתי עם אחד מהם אלא עמך.</w:t>
      </w:r>
      <w:r w:rsidR="00971DA8">
        <w:rPr>
          <w:rStyle w:val="a5"/>
          <w:rtl/>
        </w:rPr>
        <w:footnoteReference w:id="9"/>
      </w:r>
    </w:p>
    <w:p w14:paraId="613B43ED" w14:textId="77777777" w:rsidR="00915628" w:rsidRDefault="00915628" w:rsidP="00915628">
      <w:pPr>
        <w:pStyle w:val="ab"/>
        <w:rPr>
          <w:rFonts w:hint="cs"/>
          <w:rtl/>
          <w:lang w:eastAsia="en-US"/>
        </w:rPr>
      </w:pPr>
      <w:r>
        <w:rPr>
          <w:rtl/>
          <w:lang w:eastAsia="en-US"/>
        </w:rPr>
        <w:t>שמות רבה מג ד</w:t>
      </w:r>
    </w:p>
    <w:p w14:paraId="39A9D53B" w14:textId="77777777" w:rsidR="00915628" w:rsidRDefault="00915628" w:rsidP="00915628">
      <w:pPr>
        <w:pStyle w:val="ac"/>
      </w:pPr>
      <w:r>
        <w:rPr>
          <w:rtl/>
          <w:lang w:eastAsia="en-US"/>
        </w:rPr>
        <w:t>"ויחל משה</w:t>
      </w:r>
      <w:r>
        <w:rPr>
          <w:rFonts w:hint="cs"/>
          <w:rtl/>
          <w:lang w:eastAsia="en-US"/>
        </w:rPr>
        <w:t>"</w:t>
      </w:r>
      <w:r>
        <w:rPr>
          <w:rtl/>
          <w:lang w:eastAsia="en-US"/>
        </w:rPr>
        <w:t xml:space="preserve"> - ... שהתיר נדרו של יוצרו. כיצד? אלא בשעה שעשו ישראל העגל עמד משה מפייס האלהים שימחול להם. אמר לו האלהים: משה, כבר נשבעתי: "זובח לאלהים יחרם" (שמות כב יט), ודבר שבועה שיצא מפי איני מחזירו. אמר משה: ריבון העולם, ולא נתתי לי הפרה של נדרים ואמרת: "איש כי ידור נדר לה' או השבע שבועה לאסור אסר על נפשו לא יחל דברו" (במדבר ל ג) - הוא אינו מוחל אבל חכם מוחל את נדרו בעת שישאל עליו?! וכל זקן שמורה הוראה אם ירצה שיקבלו אחרים הוראתו צריך הוא לקיימה תחילה.</w:t>
      </w:r>
      <w:r>
        <w:rPr>
          <w:rStyle w:val="a5"/>
          <w:rtl/>
          <w:lang w:eastAsia="en-US"/>
        </w:rPr>
        <w:footnoteReference w:id="10"/>
      </w:r>
      <w:r>
        <w:rPr>
          <w:rtl/>
          <w:lang w:eastAsia="en-US"/>
        </w:rPr>
        <w:t xml:space="preserve"> </w:t>
      </w:r>
    </w:p>
    <w:p w14:paraId="4366151F" w14:textId="77777777" w:rsidR="00334BB7" w:rsidRDefault="00334BB7" w:rsidP="00C97944">
      <w:pPr>
        <w:pStyle w:val="ab"/>
        <w:spacing w:line="276" w:lineRule="auto"/>
        <w:rPr>
          <w:rFonts w:hint="cs"/>
          <w:rtl/>
        </w:rPr>
      </w:pPr>
      <w:r>
        <w:rPr>
          <w:rtl/>
        </w:rPr>
        <w:t>בראשית רבה</w:t>
      </w:r>
      <w:r>
        <w:rPr>
          <w:rFonts w:hint="cs"/>
          <w:rtl/>
        </w:rPr>
        <w:t>, פרשת וירא,</w:t>
      </w:r>
      <w:r>
        <w:rPr>
          <w:rtl/>
        </w:rPr>
        <w:t xml:space="preserve"> פרשה מט סימן ט</w:t>
      </w:r>
    </w:p>
    <w:p w14:paraId="3E451430" w14:textId="77777777" w:rsidR="00334BB7" w:rsidRDefault="00334BB7" w:rsidP="0057153A">
      <w:pPr>
        <w:pStyle w:val="ac"/>
        <w:rPr>
          <w:rtl/>
        </w:rPr>
      </w:pPr>
      <w:r>
        <w:rPr>
          <w:rtl/>
        </w:rPr>
        <w:t>"חלילה לך" - אמר ר' יודן חללה ההיא לך!</w:t>
      </w:r>
      <w:r w:rsidR="0057153A">
        <w:rPr>
          <w:rStyle w:val="a5"/>
          <w:rtl/>
        </w:rPr>
        <w:footnoteReference w:id="11"/>
      </w:r>
      <w:r>
        <w:rPr>
          <w:rtl/>
        </w:rPr>
        <w:t xml:space="preserve"> זרה היא לך! אמר ר' אחא: חילול שם שמים יש בדבר.</w:t>
      </w:r>
      <w:r w:rsidR="00A4447C">
        <w:rPr>
          <w:rStyle w:val="a5"/>
          <w:rtl/>
        </w:rPr>
        <w:footnoteReference w:id="12"/>
      </w:r>
    </w:p>
    <w:p w14:paraId="7B244BAD" w14:textId="77777777" w:rsidR="00334BB7" w:rsidRDefault="00334BB7" w:rsidP="00066E65">
      <w:pPr>
        <w:pStyle w:val="ac"/>
        <w:rPr>
          <w:rFonts w:hint="cs"/>
          <w:rtl/>
        </w:rPr>
      </w:pPr>
      <w:r>
        <w:rPr>
          <w:rtl/>
        </w:rPr>
        <w:t>אמר ר' לוי: שני בני אדם אמרו דבר אחד: אברהם ואיוב. אברהם אמר: "חלילה לך מעשות כדבר הזה להמית צדיק עם רשע". איוב אמר: "אחת היא על כן אמרתי תם ורשע הוא מכלה". אברהם נטל עליה שכר, איוב נענש עליה. אברהם אמר ב</w:t>
      </w:r>
      <w:r w:rsidR="003939C4">
        <w:rPr>
          <w:rtl/>
        </w:rPr>
        <w:t>ִּ</w:t>
      </w:r>
      <w:r>
        <w:rPr>
          <w:rtl/>
        </w:rPr>
        <w:t>יש</w:t>
      </w:r>
      <w:r w:rsidR="003939C4">
        <w:rPr>
          <w:rtl/>
        </w:rPr>
        <w:t>ׁ</w:t>
      </w:r>
      <w:r>
        <w:rPr>
          <w:rtl/>
        </w:rPr>
        <w:t>ו</w:t>
      </w:r>
      <w:r w:rsidR="003939C4">
        <w:rPr>
          <w:rtl/>
        </w:rPr>
        <w:t>ּ</w:t>
      </w:r>
      <w:r>
        <w:rPr>
          <w:rtl/>
        </w:rPr>
        <w:t>ל</w:t>
      </w:r>
      <w:r w:rsidR="003939C4">
        <w:rPr>
          <w:rtl/>
        </w:rPr>
        <w:t>ָ</w:t>
      </w:r>
      <w:r>
        <w:rPr>
          <w:rtl/>
        </w:rPr>
        <w:t>ה, איוב אמר פ</w:t>
      </w:r>
      <w:r w:rsidR="003939C4">
        <w:rPr>
          <w:rtl/>
        </w:rPr>
        <w:t>ָּ</w:t>
      </w:r>
      <w:r>
        <w:rPr>
          <w:rtl/>
        </w:rPr>
        <w:t>ג</w:t>
      </w:r>
      <w:r w:rsidR="003939C4">
        <w:rPr>
          <w:rtl/>
        </w:rPr>
        <w:t>ָ</w:t>
      </w:r>
      <w:r>
        <w:rPr>
          <w:rtl/>
        </w:rPr>
        <w:t>ה</w:t>
      </w:r>
      <w:r>
        <w:rPr>
          <w:rFonts w:hint="cs"/>
          <w:rtl/>
        </w:rPr>
        <w:t>.</w:t>
      </w:r>
      <w:r w:rsidR="00066E65">
        <w:rPr>
          <w:rStyle w:val="a5"/>
          <w:rtl/>
        </w:rPr>
        <w:footnoteReference w:id="13"/>
      </w:r>
    </w:p>
    <w:p w14:paraId="3A782EAC" w14:textId="77777777" w:rsidR="00334BB7" w:rsidRDefault="00334BB7" w:rsidP="00066E65">
      <w:pPr>
        <w:pStyle w:val="ac"/>
        <w:rPr>
          <w:rFonts w:hint="cs"/>
          <w:rtl/>
        </w:rPr>
      </w:pPr>
      <w:r>
        <w:rPr>
          <w:rtl/>
        </w:rPr>
        <w:t>אמר ר' יהודה בן ר' סימון: כך אמר לו אברהם: מלך בשר ודם תולין לו אנקליטון</w:t>
      </w:r>
      <w:r w:rsidR="00066E65">
        <w:rPr>
          <w:rStyle w:val="a5"/>
          <w:rtl/>
        </w:rPr>
        <w:footnoteReference w:id="14"/>
      </w:r>
      <w:r>
        <w:rPr>
          <w:rtl/>
        </w:rPr>
        <w:t xml:space="preserve"> מדוכוס לאפרכוס, מאפרכוס לאסטרליטוס. ואתה בשביל שאין לך מי שיתלה לך אנקליטון, לא תעשה משפט?</w:t>
      </w:r>
      <w:r w:rsidR="003939C4">
        <w:rPr>
          <w:rStyle w:val="a5"/>
          <w:rtl/>
        </w:rPr>
        <w:footnoteReference w:id="15"/>
      </w:r>
    </w:p>
    <w:p w14:paraId="2FA35C05" w14:textId="77777777" w:rsidR="00334BB7" w:rsidRDefault="00334BB7" w:rsidP="00C97944">
      <w:pPr>
        <w:pStyle w:val="ab"/>
        <w:spacing w:line="276" w:lineRule="auto"/>
        <w:rPr>
          <w:rFonts w:hint="cs"/>
          <w:rtl/>
        </w:rPr>
      </w:pPr>
      <w:r>
        <w:rPr>
          <w:rtl/>
        </w:rPr>
        <w:t>בראשית רבה פרשה נה סימן ג</w:t>
      </w:r>
    </w:p>
    <w:p w14:paraId="290DF5FF" w14:textId="77777777" w:rsidR="00334BB7" w:rsidRDefault="00334BB7" w:rsidP="00066E65">
      <w:pPr>
        <w:pStyle w:val="ac"/>
        <w:rPr>
          <w:rFonts w:hint="cs"/>
          <w:rtl/>
        </w:rPr>
      </w:pPr>
      <w:r>
        <w:rPr>
          <w:rtl/>
        </w:rPr>
        <w:t>"ויהי אחר הדברים האלה והאלהים נ</w:t>
      </w:r>
      <w:r w:rsidR="003939C4">
        <w:rPr>
          <w:rFonts w:hint="cs"/>
          <w:rtl/>
        </w:rPr>
        <w:t>י</w:t>
      </w:r>
      <w:r>
        <w:rPr>
          <w:rtl/>
        </w:rPr>
        <w:t>סה את אברהם" - רבי אבון פתח: "באשר דבר מלך שלטון ומי יאמר לו מה תעשה" (קהלת ח ד). אמר ר' אבון: [משל] לרב שהיה מצוה לתלמידו ואומר לו: "לא תטה משפט" והוא מטה משפט, "לא תכיר פנים" והוא מכיר פנים, "לא תקח שוחד", והוא לוקח שוחד. אמר לו תלמידו: רבי, אתה אומר לי "לא תלוה בריבית" ואת מלוה בריבית? לך מותר ולי אסור? .... כתוב "לא תנסו את ה' אלהיכם"</w:t>
      </w:r>
      <w:r w:rsidR="00066E65">
        <w:rPr>
          <w:rStyle w:val="a5"/>
          <w:rtl/>
        </w:rPr>
        <w:footnoteReference w:id="16"/>
      </w:r>
      <w:r>
        <w:rPr>
          <w:rtl/>
        </w:rPr>
        <w:t xml:space="preserve"> - "והאלהים נ</w:t>
      </w:r>
      <w:r w:rsidR="003939C4">
        <w:rPr>
          <w:rFonts w:hint="cs"/>
          <w:rtl/>
        </w:rPr>
        <w:t>י</w:t>
      </w:r>
      <w:r>
        <w:rPr>
          <w:rtl/>
        </w:rPr>
        <w:t>סה את אברהם"?</w:t>
      </w:r>
      <w:r w:rsidR="00066E65">
        <w:rPr>
          <w:rStyle w:val="a5"/>
          <w:rtl/>
        </w:rPr>
        <w:footnoteReference w:id="17"/>
      </w:r>
    </w:p>
    <w:p w14:paraId="17A30ABC" w14:textId="77777777" w:rsidR="00334BB7" w:rsidRDefault="00334BB7" w:rsidP="00C97944">
      <w:pPr>
        <w:pStyle w:val="ab"/>
        <w:spacing w:line="276" w:lineRule="auto"/>
        <w:rPr>
          <w:rtl/>
        </w:rPr>
      </w:pPr>
      <w:r>
        <w:rPr>
          <w:rtl/>
        </w:rPr>
        <w:lastRenderedPageBreak/>
        <w:t>בראשית רבה פרשה נו סימן יא</w:t>
      </w:r>
    </w:p>
    <w:p w14:paraId="64DF92A1" w14:textId="77777777" w:rsidR="00334BB7" w:rsidRDefault="00334BB7" w:rsidP="00066E65">
      <w:pPr>
        <w:pStyle w:val="ac"/>
        <w:rPr>
          <w:rtl/>
        </w:rPr>
      </w:pPr>
      <w:r>
        <w:rPr>
          <w:rtl/>
        </w:rPr>
        <w:t>"ויקרא מלאך ה' אליו שנית ... ויאמר בי נשבעתי" - מה צורך לשבועה זו? אמר לו: השבע לי שאין אתה מנסה אותי עוד מעתה ולא את בני יצחק</w:t>
      </w:r>
      <w:r w:rsidR="003939C4">
        <w:rPr>
          <w:rFonts w:hint="cs"/>
          <w:rtl/>
        </w:rPr>
        <w:t>.</w:t>
      </w:r>
      <w:r w:rsidR="00066E65">
        <w:rPr>
          <w:rStyle w:val="a5"/>
          <w:rtl/>
        </w:rPr>
        <w:footnoteReference w:id="18"/>
      </w:r>
    </w:p>
    <w:p w14:paraId="70091D80" w14:textId="77777777" w:rsidR="00915628" w:rsidRPr="009565B3" w:rsidRDefault="00915628" w:rsidP="009565B3">
      <w:pPr>
        <w:pStyle w:val="ab"/>
        <w:rPr>
          <w:rFonts w:hint="cs"/>
          <w:rtl/>
        </w:rPr>
      </w:pPr>
      <w:r w:rsidRPr="009565B3">
        <w:rPr>
          <w:rFonts w:hint="cs"/>
          <w:rtl/>
        </w:rPr>
        <w:t>אחרית דבר</w:t>
      </w:r>
    </w:p>
    <w:p w14:paraId="28BDB0BC" w14:textId="77777777" w:rsidR="00334BB7" w:rsidRPr="003939C4" w:rsidRDefault="00334BB7" w:rsidP="00D81BD0">
      <w:pPr>
        <w:pStyle w:val="ad"/>
        <w:rPr>
          <w:rFonts w:hint="cs"/>
          <w:b w:val="0"/>
          <w:bCs w:val="0"/>
          <w:rtl/>
        </w:rPr>
      </w:pPr>
      <w:r w:rsidRPr="009565B3">
        <w:rPr>
          <w:b w:val="0"/>
          <w:bCs w:val="0"/>
          <w:szCs w:val="22"/>
          <w:rtl/>
        </w:rPr>
        <w:t>אם נלך מהסוף להתחלה נאמר כך: בעקידה, אברהם מעלה טיעון מוסרי מרכזי שהחוק או הקוד המוסרי הוא מעל הכל וגם הקב"ה כביכול כפוף אליו. אין ביהדות "פרא בסיליוס נומוס אגרפוס</w:t>
      </w:r>
      <w:r w:rsidRPr="009565B3">
        <w:rPr>
          <w:rFonts w:hint="cs"/>
          <w:b w:val="0"/>
          <w:bCs w:val="0"/>
          <w:szCs w:val="22"/>
          <w:rtl/>
        </w:rPr>
        <w:t>"</w:t>
      </w:r>
      <w:r w:rsidR="0057153A" w:rsidRPr="009565B3">
        <w:rPr>
          <w:rFonts w:hint="cs"/>
          <w:b w:val="0"/>
          <w:bCs w:val="0"/>
          <w:szCs w:val="22"/>
          <w:rtl/>
        </w:rPr>
        <w:t>.</w:t>
      </w:r>
      <w:r w:rsidR="00D81BD0">
        <w:rPr>
          <w:rStyle w:val="a5"/>
          <w:b w:val="0"/>
          <w:bCs w:val="0"/>
          <w:szCs w:val="22"/>
          <w:rtl/>
        </w:rPr>
        <w:footnoteReference w:id="19"/>
      </w:r>
      <w:r w:rsidRPr="009565B3">
        <w:rPr>
          <w:b w:val="0"/>
          <w:bCs w:val="0"/>
          <w:szCs w:val="22"/>
          <w:rtl/>
        </w:rPr>
        <w:t xml:space="preserve"> בכך הוא מנטרל למעשה את עצם ניסיון העקידה "ומאלץ" את הקב"ה לא רק לבטל את הציווי המקורי ולהוציא ציווי חדש</w:t>
      </w:r>
      <w:r w:rsidRPr="009565B3">
        <w:rPr>
          <w:rFonts w:hint="cs"/>
          <w:b w:val="0"/>
          <w:bCs w:val="0"/>
          <w:szCs w:val="22"/>
          <w:rtl/>
        </w:rPr>
        <w:t>:</w:t>
      </w:r>
      <w:r w:rsidRPr="009565B3">
        <w:rPr>
          <w:b w:val="0"/>
          <w:bCs w:val="0"/>
          <w:szCs w:val="22"/>
          <w:rtl/>
        </w:rPr>
        <w:t xml:space="preserve"> "אל תשלח ידך אל הנער", אלא גם להישבע שלדורות לא יהיו עוד ניסיונות כאלה</w:t>
      </w:r>
      <w:r w:rsidR="0057153A" w:rsidRPr="009565B3">
        <w:rPr>
          <w:rFonts w:hint="cs"/>
          <w:b w:val="0"/>
          <w:bCs w:val="0"/>
          <w:szCs w:val="22"/>
          <w:rtl/>
        </w:rPr>
        <w:t>.</w:t>
      </w:r>
      <w:r w:rsidR="00D81BD0">
        <w:rPr>
          <w:rStyle w:val="a5"/>
          <w:b w:val="0"/>
          <w:bCs w:val="0"/>
          <w:szCs w:val="22"/>
          <w:rtl/>
        </w:rPr>
        <w:footnoteReference w:id="20"/>
      </w:r>
      <w:r w:rsidRPr="009565B3">
        <w:rPr>
          <w:b w:val="0"/>
          <w:bCs w:val="0"/>
          <w:szCs w:val="22"/>
          <w:rtl/>
        </w:rPr>
        <w:t xml:space="preserve"> אלא שאילו היה אברהם מעלה טענה זו פעם ראשונה ברגע שזה נוגע לו אישית, היה בכך טעם לפגם. היה קורה לו מה שקרה לאיוב שאמנם אמר דברים נכונים אך "ד</w:t>
      </w:r>
      <w:r w:rsidRPr="009565B3">
        <w:rPr>
          <w:rFonts w:hint="cs"/>
          <w:b w:val="0"/>
          <w:bCs w:val="0"/>
          <w:szCs w:val="22"/>
          <w:rtl/>
        </w:rPr>
        <w:t>י</w:t>
      </w:r>
      <w:r w:rsidRPr="009565B3">
        <w:rPr>
          <w:b w:val="0"/>
          <w:bCs w:val="0"/>
          <w:szCs w:val="22"/>
          <w:rtl/>
        </w:rPr>
        <w:t>בר פגה". מכאן החשיבות העצומה של התערבות אברהם למען סדום והקשר הסמוי בין סדום לעקידה. אברהם מעלה את טיעונו עוד הרבה לפני העקידה, עוד לפני שיצחק נולד. ולטובת מי? לטובת "אנשים רעים וחטאים מאד". ומאיפה אברהם יודע טיעון זה? מי מגלה לו רז זה? הקב"ה עצמו, השכינה שעומדת וממתינה לו</w:t>
      </w:r>
      <w:r w:rsidR="00D81BD0">
        <w:rPr>
          <w:rStyle w:val="a5"/>
          <w:b w:val="0"/>
          <w:bCs w:val="0"/>
          <w:szCs w:val="22"/>
          <w:rtl/>
        </w:rPr>
        <w:footnoteReference w:id="21"/>
      </w:r>
      <w:r w:rsidRPr="009565B3">
        <w:rPr>
          <w:b w:val="0"/>
          <w:bCs w:val="0"/>
          <w:szCs w:val="22"/>
          <w:rtl/>
        </w:rPr>
        <w:t xml:space="preserve"> ומקיימת בעצמה את אחת מתרי"ג מצוות שעתיד הקב"ה לתת לבניו של אברהם "והדרת פני זקן".</w:t>
      </w:r>
      <w:r w:rsidR="00D81BD0">
        <w:rPr>
          <w:rStyle w:val="a5"/>
          <w:b w:val="0"/>
          <w:bCs w:val="0"/>
          <w:rtl/>
        </w:rPr>
        <w:footnoteReference w:id="22"/>
      </w:r>
    </w:p>
    <w:p w14:paraId="1031F23E" w14:textId="77777777" w:rsidR="00915628" w:rsidRDefault="00334BB7" w:rsidP="00954DCD">
      <w:pPr>
        <w:pStyle w:val="ad"/>
        <w:spacing w:before="240" w:line="276" w:lineRule="auto"/>
        <w:rPr>
          <w:rFonts w:hint="cs"/>
          <w:rtl/>
        </w:rPr>
      </w:pPr>
      <w:r>
        <w:rPr>
          <w:rFonts w:hint="cs"/>
          <w:rtl/>
        </w:rPr>
        <w:t xml:space="preserve">שבת שלום </w:t>
      </w:r>
    </w:p>
    <w:p w14:paraId="6726F51C" w14:textId="77777777" w:rsidR="00334BB7" w:rsidRDefault="00334BB7" w:rsidP="00915628">
      <w:pPr>
        <w:pStyle w:val="ad"/>
        <w:spacing w:line="276" w:lineRule="auto"/>
        <w:rPr>
          <w:rFonts w:hint="cs"/>
          <w:rtl/>
        </w:rPr>
      </w:pPr>
      <w:r>
        <w:rPr>
          <w:rtl/>
        </w:rPr>
        <w:t>מחלקי המים</w:t>
      </w:r>
    </w:p>
    <w:sectPr w:rsidR="00334BB7" w:rsidSect="00C33096">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9D997" w14:textId="77777777" w:rsidR="007553FB" w:rsidRDefault="007553FB">
      <w:r>
        <w:separator/>
      </w:r>
    </w:p>
  </w:endnote>
  <w:endnote w:type="continuationSeparator" w:id="0">
    <w:p w14:paraId="70AC3461" w14:textId="77777777" w:rsidR="007553FB" w:rsidRDefault="0075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B91BF" w14:textId="77777777" w:rsidR="00674175" w:rsidRPr="00F8747C" w:rsidRDefault="00674175" w:rsidP="00674175">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6E4F9A">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6E4F9A">
      <w:rPr>
        <w:rStyle w:val="af"/>
        <w:noProof/>
        <w:rtl/>
      </w:rPr>
      <w:t>3</w:t>
    </w:r>
    <w:r w:rsidRPr="00F8747C">
      <w:rPr>
        <w:rStyle w:val="a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40A1F" w14:textId="77777777" w:rsidR="007553FB" w:rsidRDefault="007553FB">
      <w:pPr>
        <w:rPr>
          <w:lang w:eastAsia="en-US"/>
        </w:rPr>
      </w:pPr>
      <w:r>
        <w:rPr>
          <w:rFonts w:cs="Miriam"/>
        </w:rPr>
        <w:separator/>
      </w:r>
    </w:p>
  </w:footnote>
  <w:footnote w:type="continuationSeparator" w:id="0">
    <w:p w14:paraId="73D9EBFC" w14:textId="77777777" w:rsidR="007553FB" w:rsidRDefault="007553FB">
      <w:r>
        <w:continuationSeparator/>
      </w:r>
    </w:p>
  </w:footnote>
  <w:footnote w:id="1">
    <w:p w14:paraId="7B827383" w14:textId="77777777" w:rsidR="0057153A" w:rsidRDefault="0057153A">
      <w:pPr>
        <w:pStyle w:val="a3"/>
        <w:rPr>
          <w:rFonts w:hint="cs"/>
          <w:rtl/>
        </w:rPr>
      </w:pPr>
      <w:r>
        <w:rPr>
          <w:rStyle w:val="a5"/>
        </w:rPr>
        <w:footnoteRef/>
      </w:r>
      <w:r>
        <w:rPr>
          <w:rtl/>
        </w:rPr>
        <w:t xml:space="preserve"> משפט ביונית שפירושו המילולי</w:t>
      </w:r>
      <w:r>
        <w:rPr>
          <w:rFonts w:hint="cs"/>
          <w:rtl/>
        </w:rPr>
        <w:t xml:space="preserve"> הוא</w:t>
      </w:r>
      <w:r>
        <w:rPr>
          <w:rtl/>
        </w:rPr>
        <w:t xml:space="preserve">: "לפני המלך </w:t>
      </w:r>
      <w:r>
        <w:rPr>
          <w:rFonts w:hint="cs"/>
          <w:rtl/>
        </w:rPr>
        <w:t xml:space="preserve">(פרא בסיליוס) </w:t>
      </w:r>
      <w:r>
        <w:rPr>
          <w:rtl/>
        </w:rPr>
        <w:t xml:space="preserve">החוק </w:t>
      </w:r>
      <w:r>
        <w:rPr>
          <w:rFonts w:hint="cs"/>
          <w:rtl/>
        </w:rPr>
        <w:t xml:space="preserve">(נומוס) </w:t>
      </w:r>
      <w:r>
        <w:rPr>
          <w:rtl/>
        </w:rPr>
        <w:t>אינו כתוב</w:t>
      </w:r>
      <w:r>
        <w:rPr>
          <w:rFonts w:hint="cs"/>
          <w:rtl/>
        </w:rPr>
        <w:t xml:space="preserve"> (א-גרפוס)</w:t>
      </w:r>
      <w:r>
        <w:rPr>
          <w:rtl/>
        </w:rPr>
        <w:t>" ובמילים פשוטות: "המלך הוא מעל לחוק".</w:t>
      </w:r>
    </w:p>
  </w:footnote>
  <w:footnote w:id="2">
    <w:p w14:paraId="56966F29" w14:textId="77777777" w:rsidR="00FF356D" w:rsidRDefault="00FF356D">
      <w:pPr>
        <w:pStyle w:val="a3"/>
        <w:rPr>
          <w:rFonts w:hint="cs"/>
          <w:rtl/>
        </w:rPr>
      </w:pPr>
      <w:r>
        <w:rPr>
          <w:rStyle w:val="a5"/>
        </w:rPr>
        <w:footnoteRef/>
      </w:r>
      <w:r>
        <w:rPr>
          <w:rtl/>
        </w:rPr>
        <w:t xml:space="preserve"> אחרים מקיימים אותה, אך לא הוא. הוא אינו כפוף לגזרות </w:t>
      </w:r>
      <w:r>
        <w:rPr>
          <w:rFonts w:hint="cs"/>
          <w:rtl/>
        </w:rPr>
        <w:t xml:space="preserve">ולחוקים </w:t>
      </w:r>
      <w:r>
        <w:rPr>
          <w:rtl/>
        </w:rPr>
        <w:t>שהוא גוזר</w:t>
      </w:r>
      <w:r>
        <w:rPr>
          <w:rFonts w:hint="cs"/>
          <w:rtl/>
        </w:rPr>
        <w:t xml:space="preserve"> ומחוקק</w:t>
      </w:r>
      <w:r>
        <w:rPr>
          <w:rtl/>
        </w:rPr>
        <w:t>. מדרש זה הוא על הפסוק "אם בחוקותי תלכו"</w:t>
      </w:r>
      <w:r>
        <w:rPr>
          <w:rFonts w:hint="cs"/>
          <w:rtl/>
        </w:rPr>
        <w:t xml:space="preserve"> (ויקרא כו ג); בפתיחה לפרשת הברכה והתוכחה שבפרשת בחוקותי, בה האדם נדרש ללכת בחוקות הקב"ה. בא המדרש ומדגיש שהמחוקק, היינו הקב"ה, אינו מעמיד עצמו מעל לחוק והדוגמא שהוא בוחר להלן תקשר אותנו עם ספר בראשית ועם דמותו של אברהם ממנה נמשיך לפרשתנו.</w:t>
      </w:r>
    </w:p>
  </w:footnote>
  <w:footnote w:id="3">
    <w:p w14:paraId="64335A6C" w14:textId="77777777" w:rsidR="00FF356D" w:rsidRDefault="00FF356D">
      <w:pPr>
        <w:pStyle w:val="a3"/>
        <w:rPr>
          <w:rFonts w:hint="cs"/>
          <w:rtl/>
        </w:rPr>
      </w:pPr>
      <w:r>
        <w:rPr>
          <w:rStyle w:val="a5"/>
        </w:rPr>
        <w:footnoteRef/>
      </w:r>
      <w:r>
        <w:rPr>
          <w:rtl/>
        </w:rPr>
        <w:t xml:space="preserve"> הזקן </w:t>
      </w:r>
      <w:r>
        <w:rPr>
          <w:rFonts w:hint="cs"/>
          <w:rtl/>
        </w:rPr>
        <w:t xml:space="preserve">שאותו מכבד הקב"ה </w:t>
      </w:r>
      <w:r>
        <w:rPr>
          <w:rtl/>
        </w:rPr>
        <w:t>הוא אברהם</w:t>
      </w:r>
      <w:r>
        <w:rPr>
          <w:rFonts w:hint="cs"/>
          <w:rtl/>
        </w:rPr>
        <w:t xml:space="preserve">. פעמיים. פעם אחת בתחילת הפרשה, </w:t>
      </w:r>
      <w:r w:rsidR="00DF145B">
        <w:rPr>
          <w:rFonts w:hint="cs"/>
          <w:rtl/>
        </w:rPr>
        <w:t>ב</w:t>
      </w:r>
      <w:r w:rsidR="00971DA8">
        <w:rPr>
          <w:rFonts w:hint="cs"/>
          <w:rtl/>
        </w:rPr>
        <w:t>שלושת ה</w:t>
      </w:r>
      <w:r w:rsidR="00DF145B">
        <w:rPr>
          <w:rFonts w:hint="cs"/>
          <w:rtl/>
        </w:rPr>
        <w:t>מלאכים</w:t>
      </w:r>
      <w:r w:rsidR="00971DA8">
        <w:rPr>
          <w:rFonts w:hint="cs"/>
          <w:rtl/>
        </w:rPr>
        <w:t xml:space="preserve"> הבאים לבקר את אברהם</w:t>
      </w:r>
      <w:r w:rsidR="00DF145B">
        <w:rPr>
          <w:rFonts w:hint="cs"/>
          <w:rtl/>
        </w:rPr>
        <w:t xml:space="preserve">, </w:t>
      </w:r>
      <w:r>
        <w:rPr>
          <w:rFonts w:hint="cs"/>
          <w:rtl/>
        </w:rPr>
        <w:t xml:space="preserve">ראה </w:t>
      </w:r>
      <w:r>
        <w:rPr>
          <w:rtl/>
        </w:rPr>
        <w:t>רש"י בפסוק הראשון בפרשה</w:t>
      </w:r>
      <w:r>
        <w:rPr>
          <w:rFonts w:hint="cs"/>
          <w:rtl/>
        </w:rPr>
        <w:t>:</w:t>
      </w:r>
      <w:r>
        <w:rPr>
          <w:rtl/>
        </w:rPr>
        <w:t xml:space="preserve"> "והוא יושב פתח האוהל</w:t>
      </w:r>
      <w:r>
        <w:rPr>
          <w:rFonts w:hint="cs"/>
          <w:rtl/>
        </w:rPr>
        <w:t xml:space="preserve"> - </w:t>
      </w:r>
      <w:r>
        <w:rPr>
          <w:rFonts w:hint="cs"/>
          <w:rtl/>
          <w:lang w:val="he-IL"/>
        </w:rPr>
        <w:t xml:space="preserve">בקש לעמוד, אמר לו הקב"ה שב ואני אעמוד". ופעם שניה לאחר תפילתו של אברהם למען אנשי סדום. </w:t>
      </w:r>
      <w:r>
        <w:rPr>
          <w:rFonts w:hint="cs"/>
          <w:rtl/>
        </w:rPr>
        <w:t>הפסוק אומר אמנם:</w:t>
      </w:r>
      <w:r>
        <w:rPr>
          <w:rtl/>
        </w:rPr>
        <w:t xml:space="preserve"> "ואברהם עודנו עומד לפני ה'</w:t>
      </w:r>
      <w:r>
        <w:rPr>
          <w:rFonts w:hint="cs"/>
          <w:rtl/>
        </w:rPr>
        <w:t xml:space="preserve"> </w:t>
      </w:r>
      <w:r>
        <w:rPr>
          <w:rtl/>
        </w:rPr>
        <w:t>"</w:t>
      </w:r>
      <w:r>
        <w:rPr>
          <w:rFonts w:hint="cs"/>
          <w:rtl/>
        </w:rPr>
        <w:t>, אך חז"ל דורשים</w:t>
      </w:r>
      <w:r>
        <w:rPr>
          <w:rtl/>
        </w:rPr>
        <w:t xml:space="preserve"> שהקב"ה עמד בפני אברהם. ראה רש"י פרק יח פסוק כב</w:t>
      </w:r>
      <w:r>
        <w:rPr>
          <w:rFonts w:hint="cs"/>
          <w:rtl/>
        </w:rPr>
        <w:t>: "ואברהם עודנו עומד לפני ה' -</w:t>
      </w:r>
      <w:r>
        <w:rPr>
          <w:rFonts w:hint="cs"/>
          <w:rtl/>
          <w:lang w:val="he-IL"/>
        </w:rPr>
        <w:t xml:space="preserve"> והלא לא הלך לעמוד לפניו, אלא הקב"ה בא אצלו ואמר לו (פסוק כ) זעקת סדום ועמורה כי רבה. והיה לו לכתוב וה' עודנו עומד לפני אברהם, אלא תיקון סופרים הוא זה". (דבריו מיוסדים על בראשית רבה מט ז ומח ז ושם גם </w:t>
      </w:r>
      <w:r>
        <w:rPr>
          <w:rtl/>
        </w:rPr>
        <w:t>הביטוי</w:t>
      </w:r>
      <w:r>
        <w:rPr>
          <w:rFonts w:hint="cs"/>
          <w:rtl/>
        </w:rPr>
        <w:t>:</w:t>
      </w:r>
      <w:r>
        <w:rPr>
          <w:rtl/>
        </w:rPr>
        <w:t xml:space="preserve"> "שכינה ממתנת"</w:t>
      </w:r>
      <w:r>
        <w:rPr>
          <w:rFonts w:hint="cs"/>
          <w:rtl/>
        </w:rPr>
        <w:t>). לענייננו, עמידת הקב"ה השניה, לפני הפיכת סדום, היא החשובה יותר, כפי נראה.</w:t>
      </w:r>
    </w:p>
  </w:footnote>
  <w:footnote w:id="4">
    <w:p w14:paraId="2120DBF8" w14:textId="77777777" w:rsidR="00123307" w:rsidRDefault="00123307">
      <w:pPr>
        <w:pStyle w:val="a3"/>
        <w:rPr>
          <w:rFonts w:hint="cs"/>
          <w:rtl/>
        </w:rPr>
      </w:pPr>
      <w:r>
        <w:rPr>
          <w:rStyle w:val="a5"/>
        </w:rPr>
        <w:footnoteRef/>
      </w:r>
      <w:r>
        <w:rPr>
          <w:rtl/>
        </w:rPr>
        <w:t xml:space="preserve"> </w:t>
      </w:r>
      <w:r>
        <w:rPr>
          <w:rFonts w:hint="cs"/>
          <w:rtl/>
        </w:rPr>
        <w:t>בעוולה.</w:t>
      </w:r>
    </w:p>
  </w:footnote>
  <w:footnote w:id="5">
    <w:p w14:paraId="04A380CE" w14:textId="77777777" w:rsidR="00123307" w:rsidRDefault="00123307">
      <w:pPr>
        <w:pStyle w:val="a3"/>
        <w:rPr>
          <w:rFonts w:hint="cs"/>
          <w:rtl/>
        </w:rPr>
      </w:pPr>
      <w:r>
        <w:rPr>
          <w:rStyle w:val="a5"/>
        </w:rPr>
        <w:footnoteRef/>
      </w:r>
      <w:r>
        <w:rPr>
          <w:rtl/>
        </w:rPr>
        <w:t xml:space="preserve"> </w:t>
      </w:r>
      <w:r>
        <w:rPr>
          <w:rFonts w:hint="cs"/>
          <w:rtl/>
        </w:rPr>
        <w:t>הרי לנו מקור נוסף לכך שהקב"ה אינו נמצא למעלה מהחוק. הטיעון כאן הוא אמנם חינוכי: "ממני ילמדו לא להריח את המכס, אבל התוצאה היא זהה, ואולי כל הרעיון של הכלל: פרא בסיליוס נומוס אגרפוס הוא יותר חינוכי ממשפטי.</w:t>
      </w:r>
    </w:p>
  </w:footnote>
  <w:footnote w:id="6">
    <w:p w14:paraId="0F910BCC" w14:textId="77777777" w:rsidR="00971DA8" w:rsidRDefault="00971DA8">
      <w:pPr>
        <w:pStyle w:val="a3"/>
        <w:rPr>
          <w:rFonts w:hint="cs"/>
          <w:rtl/>
        </w:rPr>
      </w:pPr>
      <w:r>
        <w:rPr>
          <w:rStyle w:val="a5"/>
        </w:rPr>
        <w:footnoteRef/>
      </w:r>
      <w:r>
        <w:rPr>
          <w:rtl/>
        </w:rPr>
        <w:t xml:space="preserve"> </w:t>
      </w:r>
      <w:r>
        <w:rPr>
          <w:rFonts w:hint="cs"/>
          <w:rtl/>
        </w:rPr>
        <w:t xml:space="preserve">כבר הרחבנו לדון במדרש זה בדברינו </w:t>
      </w:r>
      <w:hyperlink r:id="rId1" w:history="1">
        <w:r w:rsidRPr="00971DA8">
          <w:rPr>
            <w:rStyle w:val="Hyperlink"/>
            <w:rFonts w:hint="cs"/>
            <w:rtl/>
          </w:rPr>
          <w:t>חלילה לך מעשות כדבר הזה</w:t>
        </w:r>
      </w:hyperlink>
      <w:r>
        <w:rPr>
          <w:rFonts w:hint="cs"/>
          <w:rtl/>
        </w:rPr>
        <w:t xml:space="preserve"> בפרשה זו. כאן נחזור בקצרה על הדרוש לעניינינו.</w:t>
      </w:r>
    </w:p>
  </w:footnote>
  <w:footnote w:id="7">
    <w:p w14:paraId="4A7E43FC" w14:textId="77777777" w:rsidR="00DF145B" w:rsidRDefault="00DF145B">
      <w:pPr>
        <w:pStyle w:val="a3"/>
        <w:rPr>
          <w:rFonts w:hint="cs"/>
          <w:rtl/>
        </w:rPr>
      </w:pPr>
      <w:r>
        <w:rPr>
          <w:rStyle w:val="a5"/>
        </w:rPr>
        <w:footnoteRef/>
      </w:r>
      <w:r>
        <w:rPr>
          <w:rtl/>
        </w:rPr>
        <w:t xml:space="preserve"> עניין השבועה יחזור אחר כך בעקידה</w:t>
      </w:r>
      <w:r>
        <w:rPr>
          <w:rFonts w:hint="cs"/>
          <w:rtl/>
        </w:rPr>
        <w:t xml:space="preserve">: </w:t>
      </w:r>
      <w:r>
        <w:rPr>
          <w:rtl/>
        </w:rPr>
        <w:t>"</w:t>
      </w:r>
      <w:r>
        <w:rPr>
          <w:rFonts w:hint="cs"/>
          <w:rtl/>
          <w:lang w:val="he-IL"/>
        </w:rPr>
        <w:t xml:space="preserve">ויקרא מלאך ה' שנית </w:t>
      </w:r>
      <w:r w:rsidRPr="00BC7EA8">
        <w:rPr>
          <w:rFonts w:hint="cs"/>
          <w:rtl/>
          <w:lang w:val="he-IL"/>
        </w:rPr>
        <w:t>ויאמר בי נשבעתי. מה צורך</w:t>
      </w:r>
      <w:r>
        <w:rPr>
          <w:rFonts w:hint="cs"/>
          <w:rtl/>
          <w:lang w:val="he-IL"/>
        </w:rPr>
        <w:t xml:space="preserve"> לשבועה זו? א"ל השבע לי שאין אתה מנסה אותי עוד מעתה ולא את יצחק בני" (בראשית רבה נו יט). וכבר הקדים נח את אברהם כאשר הוא </w:t>
      </w:r>
      <w:r>
        <w:rPr>
          <w:rtl/>
        </w:rPr>
        <w:t xml:space="preserve">משביע את הקב"ה ביציאה מן התיבה: </w:t>
      </w:r>
      <w:r>
        <w:rPr>
          <w:rFonts w:hint="cs"/>
          <w:rtl/>
        </w:rPr>
        <w:t>"</w:t>
      </w:r>
      <w:r>
        <w:rPr>
          <w:rtl/>
        </w:rPr>
        <w:t>אמר לו</w:t>
      </w:r>
      <w:r>
        <w:rPr>
          <w:rFonts w:hint="cs"/>
          <w:rtl/>
        </w:rPr>
        <w:t xml:space="preserve"> (הקב"ה לנח): </w:t>
      </w:r>
      <w:r>
        <w:rPr>
          <w:rtl/>
        </w:rPr>
        <w:t>צא מן התיבה ולא קיבל עליו לצאת. אמר: אצא ואהא פרה ורבה למארה? עד שנשבע לו המקום שאינו מביא מבול לעולם עוד..." (בראשית רבה פרשה לד סימן ו).</w:t>
      </w:r>
      <w:r>
        <w:rPr>
          <w:rFonts w:hint="cs"/>
          <w:rtl/>
        </w:rPr>
        <w:t xml:space="preserve"> קדימות זו של נח חשובה מאד למדרש זה שהרי אברהם מסתמך עליה בניסיונו להגן על סדום ועמורה: "</w:t>
      </w:r>
      <w:r>
        <w:rPr>
          <w:rtl/>
        </w:rPr>
        <w:t>מבול של מים אין אתה מביא, מבול אש אתה מביא?</w:t>
      </w:r>
      <w:r>
        <w:rPr>
          <w:rFonts w:hint="cs"/>
          <w:rtl/>
        </w:rPr>
        <w:t>"</w:t>
      </w:r>
    </w:p>
  </w:footnote>
  <w:footnote w:id="8">
    <w:p w14:paraId="69030132" w14:textId="77777777" w:rsidR="005314E5" w:rsidRDefault="005314E5" w:rsidP="005314E5">
      <w:pPr>
        <w:pStyle w:val="a3"/>
        <w:rPr>
          <w:rFonts w:hint="cs"/>
          <w:rtl/>
        </w:rPr>
      </w:pPr>
      <w:r>
        <w:rPr>
          <w:rStyle w:val="a5"/>
        </w:rPr>
        <w:footnoteRef/>
      </w:r>
      <w:r>
        <w:rPr>
          <w:rtl/>
        </w:rPr>
        <w:t xml:space="preserve"> </w:t>
      </w:r>
      <w:r>
        <w:rPr>
          <w:rFonts w:hint="cs"/>
          <w:rtl/>
        </w:rPr>
        <w:t xml:space="preserve">מעניין להשוות אמירה זו מול האמירה בגמרא </w:t>
      </w:r>
      <w:r>
        <w:rPr>
          <w:rtl/>
        </w:rPr>
        <w:t>בבא קמא נ ע</w:t>
      </w:r>
      <w:r>
        <w:rPr>
          <w:rFonts w:hint="cs"/>
          <w:rtl/>
        </w:rPr>
        <w:t>"א: "</w:t>
      </w:r>
      <w:r>
        <w:rPr>
          <w:rtl/>
        </w:rPr>
        <w:t>כל האומר הק</w:t>
      </w:r>
      <w:r>
        <w:rPr>
          <w:rFonts w:hint="cs"/>
          <w:rtl/>
        </w:rPr>
        <w:t xml:space="preserve">ב"ה </w:t>
      </w:r>
      <w:r>
        <w:rPr>
          <w:rtl/>
        </w:rPr>
        <w:t>ותרן הוא - יותרו חייו</w:t>
      </w:r>
      <w:r>
        <w:rPr>
          <w:rFonts w:hint="cs"/>
          <w:rtl/>
        </w:rPr>
        <w:t>"</w:t>
      </w:r>
      <w:r>
        <w:rPr>
          <w:rtl/>
        </w:rPr>
        <w:t>.</w:t>
      </w:r>
    </w:p>
  </w:footnote>
  <w:footnote w:id="9">
    <w:p w14:paraId="3351D586" w14:textId="77777777" w:rsidR="00971DA8" w:rsidRDefault="00971DA8">
      <w:pPr>
        <w:pStyle w:val="a3"/>
        <w:rPr>
          <w:rFonts w:hint="cs"/>
          <w:rtl/>
        </w:rPr>
      </w:pPr>
      <w:r>
        <w:rPr>
          <w:rStyle w:val="a5"/>
        </w:rPr>
        <w:footnoteRef/>
      </w:r>
      <w:r>
        <w:rPr>
          <w:rtl/>
        </w:rPr>
        <w:t xml:space="preserve"> </w:t>
      </w:r>
      <w:r>
        <w:rPr>
          <w:rFonts w:hint="cs"/>
          <w:rtl/>
        </w:rPr>
        <w:t xml:space="preserve">האם אברהם מפרש לא כיאות את העובדה שהקב"ה מכבדו ועומד מפניו וכעת הוא נוטל חירות ומרשה לעצמו להטיח דברים כלפי מעלה? </w:t>
      </w:r>
      <w:smartTag w:uri="urn:schemas-microsoft-com:office:smarttags" w:element="PersonName">
        <w:smartTagPr>
          <w:attr w:name="ProductID" w:val="לאו דווקא. אברהם"/>
        </w:smartTagPr>
        <w:r>
          <w:rPr>
            <w:rFonts w:hint="cs"/>
            <w:rtl/>
          </w:rPr>
          <w:t>לאו דווקא. אברהם</w:t>
        </w:r>
      </w:smartTag>
      <w:r>
        <w:rPr>
          <w:rFonts w:hint="cs"/>
          <w:rtl/>
        </w:rPr>
        <w:t xml:space="preserve"> (הכל עפ"י המדרש כמובן) מבין את עמידת הקב"ה לפניו, פעמיים כפי שציינו בהערה 3, בדיוק כפי שהמדרש הפותח קובע: עמידה הנובעת מהכלל "</w:t>
      </w:r>
      <w:r>
        <w:rPr>
          <w:rtl/>
        </w:rPr>
        <w:t>פרא בסיליוס נומוס אגרפוס</w:t>
      </w:r>
      <w:r>
        <w:rPr>
          <w:rFonts w:hint="cs"/>
          <w:rtl/>
        </w:rPr>
        <w:t xml:space="preserve">", שכביכול גם הקב"ה כפוף לחוקים שהוא מחוקק. וזה מה שנותן לאברהם את הכח המוסרי לטעון: "מה אתה מערים על השבועה". ראה שוב הפסוק שהבאנו מקהלת בפתח דברינו: </w:t>
      </w:r>
      <w:r>
        <w:rPr>
          <w:rFonts w:hint="cs"/>
          <w:rtl/>
          <w:lang w:val="he-IL"/>
        </w:rPr>
        <w:t xml:space="preserve">"בַּאֲשֶׁר דְּבַר מֶלֶךְ שִׁלְטוֹן וּמִי יֹאמַר לוֹ מַה תַּעֲשֶׂה" וסמוך לו הפסוק: "שׁוֹמֵר מִצְוָה לֹא יֵדַע דָּבָר רָע וְעֵת וּמִשְׁפָּט יֵדַע לֵב חָכָם". סמיכות זו נדרשת ע"י חז"ל במספר מקומות. ראה, למשל, </w:t>
      </w:r>
      <w:r>
        <w:rPr>
          <w:rFonts w:hint="cs"/>
          <w:rtl/>
        </w:rPr>
        <w:t>שמות רבה לב ח בויכוח של משה עם הקב"ה לאחר חטא העגל: "</w:t>
      </w:r>
      <w:r>
        <w:rPr>
          <w:rFonts w:hint="cs"/>
          <w:rtl/>
          <w:lang w:val="he-IL"/>
        </w:rPr>
        <w:t>א"ל משה: מלאך אתה משלח עמי? כך היו התנאים? לא אמרת (שמות ג) וארד להצילו מיד מצרים ולהעלותו מן הארץ ההיא? ועתה אתה אומר הנה אנכי שולח מלאך לפניך! אם אין פנים הולכים אל תעלנו מזה. א"ל: כי לא אעלה בקרבך. אמר משה: הרי אמרת מלאך ואני אומר אם אין פניך הולכים. נראה דברי מי עומדים. זהו שכתוב (שמות לג) ויאמר משה אל ה' ראה אתה אומר אלי. א"ל הקב"ה: חייך, פני ילכו והניחותי לך. ורוח הקודש צווחת (קהלת ח) באשר דבר מלך שלטון וגו' שומר מצוה לא ידע דבר רע".</w:t>
      </w:r>
    </w:p>
  </w:footnote>
  <w:footnote w:id="10">
    <w:p w14:paraId="657940E8" w14:textId="77777777" w:rsidR="00915628" w:rsidRDefault="00915628" w:rsidP="004B4BA3">
      <w:pPr>
        <w:pStyle w:val="a3"/>
        <w:rPr>
          <w:rFonts w:hint="cs"/>
          <w:rtl/>
        </w:rPr>
      </w:pPr>
      <w:r>
        <w:rPr>
          <w:rStyle w:val="a5"/>
        </w:rPr>
        <w:footnoteRef/>
      </w:r>
      <w:r>
        <w:rPr>
          <w:rtl/>
        </w:rPr>
        <w:t xml:space="preserve"> </w:t>
      </w:r>
      <w:r>
        <w:rPr>
          <w:rFonts w:hint="cs"/>
          <w:rtl/>
        </w:rPr>
        <w:t xml:space="preserve">וההמשך שם בתיאור </w:t>
      </w:r>
      <w:r w:rsidR="009565B3">
        <w:rPr>
          <w:rFonts w:hint="cs"/>
          <w:rtl/>
        </w:rPr>
        <w:t xml:space="preserve">הציורי איך משה יושב עטוף בטליתו והקב"ה עומד לפניו כאדם שבא אצל החכם-הזקן לשאול על נדרו. והסיום שם: </w:t>
      </w:r>
      <w:r>
        <w:rPr>
          <w:rtl/>
          <w:lang w:eastAsia="en-US"/>
        </w:rPr>
        <w:t xml:space="preserve"> </w:t>
      </w:r>
      <w:r w:rsidR="009565B3">
        <w:rPr>
          <w:rFonts w:hint="cs"/>
          <w:rtl/>
          <w:lang w:eastAsia="en-US"/>
        </w:rPr>
        <w:t>"</w:t>
      </w:r>
      <w:r>
        <w:rPr>
          <w:rtl/>
          <w:lang w:eastAsia="en-US"/>
        </w:rPr>
        <w:t>אמר לפניו: תוהה אני על הרעה אשר דברתי לעשות לעמי. אותה שעה אמר משה: מותר לך! מותר לך! אין כאן נדר ואין כאן שבועה</w:t>
      </w:r>
      <w:r w:rsidR="009565B3">
        <w:rPr>
          <w:rFonts w:hint="cs"/>
          <w:rtl/>
          <w:lang w:eastAsia="en-US"/>
        </w:rPr>
        <w:t xml:space="preserve"> ... </w:t>
      </w:r>
      <w:r>
        <w:rPr>
          <w:rtl/>
          <w:lang w:eastAsia="en-US"/>
        </w:rPr>
        <w:t>א"ר שמעון בן לקיש: לפיכך נקרא שמו "איש האלהים", לומר שהתיר נדר לאלהים</w:t>
      </w:r>
      <w:r w:rsidR="009565B3">
        <w:rPr>
          <w:rFonts w:hint="cs"/>
          <w:rtl/>
          <w:lang w:eastAsia="en-US"/>
        </w:rPr>
        <w:t xml:space="preserve">". וכבר הזכרנו מדרש זה במספר מקומות. ראה דברינו </w:t>
      </w:r>
      <w:hyperlink r:id="rId2" w:history="1">
        <w:r w:rsidR="009565B3" w:rsidRPr="004B4BA3">
          <w:rPr>
            <w:rStyle w:val="Hyperlink"/>
            <w:rFonts w:hint="cs"/>
            <w:rtl/>
            <w:lang w:eastAsia="en-US"/>
          </w:rPr>
          <w:t>התרת נדרים ב</w:t>
        </w:r>
        <w:r w:rsidR="004B4BA3" w:rsidRPr="004B4BA3">
          <w:rPr>
            <w:rStyle w:val="Hyperlink"/>
            <w:rFonts w:hint="cs"/>
            <w:rtl/>
            <w:lang w:eastAsia="en-US"/>
          </w:rPr>
          <w:t>אגדה</w:t>
        </w:r>
      </w:hyperlink>
      <w:r w:rsidR="009565B3">
        <w:rPr>
          <w:rFonts w:hint="cs"/>
          <w:rtl/>
          <w:lang w:eastAsia="en-US"/>
        </w:rPr>
        <w:t xml:space="preserve"> בפרשת מטות. מה שחשוב לנו כאן הוא הקטע בדברי משה: </w:t>
      </w:r>
      <w:r>
        <w:rPr>
          <w:rtl/>
          <w:lang w:eastAsia="en-US"/>
        </w:rPr>
        <w:t>"</w:t>
      </w:r>
      <w:r w:rsidR="009565B3">
        <w:rPr>
          <w:rtl/>
          <w:lang w:eastAsia="en-US"/>
        </w:rPr>
        <w:t>כל זקן שמורה הוראה אם ירצה שיקבלו אחרים הוראתו צריך הוא לקיימה תחילה</w:t>
      </w:r>
      <w:r>
        <w:rPr>
          <w:rtl/>
          <w:lang w:eastAsia="en-US"/>
        </w:rPr>
        <w:t>"</w:t>
      </w:r>
      <w:r w:rsidR="009565B3">
        <w:rPr>
          <w:rFonts w:hint="cs"/>
          <w:rtl/>
          <w:lang w:eastAsia="en-US"/>
        </w:rPr>
        <w:t xml:space="preserve">, שזו בדיוק הטענה שביהדות לא קיים הכלל: </w:t>
      </w:r>
      <w:r w:rsidR="004B4BA3">
        <w:rPr>
          <w:rFonts w:hint="cs"/>
          <w:rtl/>
          <w:lang w:eastAsia="en-US"/>
        </w:rPr>
        <w:t>"</w:t>
      </w:r>
      <w:fldSimple w:instr=" TITLE  \* MERGEFORMAT ">
        <w:r w:rsidR="009565B3">
          <w:rPr>
            <w:rtl/>
          </w:rPr>
          <w:t>פָּרָא בָּסִילֶיוֹס נוֹמוֹס אַגְרָפוֹס</w:t>
        </w:r>
      </w:fldSimple>
      <w:r w:rsidR="009565B3">
        <w:rPr>
          <w:rFonts w:hint="cs"/>
          <w:rtl/>
        </w:rPr>
        <w:t>"</w:t>
      </w:r>
      <w:r w:rsidR="009565B3">
        <w:rPr>
          <w:rFonts w:hint="cs"/>
          <w:rtl/>
          <w:lang w:eastAsia="en-US"/>
        </w:rPr>
        <w:t xml:space="preserve"> </w:t>
      </w:r>
      <w:r>
        <w:rPr>
          <w:rtl/>
        </w:rPr>
        <w:t>.</w:t>
      </w:r>
    </w:p>
  </w:footnote>
  <w:footnote w:id="11">
    <w:p w14:paraId="77BBEC34" w14:textId="77777777" w:rsidR="0057153A" w:rsidRDefault="0057153A">
      <w:pPr>
        <w:pStyle w:val="a3"/>
        <w:rPr>
          <w:rFonts w:hint="cs"/>
          <w:rtl/>
        </w:rPr>
      </w:pPr>
      <w:r>
        <w:rPr>
          <w:rStyle w:val="a5"/>
        </w:rPr>
        <w:footnoteRef/>
      </w:r>
      <w:r>
        <w:rPr>
          <w:rtl/>
        </w:rPr>
        <w:t xml:space="preserve"> </w:t>
      </w:r>
      <w:r>
        <w:rPr>
          <w:rFonts w:hint="cs"/>
          <w:rtl/>
        </w:rPr>
        <w:t>חָלִלָה כתוב בפסוק, בכתיב חסר, בלי יו"ד. פעמיים.</w:t>
      </w:r>
    </w:p>
  </w:footnote>
  <w:footnote w:id="12">
    <w:p w14:paraId="7F61849E" w14:textId="77777777" w:rsidR="00A4447C" w:rsidRDefault="00A4447C" w:rsidP="006E4F9A">
      <w:pPr>
        <w:pStyle w:val="a3"/>
        <w:rPr>
          <w:rFonts w:hint="cs"/>
          <w:rtl/>
        </w:rPr>
      </w:pPr>
      <w:r>
        <w:rPr>
          <w:rStyle w:val="a5"/>
        </w:rPr>
        <w:footnoteRef/>
      </w:r>
      <w:r>
        <w:rPr>
          <w:rtl/>
        </w:rPr>
        <w:t xml:space="preserve"> </w:t>
      </w:r>
      <w:r>
        <w:rPr>
          <w:rFonts w:hint="cs"/>
          <w:rtl/>
        </w:rPr>
        <w:t xml:space="preserve">גם כאן יש דימיון למשה שמשתמש גם הוא בנימוק של חילול השם, הן בחטא העגל והן בחטא המרגלים. ראה דברינו </w:t>
      </w:r>
      <w:hyperlink r:id="rId3" w:history="1">
        <w:r>
          <w:rPr>
            <w:rStyle w:val="Hyperlink"/>
            <w:rFonts w:hint="cs"/>
            <w:rtl/>
          </w:rPr>
          <w:t>חילול השם במקרא</w:t>
        </w:r>
      </w:hyperlink>
      <w:r>
        <w:rPr>
          <w:rFonts w:hint="cs"/>
          <w:rtl/>
        </w:rPr>
        <w:t xml:space="preserve"> בפרשת אמור. ועכ"פ, טענה של חילול השם (ה') כלפי הקב"ה היא כבר מעבר לחוק. </w:t>
      </w:r>
      <w:r w:rsidR="004B4BA3">
        <w:rPr>
          <w:rFonts w:hint="cs"/>
          <w:rtl/>
        </w:rPr>
        <w:t>גם אם נאמר ש</w:t>
      </w:r>
      <w:r>
        <w:rPr>
          <w:rFonts w:hint="cs"/>
          <w:rtl/>
        </w:rPr>
        <w:t xml:space="preserve">המלך יכול </w:t>
      </w:r>
      <w:r w:rsidR="004B4BA3">
        <w:rPr>
          <w:rFonts w:hint="cs"/>
          <w:rtl/>
        </w:rPr>
        <w:t xml:space="preserve">במקרים מיוחדים </w:t>
      </w:r>
      <w:r>
        <w:rPr>
          <w:rFonts w:hint="cs"/>
          <w:rtl/>
        </w:rPr>
        <w:t xml:space="preserve">להפר את החוקים שהוא עצמו קבע, </w:t>
      </w:r>
      <w:r w:rsidR="004B4BA3">
        <w:rPr>
          <w:rFonts w:hint="cs"/>
          <w:rtl/>
        </w:rPr>
        <w:t xml:space="preserve">אין הוא יכול </w:t>
      </w:r>
      <w:r w:rsidR="006E4F9A">
        <w:rPr>
          <w:rFonts w:hint="cs"/>
          <w:rtl/>
        </w:rPr>
        <w:t>לפגום ב</w:t>
      </w:r>
      <w:r>
        <w:rPr>
          <w:rFonts w:hint="cs"/>
          <w:rtl/>
        </w:rPr>
        <w:t xml:space="preserve">שמו הטוב והופעת מלכותו בעולם. </w:t>
      </w:r>
      <w:r w:rsidR="006E4F9A">
        <w:rPr>
          <w:rFonts w:hint="cs"/>
          <w:rtl/>
        </w:rPr>
        <w:t xml:space="preserve">הוא </w:t>
      </w:r>
      <w:r>
        <w:rPr>
          <w:rFonts w:hint="cs"/>
          <w:rtl/>
        </w:rPr>
        <w:t xml:space="preserve">בבחינת: "מלך שמחל על כבודו </w:t>
      </w:r>
      <w:r>
        <w:rPr>
          <w:rtl/>
        </w:rPr>
        <w:t>–</w:t>
      </w:r>
      <w:r>
        <w:rPr>
          <w:rFonts w:hint="cs"/>
          <w:rtl/>
        </w:rPr>
        <w:t xml:space="preserve"> אין כבודו מחול" (סוטה מא).</w:t>
      </w:r>
      <w:r w:rsidR="00915628">
        <w:rPr>
          <w:rFonts w:hint="cs"/>
          <w:rtl/>
        </w:rPr>
        <w:t xml:space="preserve"> </w:t>
      </w:r>
    </w:p>
  </w:footnote>
  <w:footnote w:id="13">
    <w:p w14:paraId="5B2999CF" w14:textId="77777777" w:rsidR="00066E65" w:rsidRDefault="00066E65" w:rsidP="006E4F9A">
      <w:pPr>
        <w:pStyle w:val="a3"/>
        <w:rPr>
          <w:rFonts w:hint="cs"/>
          <w:rtl/>
        </w:rPr>
      </w:pPr>
      <w:r>
        <w:rPr>
          <w:rStyle w:val="a5"/>
        </w:rPr>
        <w:footnoteRef/>
      </w:r>
      <w:r>
        <w:rPr>
          <w:rtl/>
        </w:rPr>
        <w:t xml:space="preserve"> איוב אמר את דבריו בצורה בוטה בדומה לתאנה פגה שאינה בשלה ולא נעים לאוכלה. </w:t>
      </w:r>
      <w:r>
        <w:rPr>
          <w:rFonts w:hint="cs"/>
          <w:rtl/>
        </w:rPr>
        <w:t>ראה גם דבריו הבוטים ב</w:t>
      </w:r>
      <w:r>
        <w:rPr>
          <w:rtl/>
        </w:rPr>
        <w:t>פרק כג</w:t>
      </w:r>
      <w:r>
        <w:rPr>
          <w:rFonts w:hint="cs"/>
          <w:rtl/>
        </w:rPr>
        <w:t xml:space="preserve"> פסוק </w:t>
      </w:r>
      <w:r>
        <w:rPr>
          <w:rtl/>
        </w:rPr>
        <w:t>יג</w:t>
      </w:r>
      <w:r>
        <w:rPr>
          <w:rFonts w:hint="cs"/>
          <w:rtl/>
        </w:rPr>
        <w:t>: "</w:t>
      </w:r>
      <w:r>
        <w:rPr>
          <w:rtl/>
        </w:rPr>
        <w:t>וְהוּא בְאֶחָד וּמִי יְשִׁיבֶנּוּ וְנַפְשׁוֹ אִוְּתָה וַיָּעַשׂ</w:t>
      </w:r>
      <w:r>
        <w:rPr>
          <w:rFonts w:hint="cs"/>
          <w:rtl/>
        </w:rPr>
        <w:t xml:space="preserve">", שזה דומה לכותרת הדף שלנו: פרא בסיליוס נומוס אגרפוס (ואנו הופכים </w:t>
      </w:r>
      <w:r w:rsidR="006E4F9A">
        <w:rPr>
          <w:rFonts w:hint="cs"/>
          <w:rtl/>
        </w:rPr>
        <w:t>את ה</w:t>
      </w:r>
      <w:r>
        <w:rPr>
          <w:rFonts w:hint="cs"/>
          <w:rtl/>
        </w:rPr>
        <w:t xml:space="preserve">פסוק </w:t>
      </w:r>
      <w:r w:rsidR="006E4F9A">
        <w:rPr>
          <w:rFonts w:hint="cs"/>
          <w:rtl/>
        </w:rPr>
        <w:t>של איוב ל</w:t>
      </w:r>
      <w:r>
        <w:rPr>
          <w:rFonts w:hint="cs"/>
          <w:rtl/>
        </w:rPr>
        <w:t xml:space="preserve">שבח ומוסיפים "האל קדוש" בימים הנוראים). אך </w:t>
      </w:r>
      <w:r>
        <w:rPr>
          <w:rtl/>
        </w:rPr>
        <w:t xml:space="preserve">אברהם דבר בלשון "בְּשֵׁלָה". </w:t>
      </w:r>
      <w:r>
        <w:rPr>
          <w:rFonts w:hint="cs"/>
          <w:rtl/>
        </w:rPr>
        <w:t>ה</w:t>
      </w:r>
      <w:r>
        <w:rPr>
          <w:rtl/>
        </w:rPr>
        <w:t>יכולת לומר דברים, קשים ככל שיהיו, בצורה "בשלה", איננה רק עניין של נימוס ודרך ארץ אלא המפתח לכל העניין.</w:t>
      </w:r>
    </w:p>
  </w:footnote>
  <w:footnote w:id="14">
    <w:p w14:paraId="65FE7024" w14:textId="77777777" w:rsidR="00066E65" w:rsidRDefault="00066E65">
      <w:pPr>
        <w:pStyle w:val="a3"/>
        <w:rPr>
          <w:rFonts w:hint="cs"/>
          <w:rtl/>
        </w:rPr>
      </w:pPr>
      <w:r>
        <w:rPr>
          <w:rStyle w:val="a5"/>
        </w:rPr>
        <w:footnoteRef/>
      </w:r>
      <w:r>
        <w:rPr>
          <w:rtl/>
        </w:rPr>
        <w:t xml:space="preserve"> ערעור, יכולת לגשת לאינסטנציה גבוהה יותר ולערער על הדין.</w:t>
      </w:r>
      <w:r>
        <w:rPr>
          <w:rFonts w:hint="cs"/>
          <w:rtl/>
        </w:rPr>
        <w:t xml:space="preserve"> תהליך שאגב לא קיים בדיני התורה.</w:t>
      </w:r>
    </w:p>
  </w:footnote>
  <w:footnote w:id="15">
    <w:p w14:paraId="6D20FC07" w14:textId="77777777" w:rsidR="003939C4" w:rsidRDefault="003939C4">
      <w:pPr>
        <w:pStyle w:val="a3"/>
        <w:rPr>
          <w:rFonts w:hint="cs"/>
          <w:rtl/>
        </w:rPr>
      </w:pPr>
      <w:r>
        <w:rPr>
          <w:rStyle w:val="a5"/>
        </w:rPr>
        <w:footnoteRef/>
      </w:r>
      <w:r>
        <w:rPr>
          <w:rtl/>
        </w:rPr>
        <w:t xml:space="preserve"> </w:t>
      </w:r>
      <w:r>
        <w:rPr>
          <w:rFonts w:hint="cs"/>
          <w:rtl/>
        </w:rPr>
        <w:t xml:space="preserve">אפשר להיות יותר ברור מכך? כל המוסיף על דברים אלה </w:t>
      </w:r>
      <w:r>
        <w:rPr>
          <w:rtl/>
        </w:rPr>
        <w:t>–</w:t>
      </w:r>
      <w:r>
        <w:rPr>
          <w:rFonts w:hint="cs"/>
          <w:rtl/>
        </w:rPr>
        <w:t xml:space="preserve"> גורע.</w:t>
      </w:r>
    </w:p>
  </w:footnote>
  <w:footnote w:id="16">
    <w:p w14:paraId="2571886A" w14:textId="77777777" w:rsidR="00066E65" w:rsidRDefault="00066E65">
      <w:pPr>
        <w:pStyle w:val="a3"/>
        <w:rPr>
          <w:rFonts w:hint="cs"/>
          <w:rtl/>
        </w:rPr>
      </w:pPr>
      <w:r>
        <w:rPr>
          <w:rStyle w:val="a5"/>
        </w:rPr>
        <w:footnoteRef/>
      </w:r>
      <w:r>
        <w:rPr>
          <w:rtl/>
        </w:rPr>
        <w:t xml:space="preserve"> </w:t>
      </w:r>
      <w:r>
        <w:rPr>
          <w:rFonts w:hint="cs"/>
          <w:rtl/>
        </w:rPr>
        <w:t xml:space="preserve">ראה דברינו </w:t>
      </w:r>
      <w:hyperlink r:id="rId4" w:history="1">
        <w:r w:rsidRPr="00954DCD">
          <w:rPr>
            <w:rStyle w:val="Hyperlink"/>
            <w:rFonts w:hint="cs"/>
            <w:rtl/>
          </w:rPr>
          <w:t>לא ת</w:t>
        </w:r>
        <w:r w:rsidRPr="00954DCD">
          <w:rPr>
            <w:rStyle w:val="Hyperlink"/>
            <w:rFonts w:hint="cs"/>
            <w:rtl/>
          </w:rPr>
          <w:t>נ</w:t>
        </w:r>
        <w:r w:rsidRPr="00954DCD">
          <w:rPr>
            <w:rStyle w:val="Hyperlink"/>
            <w:rFonts w:hint="cs"/>
            <w:rtl/>
          </w:rPr>
          <w:t>סו</w:t>
        </w:r>
      </w:hyperlink>
      <w:r>
        <w:rPr>
          <w:rFonts w:hint="cs"/>
          <w:rtl/>
        </w:rPr>
        <w:t xml:space="preserve"> בפרשת ואתחנן.</w:t>
      </w:r>
    </w:p>
  </w:footnote>
  <w:footnote w:id="17">
    <w:p w14:paraId="0F8B0554" w14:textId="77777777" w:rsidR="00066E65" w:rsidRDefault="00066E65">
      <w:pPr>
        <w:pStyle w:val="a3"/>
        <w:rPr>
          <w:rFonts w:hint="cs"/>
          <w:rtl/>
        </w:rPr>
      </w:pPr>
      <w:r>
        <w:rPr>
          <w:rStyle w:val="a5"/>
        </w:rPr>
        <w:footnoteRef/>
      </w:r>
      <w:r>
        <w:rPr>
          <w:rtl/>
        </w:rPr>
        <w:t xml:space="preserve"> </w:t>
      </w:r>
      <w:r>
        <w:rPr>
          <w:rFonts w:hint="cs"/>
          <w:rtl/>
        </w:rPr>
        <w:t xml:space="preserve">אלמלא מדרש מפורש, אי אפשר לאומרו. </w:t>
      </w:r>
      <w:r>
        <w:rPr>
          <w:rtl/>
        </w:rPr>
        <w:t xml:space="preserve">אברהם כביכול מטיח דברים כלפי מעלה. </w:t>
      </w:r>
      <w:r>
        <w:rPr>
          <w:rFonts w:hint="cs"/>
          <w:rtl/>
        </w:rPr>
        <w:t>וב</w:t>
      </w:r>
      <w:r>
        <w:rPr>
          <w:rtl/>
        </w:rPr>
        <w:t>קהלת רבה ח א</w:t>
      </w:r>
      <w:r>
        <w:rPr>
          <w:rFonts w:hint="cs"/>
          <w:rtl/>
        </w:rPr>
        <w:t>: "</w:t>
      </w:r>
      <w:r>
        <w:rPr>
          <w:rtl/>
        </w:rPr>
        <w:t>באשר דבר מלך שלטון, א"ר בון כתיב</w:t>
      </w:r>
      <w:r>
        <w:rPr>
          <w:rFonts w:hint="cs"/>
          <w:rtl/>
        </w:rPr>
        <w:t xml:space="preserve">: </w:t>
      </w:r>
      <w:r>
        <w:rPr>
          <w:rtl/>
        </w:rPr>
        <w:t>לא תנסו</w:t>
      </w:r>
      <w:r>
        <w:rPr>
          <w:rFonts w:hint="cs"/>
          <w:rtl/>
        </w:rPr>
        <w:t xml:space="preserve"> - </w:t>
      </w:r>
      <w:r>
        <w:rPr>
          <w:rtl/>
        </w:rPr>
        <w:t xml:space="preserve">והאלהים נסה, לא תקום ולא תטור כתיב </w:t>
      </w:r>
      <w:r>
        <w:rPr>
          <w:rFonts w:hint="cs"/>
          <w:rtl/>
        </w:rPr>
        <w:t xml:space="preserve">- </w:t>
      </w:r>
      <w:r>
        <w:rPr>
          <w:rtl/>
        </w:rPr>
        <w:t>אל קנא ונוקם ה'</w:t>
      </w:r>
      <w:r>
        <w:rPr>
          <w:rFonts w:hint="cs"/>
          <w:rtl/>
        </w:rPr>
        <w:t xml:space="preserve"> </w:t>
      </w:r>
      <w:r>
        <w:rPr>
          <w:rtl/>
        </w:rPr>
        <w:t>(נחום א)</w:t>
      </w:r>
      <w:r>
        <w:rPr>
          <w:rFonts w:hint="cs"/>
          <w:rtl/>
        </w:rPr>
        <w:t>.</w:t>
      </w:r>
      <w:r>
        <w:rPr>
          <w:rtl/>
        </w:rPr>
        <w:t xml:space="preserve"> א"ר לוי</w:t>
      </w:r>
      <w:r>
        <w:rPr>
          <w:rFonts w:hint="cs"/>
          <w:rtl/>
        </w:rPr>
        <w:t>:</w:t>
      </w:r>
      <w:r>
        <w:rPr>
          <w:rtl/>
        </w:rPr>
        <w:t xml:space="preserve"> לרב שהיה מצוה את תלמידו, ואומר לו לא תטה משפט והוא מטה משפט, לא תכיר פנים והוא מכיר פנים, אמר לו התלמיד</w:t>
      </w:r>
      <w:r>
        <w:rPr>
          <w:rFonts w:hint="cs"/>
          <w:rtl/>
        </w:rPr>
        <w:t>:</w:t>
      </w:r>
      <w:r>
        <w:rPr>
          <w:rtl/>
        </w:rPr>
        <w:t xml:space="preserve"> רבי</w:t>
      </w:r>
      <w:r>
        <w:rPr>
          <w:rFonts w:hint="cs"/>
          <w:rtl/>
        </w:rPr>
        <w:t>,</w:t>
      </w:r>
      <w:r>
        <w:rPr>
          <w:rtl/>
        </w:rPr>
        <w:t xml:space="preserve"> לך שרי ולי אסור</w:t>
      </w:r>
      <w:r>
        <w:rPr>
          <w:rFonts w:hint="cs"/>
          <w:rtl/>
        </w:rPr>
        <w:t xml:space="preserve">?" </w:t>
      </w:r>
      <w:r>
        <w:rPr>
          <w:rtl/>
        </w:rPr>
        <w:t xml:space="preserve">ראה </w:t>
      </w:r>
      <w:r>
        <w:rPr>
          <w:rFonts w:hint="cs"/>
          <w:rtl/>
        </w:rPr>
        <w:t xml:space="preserve">גם </w:t>
      </w:r>
      <w:r>
        <w:rPr>
          <w:rtl/>
        </w:rPr>
        <w:t xml:space="preserve">רות רבה </w:t>
      </w:r>
      <w:r>
        <w:rPr>
          <w:rFonts w:hint="cs"/>
          <w:rtl/>
        </w:rPr>
        <w:t xml:space="preserve">פרשה א: </w:t>
      </w:r>
      <w:r>
        <w:rPr>
          <w:rtl/>
        </w:rPr>
        <w:t xml:space="preserve">"ויהי בימי שפוט השופטים - אוי לו לדור </w:t>
      </w:r>
      <w:r>
        <w:rPr>
          <w:rFonts w:hint="cs"/>
          <w:rtl/>
        </w:rPr>
        <w:t xml:space="preserve">ששופט את שופטיו ואוי לו לדור </w:t>
      </w:r>
      <w:r>
        <w:rPr>
          <w:rtl/>
        </w:rPr>
        <w:t>ששופטיו צריכים להישפט", אלא ששם מדובר על בני האדם ולא על הקב"ה. במקרא אין זכר לזעקה זו של אברהם בתחילת העקידה - אולי ההפך. המדרש נוטל לעצמו חירות (כדרכו) ושם עצמו פה לאברהם. הסימוכין שלו מהמקרא הם שניים: התערבות אברהם למען סדום קודם לעקידה ושבועת המלאך בסוף העקידה כפי שנסביר בהמשך.</w:t>
      </w:r>
      <w:r>
        <w:rPr>
          <w:rFonts w:hint="cs"/>
          <w:rtl/>
        </w:rPr>
        <w:t xml:space="preserve"> ועכ"פ, נראה שאין מדרש זה דעת יחד. ראה </w:t>
      </w:r>
      <w:r w:rsidRPr="008258F5">
        <w:rPr>
          <w:rFonts w:hint="eastAsia"/>
          <w:rtl/>
        </w:rPr>
        <w:t>פרקי</w:t>
      </w:r>
      <w:r w:rsidRPr="008258F5">
        <w:rPr>
          <w:rtl/>
        </w:rPr>
        <w:t xml:space="preserve"> </w:t>
      </w:r>
      <w:r w:rsidRPr="008258F5">
        <w:rPr>
          <w:rFonts w:hint="eastAsia"/>
          <w:rtl/>
        </w:rPr>
        <w:t>דרבי</w:t>
      </w:r>
      <w:r w:rsidRPr="008258F5">
        <w:rPr>
          <w:rtl/>
        </w:rPr>
        <w:t xml:space="preserve"> </w:t>
      </w:r>
      <w:r w:rsidRPr="008258F5">
        <w:rPr>
          <w:rFonts w:hint="eastAsia"/>
          <w:rtl/>
        </w:rPr>
        <w:t>אליעזר</w:t>
      </w:r>
      <w:r>
        <w:rPr>
          <w:rFonts w:hint="cs"/>
          <w:rtl/>
        </w:rPr>
        <w:t xml:space="preserve"> תחילת פרק ל: "</w:t>
      </w:r>
      <w:r>
        <w:rPr>
          <w:rFonts w:hint="eastAsia"/>
          <w:rtl/>
          <w:lang w:eastAsia="en-US"/>
        </w:rPr>
        <w:t>הנס</w:t>
      </w:r>
      <w:r>
        <w:rPr>
          <w:rtl/>
          <w:lang w:eastAsia="en-US"/>
        </w:rPr>
        <w:t xml:space="preserve"> </w:t>
      </w:r>
      <w:r>
        <w:rPr>
          <w:rFonts w:hint="eastAsia"/>
          <w:rtl/>
          <w:lang w:eastAsia="en-US"/>
        </w:rPr>
        <w:t>העשירי</w:t>
      </w:r>
      <w:r>
        <w:rPr>
          <w:rtl/>
          <w:lang w:eastAsia="en-US"/>
        </w:rPr>
        <w:t xml:space="preserve"> </w:t>
      </w:r>
      <w:r>
        <w:rPr>
          <w:rFonts w:hint="eastAsia"/>
          <w:rtl/>
          <w:lang w:eastAsia="en-US"/>
        </w:rPr>
        <w:t>ויהי</w:t>
      </w:r>
      <w:r>
        <w:rPr>
          <w:rtl/>
          <w:lang w:eastAsia="en-US"/>
        </w:rPr>
        <w:t xml:space="preserve"> </w:t>
      </w:r>
      <w:r>
        <w:rPr>
          <w:rFonts w:hint="eastAsia"/>
          <w:rtl/>
          <w:lang w:eastAsia="en-US"/>
        </w:rPr>
        <w:t>אחר</w:t>
      </w:r>
      <w:r>
        <w:rPr>
          <w:rtl/>
          <w:lang w:eastAsia="en-US"/>
        </w:rPr>
        <w:t xml:space="preserve"> </w:t>
      </w:r>
      <w:r>
        <w:rPr>
          <w:rFonts w:hint="eastAsia"/>
          <w:rtl/>
          <w:lang w:eastAsia="en-US"/>
        </w:rPr>
        <w:t>הדברים</w:t>
      </w:r>
      <w:r>
        <w:rPr>
          <w:rtl/>
          <w:lang w:eastAsia="en-US"/>
        </w:rPr>
        <w:t xml:space="preserve"> </w:t>
      </w:r>
      <w:r>
        <w:rPr>
          <w:rFonts w:hint="eastAsia"/>
          <w:rtl/>
          <w:lang w:eastAsia="en-US"/>
        </w:rPr>
        <w:t>האלה</w:t>
      </w:r>
      <w:r>
        <w:rPr>
          <w:rtl/>
          <w:lang w:eastAsia="en-US"/>
        </w:rPr>
        <w:t xml:space="preserve"> </w:t>
      </w:r>
      <w:r>
        <w:rPr>
          <w:rFonts w:hint="eastAsia"/>
          <w:rtl/>
          <w:lang w:eastAsia="en-US"/>
        </w:rPr>
        <w:t>והאלהים</w:t>
      </w:r>
      <w:r>
        <w:rPr>
          <w:rtl/>
          <w:lang w:eastAsia="en-US"/>
        </w:rPr>
        <w:t xml:space="preserve"> </w:t>
      </w:r>
      <w:r>
        <w:rPr>
          <w:rFonts w:hint="eastAsia"/>
          <w:rtl/>
          <w:lang w:eastAsia="en-US"/>
        </w:rPr>
        <w:t>נסה</w:t>
      </w:r>
      <w:r>
        <w:rPr>
          <w:rtl/>
          <w:lang w:eastAsia="en-US"/>
        </w:rPr>
        <w:t xml:space="preserve"> </w:t>
      </w:r>
      <w:r>
        <w:rPr>
          <w:rFonts w:hint="eastAsia"/>
          <w:rtl/>
          <w:lang w:eastAsia="en-US"/>
        </w:rPr>
        <w:t>את</w:t>
      </w:r>
      <w:r>
        <w:rPr>
          <w:rtl/>
          <w:lang w:eastAsia="en-US"/>
        </w:rPr>
        <w:t xml:space="preserve"> </w:t>
      </w:r>
      <w:r>
        <w:rPr>
          <w:rFonts w:hint="eastAsia"/>
          <w:rtl/>
          <w:lang w:eastAsia="en-US"/>
        </w:rPr>
        <w:t>אברהם</w:t>
      </w:r>
      <w:r>
        <w:rPr>
          <w:rtl/>
          <w:lang w:eastAsia="en-US"/>
        </w:rPr>
        <w:t xml:space="preserve"> </w:t>
      </w:r>
      <w:r>
        <w:rPr>
          <w:rFonts w:hint="eastAsia"/>
          <w:rtl/>
          <w:lang w:eastAsia="en-US"/>
        </w:rPr>
        <w:t>ר</w:t>
      </w:r>
      <w:r>
        <w:rPr>
          <w:rtl/>
          <w:lang w:eastAsia="en-US"/>
        </w:rPr>
        <w:t>"</w:t>
      </w:r>
      <w:r>
        <w:rPr>
          <w:rFonts w:hint="eastAsia"/>
          <w:rtl/>
          <w:lang w:eastAsia="en-US"/>
        </w:rPr>
        <w:t>ל</w:t>
      </w:r>
      <w:r>
        <w:rPr>
          <w:rtl/>
          <w:lang w:eastAsia="en-US"/>
        </w:rPr>
        <w:t xml:space="preserve"> </w:t>
      </w:r>
      <w:r>
        <w:rPr>
          <w:rFonts w:hint="eastAsia"/>
          <w:rtl/>
          <w:lang w:eastAsia="en-US"/>
        </w:rPr>
        <w:t>היה</w:t>
      </w:r>
      <w:r>
        <w:rPr>
          <w:rtl/>
          <w:lang w:eastAsia="en-US"/>
        </w:rPr>
        <w:t xml:space="preserve"> </w:t>
      </w:r>
      <w:r>
        <w:rPr>
          <w:rFonts w:hint="eastAsia"/>
          <w:rtl/>
          <w:lang w:eastAsia="en-US"/>
        </w:rPr>
        <w:t>מנסה</w:t>
      </w:r>
      <w:r>
        <w:rPr>
          <w:rtl/>
          <w:lang w:eastAsia="en-US"/>
        </w:rPr>
        <w:t xml:space="preserve"> </w:t>
      </w:r>
      <w:r>
        <w:rPr>
          <w:rFonts w:hint="eastAsia"/>
          <w:rtl/>
          <w:lang w:eastAsia="en-US"/>
        </w:rPr>
        <w:t>בכל</w:t>
      </w:r>
      <w:r>
        <w:rPr>
          <w:rtl/>
          <w:lang w:eastAsia="en-US"/>
        </w:rPr>
        <w:t xml:space="preserve"> </w:t>
      </w:r>
      <w:r>
        <w:rPr>
          <w:rFonts w:hint="eastAsia"/>
          <w:rtl/>
          <w:lang w:eastAsia="en-US"/>
        </w:rPr>
        <w:t>פעם</w:t>
      </w:r>
      <w:r>
        <w:rPr>
          <w:rtl/>
          <w:lang w:eastAsia="en-US"/>
        </w:rPr>
        <w:t xml:space="preserve"> </w:t>
      </w:r>
      <w:r>
        <w:rPr>
          <w:rFonts w:hint="eastAsia"/>
          <w:rtl/>
          <w:lang w:eastAsia="en-US"/>
        </w:rPr>
        <w:t>ופעם</w:t>
      </w:r>
      <w:r>
        <w:rPr>
          <w:rtl/>
          <w:lang w:eastAsia="en-US"/>
        </w:rPr>
        <w:t xml:space="preserve"> </w:t>
      </w:r>
      <w:r w:rsidRPr="008258F5">
        <w:rPr>
          <w:rFonts w:hint="eastAsia"/>
          <w:rtl/>
          <w:lang w:eastAsia="en-US"/>
        </w:rPr>
        <w:t>לידע</w:t>
      </w:r>
      <w:r w:rsidRPr="008258F5">
        <w:rPr>
          <w:rtl/>
          <w:lang w:eastAsia="en-US"/>
        </w:rPr>
        <w:t xml:space="preserve"> </w:t>
      </w:r>
      <w:r w:rsidRPr="008258F5">
        <w:rPr>
          <w:rFonts w:hint="eastAsia"/>
          <w:rtl/>
          <w:lang w:eastAsia="en-US"/>
        </w:rPr>
        <w:t>את</w:t>
      </w:r>
      <w:r w:rsidRPr="008258F5">
        <w:rPr>
          <w:rtl/>
          <w:lang w:eastAsia="en-US"/>
        </w:rPr>
        <w:t xml:space="preserve"> </w:t>
      </w:r>
      <w:r w:rsidRPr="008258F5">
        <w:rPr>
          <w:rFonts w:hint="eastAsia"/>
          <w:rtl/>
          <w:lang w:eastAsia="en-US"/>
        </w:rPr>
        <w:t>לבו</w:t>
      </w:r>
      <w:r w:rsidRPr="008258F5">
        <w:rPr>
          <w:rtl/>
          <w:lang w:eastAsia="en-US"/>
        </w:rPr>
        <w:t xml:space="preserve"> </w:t>
      </w:r>
      <w:r w:rsidRPr="008258F5">
        <w:rPr>
          <w:rFonts w:hint="eastAsia"/>
          <w:rtl/>
          <w:lang w:eastAsia="en-US"/>
        </w:rPr>
        <w:t>אם</w:t>
      </w:r>
      <w:r w:rsidRPr="008258F5">
        <w:rPr>
          <w:rtl/>
          <w:lang w:eastAsia="en-US"/>
        </w:rPr>
        <w:t xml:space="preserve"> </w:t>
      </w:r>
      <w:r w:rsidRPr="008258F5">
        <w:rPr>
          <w:rFonts w:hint="eastAsia"/>
          <w:rtl/>
          <w:lang w:eastAsia="en-US"/>
        </w:rPr>
        <w:t>יכול</w:t>
      </w:r>
      <w:r w:rsidRPr="008258F5">
        <w:rPr>
          <w:rtl/>
          <w:lang w:eastAsia="en-US"/>
        </w:rPr>
        <w:t xml:space="preserve"> </w:t>
      </w:r>
      <w:r w:rsidRPr="008258F5">
        <w:rPr>
          <w:rFonts w:hint="eastAsia"/>
          <w:rtl/>
          <w:lang w:eastAsia="en-US"/>
        </w:rPr>
        <w:t>לעמוד</w:t>
      </w:r>
      <w:r w:rsidRPr="008258F5">
        <w:rPr>
          <w:rtl/>
          <w:lang w:eastAsia="en-US"/>
        </w:rPr>
        <w:t xml:space="preserve"> </w:t>
      </w:r>
      <w:r w:rsidRPr="008258F5">
        <w:rPr>
          <w:rFonts w:hint="eastAsia"/>
          <w:rtl/>
          <w:lang w:eastAsia="en-US"/>
        </w:rPr>
        <w:t>ולשמור</w:t>
      </w:r>
      <w:r w:rsidRPr="008258F5">
        <w:rPr>
          <w:rtl/>
          <w:lang w:eastAsia="en-US"/>
        </w:rPr>
        <w:t xml:space="preserve"> </w:t>
      </w:r>
      <w:r w:rsidRPr="008258F5">
        <w:rPr>
          <w:rFonts w:hint="eastAsia"/>
          <w:rtl/>
          <w:lang w:eastAsia="en-US"/>
        </w:rPr>
        <w:t>המצות</w:t>
      </w:r>
      <w:r w:rsidRPr="008258F5">
        <w:rPr>
          <w:rtl/>
          <w:lang w:eastAsia="en-US"/>
        </w:rPr>
        <w:t xml:space="preserve"> </w:t>
      </w:r>
      <w:r w:rsidRPr="008258F5">
        <w:rPr>
          <w:rFonts w:hint="eastAsia"/>
          <w:rtl/>
          <w:lang w:eastAsia="en-US"/>
        </w:rPr>
        <w:t>של</w:t>
      </w:r>
      <w:r w:rsidRPr="008258F5">
        <w:rPr>
          <w:rtl/>
          <w:lang w:eastAsia="en-US"/>
        </w:rPr>
        <w:t xml:space="preserve"> </w:t>
      </w:r>
      <w:r w:rsidRPr="008258F5">
        <w:rPr>
          <w:rFonts w:hint="eastAsia"/>
          <w:rtl/>
          <w:lang w:eastAsia="en-US"/>
        </w:rPr>
        <w:t>תורה</w:t>
      </w:r>
      <w:r w:rsidRPr="008258F5">
        <w:rPr>
          <w:rtl/>
          <w:lang w:eastAsia="en-US"/>
        </w:rPr>
        <w:t xml:space="preserve"> </w:t>
      </w:r>
      <w:r w:rsidRPr="008258F5">
        <w:rPr>
          <w:rFonts w:hint="eastAsia"/>
          <w:rtl/>
          <w:lang w:eastAsia="en-US"/>
        </w:rPr>
        <w:t>ואם</w:t>
      </w:r>
      <w:r w:rsidRPr="008258F5">
        <w:rPr>
          <w:rtl/>
          <w:lang w:eastAsia="en-US"/>
        </w:rPr>
        <w:t xml:space="preserve"> </w:t>
      </w:r>
      <w:r w:rsidRPr="008258F5">
        <w:rPr>
          <w:rFonts w:hint="eastAsia"/>
          <w:rtl/>
          <w:lang w:eastAsia="en-US"/>
        </w:rPr>
        <w:t>לאו</w:t>
      </w:r>
      <w:r w:rsidRPr="008258F5">
        <w:rPr>
          <w:rtl/>
          <w:lang w:eastAsia="en-US"/>
        </w:rPr>
        <w:t xml:space="preserve">, </w:t>
      </w:r>
      <w:r w:rsidRPr="008258F5">
        <w:rPr>
          <w:rFonts w:hint="eastAsia"/>
          <w:rtl/>
          <w:lang w:eastAsia="en-US"/>
        </w:rPr>
        <w:t>ועוד</w:t>
      </w:r>
      <w:r w:rsidRPr="008258F5">
        <w:rPr>
          <w:rtl/>
          <w:lang w:eastAsia="en-US"/>
        </w:rPr>
        <w:t xml:space="preserve"> </w:t>
      </w:r>
      <w:r w:rsidRPr="008258F5">
        <w:rPr>
          <w:rFonts w:hint="eastAsia"/>
          <w:rtl/>
          <w:lang w:eastAsia="en-US"/>
        </w:rPr>
        <w:t>שנתנה</w:t>
      </w:r>
      <w:r w:rsidRPr="008258F5">
        <w:rPr>
          <w:rtl/>
          <w:lang w:eastAsia="en-US"/>
        </w:rPr>
        <w:t xml:space="preserve"> </w:t>
      </w:r>
      <w:r w:rsidRPr="008258F5">
        <w:rPr>
          <w:rFonts w:hint="eastAsia"/>
          <w:rtl/>
          <w:lang w:eastAsia="en-US"/>
        </w:rPr>
        <w:t>התורה</w:t>
      </w:r>
      <w:r w:rsidRPr="008258F5">
        <w:rPr>
          <w:rtl/>
          <w:lang w:eastAsia="en-US"/>
        </w:rPr>
        <w:t xml:space="preserve"> </w:t>
      </w:r>
      <w:r w:rsidRPr="008258F5">
        <w:rPr>
          <w:rFonts w:hint="eastAsia"/>
          <w:rtl/>
          <w:lang w:eastAsia="en-US"/>
        </w:rPr>
        <w:t>שישמור</w:t>
      </w:r>
      <w:r w:rsidRPr="008258F5">
        <w:rPr>
          <w:rtl/>
          <w:lang w:eastAsia="en-US"/>
        </w:rPr>
        <w:t xml:space="preserve"> </w:t>
      </w:r>
      <w:r w:rsidRPr="008258F5">
        <w:rPr>
          <w:rFonts w:hint="eastAsia"/>
          <w:rtl/>
          <w:lang w:eastAsia="en-US"/>
        </w:rPr>
        <w:t>אברהם</w:t>
      </w:r>
      <w:r w:rsidRPr="008258F5">
        <w:rPr>
          <w:rtl/>
          <w:lang w:eastAsia="en-US"/>
        </w:rPr>
        <w:t xml:space="preserve"> </w:t>
      </w:r>
      <w:r w:rsidRPr="008258F5">
        <w:rPr>
          <w:rFonts w:hint="eastAsia"/>
          <w:rtl/>
          <w:lang w:eastAsia="en-US"/>
        </w:rPr>
        <w:t>מצותיה</w:t>
      </w:r>
      <w:r w:rsidRPr="008258F5">
        <w:rPr>
          <w:rtl/>
          <w:lang w:eastAsia="en-US"/>
        </w:rPr>
        <w:t xml:space="preserve">, </w:t>
      </w:r>
      <w:r w:rsidRPr="008258F5">
        <w:rPr>
          <w:rFonts w:hint="eastAsia"/>
          <w:rtl/>
          <w:lang w:eastAsia="en-US"/>
        </w:rPr>
        <w:t>שנ</w:t>
      </w:r>
      <w:r w:rsidRPr="008258F5">
        <w:rPr>
          <w:rFonts w:hint="cs"/>
          <w:rtl/>
          <w:lang w:eastAsia="en-US"/>
        </w:rPr>
        <w:t>אמר</w:t>
      </w:r>
      <w:r w:rsidRPr="008258F5">
        <w:rPr>
          <w:rtl/>
          <w:lang w:eastAsia="en-US"/>
        </w:rPr>
        <w:t xml:space="preserve"> </w:t>
      </w:r>
      <w:r w:rsidRPr="008258F5">
        <w:rPr>
          <w:rFonts w:hint="eastAsia"/>
          <w:rtl/>
          <w:lang w:eastAsia="en-US"/>
        </w:rPr>
        <w:t>עקב</w:t>
      </w:r>
      <w:r w:rsidRPr="008258F5">
        <w:rPr>
          <w:rtl/>
          <w:lang w:eastAsia="en-US"/>
        </w:rPr>
        <w:t xml:space="preserve"> </w:t>
      </w:r>
      <w:r w:rsidRPr="008258F5">
        <w:rPr>
          <w:rFonts w:hint="eastAsia"/>
          <w:rtl/>
          <w:lang w:eastAsia="en-US"/>
        </w:rPr>
        <w:t>אשר</w:t>
      </w:r>
      <w:r w:rsidRPr="008258F5">
        <w:rPr>
          <w:rtl/>
          <w:lang w:eastAsia="en-US"/>
        </w:rPr>
        <w:t xml:space="preserve"> </w:t>
      </w:r>
      <w:r w:rsidRPr="008258F5">
        <w:rPr>
          <w:rFonts w:hint="eastAsia"/>
          <w:rtl/>
          <w:lang w:eastAsia="en-US"/>
        </w:rPr>
        <w:t>שמע</w:t>
      </w:r>
      <w:r>
        <w:rPr>
          <w:rtl/>
          <w:lang w:eastAsia="en-US"/>
        </w:rPr>
        <w:t xml:space="preserve"> </w:t>
      </w:r>
      <w:r>
        <w:rPr>
          <w:rFonts w:hint="eastAsia"/>
          <w:rtl/>
          <w:lang w:eastAsia="en-US"/>
        </w:rPr>
        <w:t>אברהם</w:t>
      </w:r>
      <w:r>
        <w:rPr>
          <w:rtl/>
          <w:lang w:eastAsia="en-US"/>
        </w:rPr>
        <w:t xml:space="preserve"> </w:t>
      </w:r>
      <w:r>
        <w:rPr>
          <w:rFonts w:hint="eastAsia"/>
          <w:rtl/>
          <w:lang w:eastAsia="en-US"/>
        </w:rPr>
        <w:t>בקולי</w:t>
      </w:r>
      <w:r>
        <w:rPr>
          <w:rFonts w:hint="cs"/>
          <w:rtl/>
          <w:lang w:eastAsia="en-US"/>
        </w:rPr>
        <w:t xml:space="preserve">". ראה דברינו </w:t>
      </w:r>
      <w:hyperlink r:id="rId5" w:history="1">
        <w:r w:rsidRPr="00674175">
          <w:rPr>
            <w:rStyle w:val="Hyperlink"/>
            <w:rFonts w:hint="cs"/>
            <w:rtl/>
            <w:lang w:eastAsia="en-US"/>
          </w:rPr>
          <w:t>קיימו האבות את התורה</w:t>
        </w:r>
      </w:hyperlink>
      <w:r>
        <w:rPr>
          <w:rFonts w:hint="cs"/>
          <w:rtl/>
          <w:lang w:eastAsia="en-US"/>
        </w:rPr>
        <w:t xml:space="preserve"> בפרשת תולדות. אברהם קיים את התורה כולה על כל פרטיה ודקדוקיה. והלוא בתורה כתוב גם "לא תנסו" וגם "לא תרצח".</w:t>
      </w:r>
    </w:p>
  </w:footnote>
  <w:footnote w:id="18">
    <w:p w14:paraId="6358318B" w14:textId="77777777" w:rsidR="00066E65" w:rsidRDefault="00066E65">
      <w:pPr>
        <w:pStyle w:val="a3"/>
        <w:rPr>
          <w:rFonts w:hint="cs"/>
          <w:rtl/>
        </w:rPr>
      </w:pPr>
      <w:r>
        <w:rPr>
          <w:rStyle w:val="a5"/>
        </w:rPr>
        <w:footnoteRef/>
      </w:r>
      <w:r>
        <w:rPr>
          <w:rtl/>
        </w:rPr>
        <w:t xml:space="preserve"> אברהם משביע את המלאך שלא ינסה אותו עוד וזה משלים את המדרש הקודם של "לא תנסו את ה'". ראה מקבילה במדרש תנחומא שם הטענה היא יותר אנושית: </w:t>
      </w:r>
      <w:r>
        <w:rPr>
          <w:rFonts w:hint="cs"/>
          <w:rtl/>
        </w:rPr>
        <w:t>"</w:t>
      </w:r>
      <w:r>
        <w:rPr>
          <w:rtl/>
        </w:rPr>
        <w:t>באותה שעה אמר אברהם לפני הקב"ה: ריבון העולמים, אדם מנסה לחברו שאינו יודע מה בלבו. אבל אתה</w:t>
      </w:r>
      <w:r>
        <w:rPr>
          <w:rFonts w:hint="cs"/>
          <w:rtl/>
        </w:rPr>
        <w:t>,</w:t>
      </w:r>
      <w:r>
        <w:rPr>
          <w:rtl/>
        </w:rPr>
        <w:t xml:space="preserve"> שאתה יודע מה הלבבות והכליות יועצות, אתה צריך לעשות בי כן?</w:t>
      </w:r>
      <w:r>
        <w:rPr>
          <w:rFonts w:hint="cs"/>
          <w:rtl/>
        </w:rPr>
        <w:t>"</w:t>
      </w:r>
    </w:p>
  </w:footnote>
  <w:footnote w:id="19">
    <w:p w14:paraId="49718D05" w14:textId="77777777" w:rsidR="00D81BD0" w:rsidRDefault="00D81BD0">
      <w:pPr>
        <w:pStyle w:val="a3"/>
        <w:rPr>
          <w:rFonts w:hint="cs"/>
          <w:rtl/>
        </w:rPr>
      </w:pPr>
      <w:r>
        <w:rPr>
          <w:rStyle w:val="a5"/>
        </w:rPr>
        <w:footnoteRef/>
      </w:r>
      <w:r>
        <w:rPr>
          <w:rtl/>
        </w:rPr>
        <w:t xml:space="preserve"> מצדו של אברהם "אב המון גויים" כלל זה יכול להיות תקף גם לאנושות כולה, לא רק ליהדות. הדואליות פה נובעת מהדואליות של המדרש שיש לו שתי פנים: מפרש המקרא ומדבר לזמנו. מצד פירוש המקרא אפשר באמת לתת לכך משמעות אוניברסלית. מצד הדיבור לזמנו אומר המדרש: היונים אומרים "פרא בסיליוס נומוס אגרפוס", אבל ביהדות אין דבר כזה. ואם תשאל הרי משנה מפורשת היא "מלך לא דן ולא דנים אותו"? ראה מסכת סנהדרין דף יט עמוד א</w:t>
      </w:r>
      <w:r>
        <w:rPr>
          <w:rFonts w:hint="cs"/>
          <w:rtl/>
        </w:rPr>
        <w:t xml:space="preserve"> שזה רק במלכי ישראל ומפני פחד מהשלטון ומעשה שהיה בעבדו של ינאי המלך. אבל מלכי בית דוד דנים ודנים אותם. ראה דברינו </w:t>
      </w:r>
      <w:hyperlink r:id="rId6" w:history="1">
        <w:r w:rsidRPr="003939C4">
          <w:rPr>
            <w:rStyle w:val="Hyperlink"/>
            <w:rFonts w:hint="cs"/>
            <w:rtl/>
          </w:rPr>
          <w:t>מלך לא דן ולא דנים אותו</w:t>
        </w:r>
      </w:hyperlink>
      <w:r>
        <w:rPr>
          <w:rFonts w:hint="cs"/>
          <w:rtl/>
        </w:rPr>
        <w:t xml:space="preserve"> בפרשת שופטים.</w:t>
      </w:r>
    </w:p>
  </w:footnote>
  <w:footnote w:id="20">
    <w:p w14:paraId="243BC565" w14:textId="77777777" w:rsidR="00D81BD0" w:rsidRDefault="00D81BD0">
      <w:pPr>
        <w:pStyle w:val="a3"/>
        <w:rPr>
          <w:rFonts w:hint="cs"/>
          <w:rtl/>
        </w:rPr>
      </w:pPr>
      <w:r>
        <w:rPr>
          <w:rStyle w:val="a5"/>
        </w:rPr>
        <w:footnoteRef/>
      </w:r>
      <w:r>
        <w:rPr>
          <w:rtl/>
        </w:rPr>
        <w:t xml:space="preserve"> המדרש מדרש והמציאות מציאות. אנחנו הרי יודעים שהיו עוד כהנה וכהנה ניסיונות לבניו של אברהם, אבל אולי באמת לא היו אלה ניסיונות מוסריים אלא ניסיונות פיסיים. הקב"ה לא ציוונו יותר ציוויים אנטי מוסריים. התורה היא הקובעת את דרך חיינו.</w:t>
      </w:r>
    </w:p>
  </w:footnote>
  <w:footnote w:id="21">
    <w:p w14:paraId="24107F99" w14:textId="77777777" w:rsidR="00D81BD0" w:rsidRDefault="00D81BD0">
      <w:pPr>
        <w:pStyle w:val="a3"/>
        <w:rPr>
          <w:rFonts w:hint="cs"/>
          <w:rtl/>
        </w:rPr>
      </w:pPr>
      <w:r>
        <w:rPr>
          <w:rStyle w:val="a5"/>
        </w:rPr>
        <w:footnoteRef/>
      </w:r>
      <w:r>
        <w:rPr>
          <w:rtl/>
        </w:rPr>
        <w:t xml:space="preserve"> אין זו סתם המתנה. קודם הקב"ה מגלה לו שהוא הולך להפוך את סדום "המכסה אני מאברהם" ואחר כך הוא ממתין לו. זה יותר מרמז שמותר ואפשר לטעון ולהתווכח עם מעשיו וגזרותיו של הקב"ה. ראה פסוקים כ - כב בפרק יח.</w:t>
      </w:r>
    </w:p>
  </w:footnote>
  <w:footnote w:id="22">
    <w:p w14:paraId="27FBC422" w14:textId="77777777" w:rsidR="00D81BD0" w:rsidRDefault="00D81BD0">
      <w:pPr>
        <w:pStyle w:val="a3"/>
        <w:rPr>
          <w:rFonts w:hint="cs"/>
          <w:rtl/>
        </w:rPr>
      </w:pPr>
      <w:r>
        <w:rPr>
          <w:rStyle w:val="a5"/>
        </w:rPr>
        <w:footnoteRef/>
      </w:r>
      <w:r>
        <w:rPr>
          <w:rtl/>
        </w:rPr>
        <w:t xml:space="preserve"> הכל מתחיל איפוא ממצווה "קטנה", פשוטה ואוניברסלית (מצווה שכלית בהגדרת הרמב"ם) של כיבוד זקנים ומסתיים בעקי</w:t>
      </w:r>
      <w:r>
        <w:rPr>
          <w:rFonts w:hint="cs"/>
          <w:rtl/>
        </w:rPr>
        <w:t>ד</w:t>
      </w:r>
      <w:r>
        <w:rPr>
          <w:rtl/>
        </w:rPr>
        <w:t>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E63E0" w14:textId="77777777" w:rsidR="00674175" w:rsidRDefault="00674175" w:rsidP="00123307">
    <w:pPr>
      <w:pStyle w:val="1"/>
      <w:tabs>
        <w:tab w:val="clear" w:pos="9469"/>
        <w:tab w:val="right" w:pos="9299"/>
      </w:tabs>
      <w:rPr>
        <w:rFonts w:hint="cs"/>
        <w:rtl/>
      </w:rPr>
    </w:pPr>
    <w:r>
      <w:rPr>
        <w:rtl/>
      </w:rPr>
      <w:t>פרשת</w:t>
    </w:r>
    <w:r>
      <w:rPr>
        <w:rFonts w:hint="cs"/>
        <w:rtl/>
      </w:rPr>
      <w:t xml:space="preserve"> וירא</w:t>
    </w:r>
    <w:r>
      <w:rPr>
        <w:rtl/>
      </w:rPr>
      <w:t xml:space="preserve"> </w:t>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ab/>
    </w:r>
    <w:r>
      <w:rPr>
        <w:rFonts w:hint="cs"/>
        <w:rtl/>
      </w:rPr>
      <w:t>תשנ"ט, 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7FFD1" w14:textId="77777777" w:rsidR="008258F5" w:rsidRDefault="008258F5">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פרשת וירא</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B00B03">
      <w:rPr>
        <w:noProof/>
        <w:szCs w:val="22"/>
        <w:rtl/>
        <w:lang w:eastAsia="en-US"/>
      </w:rPr>
      <w:t>‏תשפ"א</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2NzMxMDAwMTA2MDRT0lEKTi0uzszPAykwqgUA/VslbywAAAA="/>
  </w:docVars>
  <w:rsids>
    <w:rsidRoot w:val="00675CDF"/>
    <w:rsid w:val="00000A07"/>
    <w:rsid w:val="00066E65"/>
    <w:rsid w:val="00117BC1"/>
    <w:rsid w:val="00123307"/>
    <w:rsid w:val="002C748D"/>
    <w:rsid w:val="002D5E74"/>
    <w:rsid w:val="00334BB7"/>
    <w:rsid w:val="003939C4"/>
    <w:rsid w:val="004B4BA3"/>
    <w:rsid w:val="0051718F"/>
    <w:rsid w:val="005314E5"/>
    <w:rsid w:val="0057153A"/>
    <w:rsid w:val="0059791C"/>
    <w:rsid w:val="005F4E61"/>
    <w:rsid w:val="00674175"/>
    <w:rsid w:val="00675CDF"/>
    <w:rsid w:val="006E4F9A"/>
    <w:rsid w:val="007553FB"/>
    <w:rsid w:val="007F27A3"/>
    <w:rsid w:val="008258F5"/>
    <w:rsid w:val="00915628"/>
    <w:rsid w:val="009445E4"/>
    <w:rsid w:val="00954DCD"/>
    <w:rsid w:val="009565B3"/>
    <w:rsid w:val="00971DA8"/>
    <w:rsid w:val="009B2669"/>
    <w:rsid w:val="009C699E"/>
    <w:rsid w:val="00A4069B"/>
    <w:rsid w:val="00A4447C"/>
    <w:rsid w:val="00A87BEE"/>
    <w:rsid w:val="00B00B03"/>
    <w:rsid w:val="00B31090"/>
    <w:rsid w:val="00B759ED"/>
    <w:rsid w:val="00BC7EA8"/>
    <w:rsid w:val="00BD303D"/>
    <w:rsid w:val="00C33096"/>
    <w:rsid w:val="00C407D1"/>
    <w:rsid w:val="00C54CCB"/>
    <w:rsid w:val="00C97944"/>
    <w:rsid w:val="00D81BD0"/>
    <w:rsid w:val="00DB0732"/>
    <w:rsid w:val="00DF145B"/>
    <w:rsid w:val="00FF35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EED1819"/>
  <w15:chartTrackingRefBased/>
  <w15:docId w15:val="{1CB627A1-B1F2-44DB-85C8-60986844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0B03"/>
    <w:pPr>
      <w:bidi/>
    </w:pPr>
    <w:rPr>
      <w:rFonts w:cs="Narkisim"/>
      <w:sz w:val="22"/>
      <w:szCs w:val="22"/>
      <w:lang w:eastAsia="he-IL"/>
    </w:rPr>
  </w:style>
  <w:style w:type="paragraph" w:styleId="1">
    <w:name w:val="heading 1"/>
    <w:basedOn w:val="a"/>
    <w:next w:val="a"/>
    <w:link w:val="10"/>
    <w:qFormat/>
    <w:rsid w:val="00B00B03"/>
    <w:pPr>
      <w:keepNext/>
      <w:tabs>
        <w:tab w:val="right" w:pos="9469"/>
      </w:tabs>
      <w:jc w:val="both"/>
      <w:outlineLvl w:val="0"/>
    </w:pPr>
    <w:rPr>
      <w:rFonts w:cs="David"/>
      <w:b/>
      <w:bCs/>
      <w:szCs w:val="28"/>
    </w:rPr>
  </w:style>
  <w:style w:type="character" w:default="1" w:styleId="a0">
    <w:name w:val="Default Paragraph Font"/>
    <w:uiPriority w:val="1"/>
    <w:semiHidden/>
    <w:unhideWhenUsed/>
    <w:rsid w:val="00B00B0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00B03"/>
  </w:style>
  <w:style w:type="paragraph" w:styleId="a3">
    <w:name w:val="footnote text"/>
    <w:basedOn w:val="a"/>
    <w:link w:val="a4"/>
    <w:rsid w:val="00B00B03"/>
    <w:pPr>
      <w:ind w:left="170" w:hanging="170"/>
      <w:jc w:val="both"/>
    </w:pPr>
    <w:rPr>
      <w:sz w:val="20"/>
      <w:szCs w:val="20"/>
    </w:rPr>
  </w:style>
  <w:style w:type="character" w:styleId="a5">
    <w:name w:val="footnote reference"/>
    <w:semiHidden/>
    <w:rsid w:val="00B00B03"/>
    <w:rPr>
      <w:vertAlign w:val="superscript"/>
    </w:rPr>
  </w:style>
  <w:style w:type="paragraph" w:styleId="a6">
    <w:name w:val="header"/>
    <w:basedOn w:val="a"/>
    <w:link w:val="a7"/>
    <w:rsid w:val="00B00B03"/>
    <w:pPr>
      <w:tabs>
        <w:tab w:val="center" w:pos="4153"/>
        <w:tab w:val="right" w:pos="8306"/>
      </w:tabs>
    </w:pPr>
  </w:style>
  <w:style w:type="paragraph" w:styleId="a8">
    <w:name w:val="footer"/>
    <w:basedOn w:val="a"/>
    <w:link w:val="a9"/>
    <w:rsid w:val="00B00B03"/>
    <w:pPr>
      <w:tabs>
        <w:tab w:val="center" w:pos="4153"/>
        <w:tab w:val="right" w:pos="8306"/>
      </w:tabs>
    </w:pPr>
  </w:style>
  <w:style w:type="paragraph" w:customStyle="1" w:styleId="aa">
    <w:name w:val="כותרת"/>
    <w:basedOn w:val="a"/>
    <w:rsid w:val="00B00B03"/>
    <w:pPr>
      <w:spacing w:before="240" w:line="320" w:lineRule="atLeast"/>
      <w:jc w:val="center"/>
    </w:pPr>
    <w:rPr>
      <w:rFonts w:cs="David"/>
      <w:b/>
      <w:bCs/>
      <w:spacing w:val="20"/>
      <w:szCs w:val="32"/>
    </w:rPr>
  </w:style>
  <w:style w:type="paragraph" w:customStyle="1" w:styleId="ab">
    <w:name w:val="כותרת קטע"/>
    <w:basedOn w:val="a"/>
    <w:rsid w:val="00B00B03"/>
    <w:pPr>
      <w:spacing w:before="240" w:line="300" w:lineRule="atLeast"/>
    </w:pPr>
    <w:rPr>
      <w:rFonts w:cs="Arial"/>
      <w:b/>
      <w:bCs/>
      <w:szCs w:val="24"/>
    </w:rPr>
  </w:style>
  <w:style w:type="paragraph" w:customStyle="1" w:styleId="ac">
    <w:name w:val="מקור"/>
    <w:basedOn w:val="a"/>
    <w:rsid w:val="00B00B03"/>
    <w:pPr>
      <w:spacing w:line="320" w:lineRule="atLeast"/>
      <w:jc w:val="both"/>
    </w:pPr>
    <w:rPr>
      <w:rFonts w:cs="David"/>
      <w:szCs w:val="24"/>
    </w:rPr>
  </w:style>
  <w:style w:type="paragraph" w:customStyle="1" w:styleId="ad">
    <w:name w:val="מחלקי המים"/>
    <w:basedOn w:val="a"/>
    <w:rsid w:val="00B00B03"/>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B00B03"/>
    <w:rPr>
      <w:color w:val="0000FF"/>
      <w:u w:val="single"/>
    </w:rPr>
  </w:style>
  <w:style w:type="character" w:customStyle="1" w:styleId="a4">
    <w:name w:val="טקסט הערת שוליים תו"/>
    <w:link w:val="a3"/>
    <w:rsid w:val="00B00B03"/>
    <w:rPr>
      <w:rFonts w:cs="Narkisim"/>
      <w:lang w:eastAsia="he-IL"/>
    </w:rPr>
  </w:style>
  <w:style w:type="character" w:customStyle="1" w:styleId="10">
    <w:name w:val="כותרת 1 תו"/>
    <w:link w:val="1"/>
    <w:rsid w:val="00B00B03"/>
    <w:rPr>
      <w:rFonts w:cs="David"/>
      <w:b/>
      <w:bCs/>
      <w:sz w:val="22"/>
      <w:szCs w:val="28"/>
      <w:lang w:eastAsia="he-IL"/>
    </w:rPr>
  </w:style>
  <w:style w:type="character" w:customStyle="1" w:styleId="a7">
    <w:name w:val="כותרת עליונה תו"/>
    <w:link w:val="a6"/>
    <w:rsid w:val="00B00B03"/>
    <w:rPr>
      <w:rFonts w:cs="Narkisim"/>
      <w:sz w:val="22"/>
      <w:szCs w:val="22"/>
      <w:lang w:eastAsia="he-IL"/>
    </w:rPr>
  </w:style>
  <w:style w:type="character" w:customStyle="1" w:styleId="a9">
    <w:name w:val="כותרת תחתונה תו"/>
    <w:link w:val="a8"/>
    <w:rsid w:val="00B00B03"/>
    <w:rPr>
      <w:rFonts w:cs="Narkisim"/>
      <w:sz w:val="22"/>
      <w:szCs w:val="22"/>
      <w:lang w:eastAsia="he-IL"/>
    </w:rPr>
  </w:style>
  <w:style w:type="character" w:styleId="af">
    <w:name w:val="page number"/>
    <w:rsid w:val="00674175"/>
  </w:style>
  <w:style w:type="paragraph" w:styleId="af0">
    <w:name w:val="Balloon Text"/>
    <w:basedOn w:val="a"/>
    <w:link w:val="af1"/>
    <w:uiPriority w:val="99"/>
    <w:unhideWhenUsed/>
    <w:rsid w:val="00B00B03"/>
    <w:rPr>
      <w:rFonts w:ascii="Tahoma" w:hAnsi="Tahoma" w:cs="Tahoma"/>
      <w:sz w:val="16"/>
      <w:szCs w:val="16"/>
    </w:rPr>
  </w:style>
  <w:style w:type="character" w:customStyle="1" w:styleId="af1">
    <w:name w:val="טקסט בלונים תו"/>
    <w:link w:val="af0"/>
    <w:uiPriority w:val="99"/>
    <w:rsid w:val="00B00B0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891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7%D7%99%D7%9C%D7%95%D7%9C-%D7%94%D7%A9%D7%9D-%D7%91%D7%9E%D7%A7%D7%A8%D7%901" TargetMode="External"/><Relationship Id="rId2" Type="http://schemas.openxmlformats.org/officeDocument/2006/relationships/hyperlink" Target="https://www.mayim.org.il/?parasha=%D7%94%D7%AA%D7%A8%D7%AA-%D7%A0%D7%93%D7%A8%D7%99%D7%9D" TargetMode="External"/><Relationship Id="rId1" Type="http://schemas.openxmlformats.org/officeDocument/2006/relationships/hyperlink" Target="https://www.mayim.org.il/?parasha=914-2" TargetMode="External"/><Relationship Id="rId6" Type="http://schemas.openxmlformats.org/officeDocument/2006/relationships/hyperlink" Target="http://www.mayim.org.il/?parasha=%D7%9E%D7%9C%D7%9A-%D7%9C%D7%90-%D7%93%D7%9F-%D7%95%D7%9C%D7%90-%D7%93%D7%A0%D7%99%D7%9D-%D7%90%D7%95%D7%AA%D7%95-%D7%9E%D7%97%D7%9C%D7%95%D7%A7%D7%AA-%D7%94%D7%91%D7%91%D7%9C%D7%99-%D7%95%D7%94%D7%99" TargetMode="External"/><Relationship Id="rId5" Type="http://schemas.openxmlformats.org/officeDocument/2006/relationships/hyperlink" Target="http://www.mayim.org.il/?parasha=%D7%A7%D7%99%D7%99%D7%9E%D7%95-%D7%94%D7%90%D7%91%D7%95%D7%AA-%D7%90%D7%AA-%D7%94%D7%AA%D7%95%D7%A8%D7%94" TargetMode="External"/><Relationship Id="rId4" Type="http://schemas.openxmlformats.org/officeDocument/2006/relationships/hyperlink" Target="http://www.mayim.org.il/?parasha=%d7%9c%d7%90-%d7%aa%d7%a0%d7%a1%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A15BB-0B96-42B5-BCB4-53FEFE047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727</Words>
  <Characters>3636</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פרא בסיליוס נומוס אגרפוס</vt:lpstr>
      <vt:lpstr>פרא בסיליוס נומוס אגרפוס</vt:lpstr>
    </vt:vector>
  </TitlesOfParts>
  <Company>Microsoft</Company>
  <LinksUpToDate>false</LinksUpToDate>
  <CharactersWithSpaces>4355</CharactersWithSpaces>
  <SharedDoc>false</SharedDoc>
  <HLinks>
    <vt:vector size="36" baseType="variant">
      <vt:variant>
        <vt:i4>6160459</vt:i4>
      </vt:variant>
      <vt:variant>
        <vt:i4>18</vt:i4>
      </vt:variant>
      <vt:variant>
        <vt:i4>0</vt:i4>
      </vt:variant>
      <vt:variant>
        <vt:i4>5</vt:i4>
      </vt:variant>
      <vt:variant>
        <vt:lpwstr>http://www.mayim.org.il/?parasha=%D7%9E%D7%9C%D7%9A-%D7%9C%D7%90-%D7%93%D7%9F-%D7%95%D7%9C%D7%90-%D7%93%D7%A0%D7%99%D7%9D-%D7%90%D7%95%D7%AA%D7%95-%D7%9E%D7%97%D7%9C%D7%95%D7%A7%D7%AA-%D7%94%D7%91%D7%91%D7%9C%D7%99-%D7%95%D7%94%D7%99</vt:lpwstr>
      </vt:variant>
      <vt:variant>
        <vt:lpwstr/>
      </vt:variant>
      <vt:variant>
        <vt:i4>2752558</vt:i4>
      </vt:variant>
      <vt:variant>
        <vt:i4>15</vt:i4>
      </vt:variant>
      <vt:variant>
        <vt:i4>0</vt:i4>
      </vt:variant>
      <vt:variant>
        <vt:i4>5</vt:i4>
      </vt:variant>
      <vt:variant>
        <vt:lpwstr>http://www.mayim.org.il/?parasha=%D7%A7%D7%99%D7%99%D7%9E%D7%95-%D7%94%D7%90%D7%91%D7%95%D7%AA-%D7%90%D7%AA-%D7%94%D7%AA%D7%95%D7%A8%D7%94</vt:lpwstr>
      </vt:variant>
      <vt:variant>
        <vt:lpwstr/>
      </vt:variant>
      <vt:variant>
        <vt:i4>7602215</vt:i4>
      </vt:variant>
      <vt:variant>
        <vt:i4>12</vt:i4>
      </vt:variant>
      <vt:variant>
        <vt:i4>0</vt:i4>
      </vt:variant>
      <vt:variant>
        <vt:i4>5</vt:i4>
      </vt:variant>
      <vt:variant>
        <vt:lpwstr>http://www.mayim.org.il/?parasha=%d7%9c%d7%90-%d7%aa%d7%a0%d7%a1%d7%95</vt:lpwstr>
      </vt:variant>
      <vt:variant>
        <vt:lpwstr/>
      </vt:variant>
      <vt:variant>
        <vt:i4>3670050</vt:i4>
      </vt:variant>
      <vt:variant>
        <vt:i4>9</vt:i4>
      </vt:variant>
      <vt:variant>
        <vt:i4>0</vt:i4>
      </vt:variant>
      <vt:variant>
        <vt:i4>5</vt:i4>
      </vt:variant>
      <vt:variant>
        <vt:lpwstr>http://www.mayim.org.il/?parasha=%D7%97%D7%99%D7%9C%D7%95%D7%9C-%D7%94%D7%A9%D7%9D-%D7%91%D7%9E%D7%A7%D7%A8%D7%901</vt:lpwstr>
      </vt:variant>
      <vt:variant>
        <vt:lpwstr/>
      </vt:variant>
      <vt:variant>
        <vt:i4>1245265</vt:i4>
      </vt:variant>
      <vt:variant>
        <vt:i4>3</vt:i4>
      </vt:variant>
      <vt:variant>
        <vt:i4>0</vt:i4>
      </vt:variant>
      <vt:variant>
        <vt:i4>5</vt:i4>
      </vt:variant>
      <vt:variant>
        <vt:lpwstr>https://www.mayim.org.il/?parasha=%D7%94%D7%AA%D7%A8%D7%AA-%D7%A0%D7%93%D7%A8%D7%99%D7%9D</vt:lpwstr>
      </vt:variant>
      <vt:variant>
        <vt:lpwstr/>
      </vt:variant>
      <vt:variant>
        <vt:i4>2621546</vt:i4>
      </vt:variant>
      <vt:variant>
        <vt:i4>0</vt:i4>
      </vt:variant>
      <vt:variant>
        <vt:i4>0</vt:i4>
      </vt:variant>
      <vt:variant>
        <vt:i4>5</vt:i4>
      </vt:variant>
      <vt:variant>
        <vt:lpwstr>https://www.mayim.org.il/?parasha=914-2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פרא בסיליוס נומוס אגרפוס</dc:title>
  <dc:subject>פרשת וירא</dc:subject>
  <dc:creator>Asher Yuval</dc:creator>
  <cp:keywords/>
  <cp:lastModifiedBy>Shimon Afek</cp:lastModifiedBy>
  <cp:revision>2</cp:revision>
  <cp:lastPrinted>2004-10-28T22:43:00Z</cp:lastPrinted>
  <dcterms:created xsi:type="dcterms:W3CDTF">2020-10-29T06:51:00Z</dcterms:created>
  <dcterms:modified xsi:type="dcterms:W3CDTF">2020-10-29T06:51:00Z</dcterms:modified>
</cp:coreProperties>
</file>