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59A2A" w14:textId="77777777" w:rsidR="006F4666" w:rsidRDefault="006F4666" w:rsidP="00F06E79">
      <w:pPr>
        <w:pStyle w:val="aa"/>
        <w:rPr>
          <w:rtl/>
        </w:rPr>
      </w:pPr>
      <w:fldSimple w:instr=" TITLE  \* MERGEFORMAT ">
        <w:r w:rsidR="00D258CA">
          <w:rPr>
            <w:rtl/>
          </w:rPr>
          <w:t>לכף זכות</w:t>
        </w:r>
      </w:fldSimple>
    </w:p>
    <w:p w14:paraId="2ED7F4EE" w14:textId="77777777" w:rsidR="002C0EC5" w:rsidRDefault="002C0EC5" w:rsidP="002C0EC5">
      <w:pPr>
        <w:pStyle w:val="ab"/>
        <w:rPr>
          <w:rFonts w:hint="cs"/>
          <w:rtl/>
        </w:rPr>
      </w:pPr>
      <w:r>
        <w:rPr>
          <w:rtl/>
        </w:rPr>
        <w:t xml:space="preserve">מסכת אבות פרק א </w:t>
      </w:r>
      <w:r>
        <w:rPr>
          <w:rFonts w:hint="cs"/>
          <w:rtl/>
        </w:rPr>
        <w:t>משנה ו</w:t>
      </w:r>
    </w:p>
    <w:p w14:paraId="2DDC26BA" w14:textId="77777777" w:rsidR="002C0EC5" w:rsidRDefault="002C0EC5" w:rsidP="00035746">
      <w:pPr>
        <w:pStyle w:val="ac"/>
        <w:rPr>
          <w:rFonts w:hint="cs"/>
          <w:rtl/>
        </w:rPr>
      </w:pPr>
      <w:r>
        <w:rPr>
          <w:rFonts w:hint="cs"/>
          <w:rtl/>
        </w:rPr>
        <w:t xml:space="preserve">... </w:t>
      </w:r>
      <w:r>
        <w:rPr>
          <w:rtl/>
        </w:rPr>
        <w:t>יהושע בן פרחיה אומר</w:t>
      </w:r>
      <w:r>
        <w:rPr>
          <w:rFonts w:hint="cs"/>
          <w:rtl/>
        </w:rPr>
        <w:t>:</w:t>
      </w:r>
      <w:r>
        <w:rPr>
          <w:rtl/>
        </w:rPr>
        <w:t xml:space="preserve"> עשה לך רב וקנה לך חבר והוי דן את כל האדם לכף זכות</w:t>
      </w:r>
      <w:r w:rsidR="00035746">
        <w:rPr>
          <w:rFonts w:hint="cs"/>
          <w:rtl/>
        </w:rPr>
        <w:t>.</w:t>
      </w:r>
      <w:r w:rsidR="00035746">
        <w:rPr>
          <w:rStyle w:val="a5"/>
          <w:rtl/>
        </w:rPr>
        <w:footnoteReference w:id="1"/>
      </w:r>
      <w:r>
        <w:rPr>
          <w:rtl/>
        </w:rPr>
        <w:t xml:space="preserve"> </w:t>
      </w:r>
    </w:p>
    <w:p w14:paraId="71C6865C" w14:textId="77777777" w:rsidR="00C84B01" w:rsidRDefault="00C84B01" w:rsidP="00C84B01">
      <w:pPr>
        <w:pStyle w:val="ab"/>
        <w:rPr>
          <w:rtl/>
        </w:rPr>
      </w:pPr>
      <w:r>
        <w:rPr>
          <w:rtl/>
        </w:rPr>
        <w:t>מסכת אבות פרק ו</w:t>
      </w:r>
      <w:r>
        <w:rPr>
          <w:rFonts w:hint="cs"/>
          <w:rtl/>
        </w:rPr>
        <w:t xml:space="preserve"> משנה ו</w:t>
      </w:r>
    </w:p>
    <w:p w14:paraId="681D5AA0" w14:textId="77777777" w:rsidR="00C84B01" w:rsidRDefault="00C84B01" w:rsidP="00C84B01">
      <w:pPr>
        <w:pStyle w:val="ac"/>
        <w:rPr>
          <w:rFonts w:hint="cs"/>
          <w:rtl/>
        </w:rPr>
      </w:pPr>
      <w:r>
        <w:rPr>
          <w:rFonts w:hint="cs"/>
          <w:rtl/>
        </w:rPr>
        <w:t xml:space="preserve">... </w:t>
      </w:r>
      <w:r>
        <w:rPr>
          <w:rtl/>
        </w:rPr>
        <w:t>נושא בעול עם חבירו</w:t>
      </w:r>
      <w:r>
        <w:rPr>
          <w:rFonts w:hint="cs"/>
          <w:rtl/>
        </w:rPr>
        <w:t>,</w:t>
      </w:r>
      <w:r>
        <w:rPr>
          <w:rtl/>
        </w:rPr>
        <w:t xml:space="preserve"> מכריעו לכף זכות</w:t>
      </w:r>
      <w:r>
        <w:rPr>
          <w:rFonts w:hint="cs"/>
          <w:rtl/>
        </w:rPr>
        <w:t>,</w:t>
      </w:r>
      <w:r>
        <w:rPr>
          <w:rtl/>
        </w:rPr>
        <w:t xml:space="preserve"> מעמידו על האמת</w:t>
      </w:r>
      <w:r>
        <w:rPr>
          <w:rFonts w:hint="cs"/>
          <w:rtl/>
        </w:rPr>
        <w:t>,</w:t>
      </w:r>
      <w:r>
        <w:rPr>
          <w:rtl/>
        </w:rPr>
        <w:t xml:space="preserve"> מעמידו על השלום</w:t>
      </w:r>
      <w:r>
        <w:rPr>
          <w:rFonts w:hint="cs"/>
          <w:rtl/>
        </w:rPr>
        <w:t xml:space="preserve"> ...</w:t>
      </w:r>
      <w:r w:rsidR="00F27D73">
        <w:rPr>
          <w:rStyle w:val="a5"/>
          <w:rtl/>
        </w:rPr>
        <w:footnoteReference w:id="2"/>
      </w:r>
    </w:p>
    <w:p w14:paraId="492A98D9" w14:textId="77777777" w:rsidR="00024DF2" w:rsidRDefault="00024DF2" w:rsidP="002C0EC5">
      <w:pPr>
        <w:pStyle w:val="ab"/>
        <w:rPr>
          <w:rtl/>
        </w:rPr>
      </w:pPr>
      <w:r>
        <w:rPr>
          <w:rtl/>
        </w:rPr>
        <w:t xml:space="preserve">מסכת שבת דף קכז עמוד ב </w:t>
      </w:r>
    </w:p>
    <w:p w14:paraId="023685D1" w14:textId="77777777" w:rsidR="00245FE0" w:rsidRDefault="00024DF2" w:rsidP="00024DF2">
      <w:pPr>
        <w:pStyle w:val="ac"/>
        <w:rPr>
          <w:rFonts w:hint="cs"/>
          <w:rtl/>
        </w:rPr>
      </w:pPr>
      <w:r>
        <w:rPr>
          <w:rtl/>
        </w:rPr>
        <w:t>תנו רבנן: הדן חבירו לכף זכות</w:t>
      </w:r>
      <w:r w:rsidR="00A41F1F">
        <w:rPr>
          <w:rFonts w:hint="cs"/>
          <w:rtl/>
        </w:rPr>
        <w:t>,</w:t>
      </w:r>
      <w:r>
        <w:rPr>
          <w:rtl/>
        </w:rPr>
        <w:t xml:space="preserve"> דנין אותו לזכות.</w:t>
      </w:r>
      <w:r w:rsidR="002C0EC5">
        <w:rPr>
          <w:rStyle w:val="a5"/>
          <w:rtl/>
        </w:rPr>
        <w:footnoteReference w:id="3"/>
      </w:r>
      <w:r>
        <w:rPr>
          <w:rtl/>
        </w:rPr>
        <w:t xml:space="preserve"> ומעשה באדם אחד שירד מגליל העליון ונשכר אצל בעל הבית אחד בדרום של</w:t>
      </w:r>
      <w:r w:rsidR="004E05CA">
        <w:rPr>
          <w:rFonts w:hint="cs"/>
          <w:rtl/>
        </w:rPr>
        <w:t>ו</w:t>
      </w:r>
      <w:r>
        <w:rPr>
          <w:rtl/>
        </w:rPr>
        <w:t>ש שנים.</w:t>
      </w:r>
      <w:r w:rsidR="00291291">
        <w:rPr>
          <w:rStyle w:val="a5"/>
          <w:rtl/>
        </w:rPr>
        <w:footnoteReference w:id="4"/>
      </w:r>
      <w:r>
        <w:rPr>
          <w:rtl/>
        </w:rPr>
        <w:t xml:space="preserve"> ערב יום הכ</w:t>
      </w:r>
      <w:r w:rsidR="004E05CA">
        <w:rPr>
          <w:rFonts w:hint="cs"/>
          <w:rtl/>
        </w:rPr>
        <w:t>י</w:t>
      </w:r>
      <w:r>
        <w:rPr>
          <w:rtl/>
        </w:rPr>
        <w:t>פורים אמר לו: תן לי שכרי, ואלך ואזון את אשתי ובני. אמר לו: אין לי מעות. אמר לו: תן לי פירות. - אמר לו: אין לי. - תן לי קרקע. - אין לי. - תן לי בהמה. - אין לי. תן לי כרים וכסתות. - אין לי. הפשיל כליו לאחוריו, והלך לביתו בפחי נפש.</w:t>
      </w:r>
      <w:r w:rsidR="004E05CA">
        <w:rPr>
          <w:rStyle w:val="a5"/>
          <w:rtl/>
        </w:rPr>
        <w:footnoteReference w:id="5"/>
      </w:r>
      <w:r>
        <w:rPr>
          <w:rtl/>
        </w:rPr>
        <w:t xml:space="preserve"> לאחר הרגל</w:t>
      </w:r>
      <w:r w:rsidR="001852B1">
        <w:rPr>
          <w:rFonts w:hint="cs"/>
          <w:rtl/>
        </w:rPr>
        <w:t>,</w:t>
      </w:r>
      <w:r w:rsidR="00B938F6">
        <w:rPr>
          <w:rStyle w:val="a5"/>
          <w:rtl/>
        </w:rPr>
        <w:footnoteReference w:id="6"/>
      </w:r>
      <w:r>
        <w:rPr>
          <w:rtl/>
        </w:rPr>
        <w:t xml:space="preserve"> נטל בעל הבית שכרו בידו, ועמו משוי שלשה חמורים, אחד של מאכל ואחד של משתה ואחד של מיני מגדים, והלך לו לביתו.</w:t>
      </w:r>
      <w:r w:rsidR="00B938F6">
        <w:rPr>
          <w:rStyle w:val="a5"/>
          <w:rtl/>
        </w:rPr>
        <w:footnoteReference w:id="7"/>
      </w:r>
      <w:r>
        <w:rPr>
          <w:rtl/>
        </w:rPr>
        <w:t xml:space="preserve"> אחר שאכלו ושתו נתן לו שכרו. אמר לו: בשעה שאמרת לי תן לי שכרי ואמרתי אין לי מעות במה חשדתני? - אמרתי: שמא פרקמטיא בזול נזדמנה לך, ולקחת בהן. - ובשעה שאמרת לי תן לי בהמה ואמרתי אין לי בהמה במה חשדתני? - אמרתי: שמא מושכרת ביד אחרים. - בשעה שאמרת לי תן לי קרקע ואמרתי לך אין לי קרקע במה חשדתני? - אמרתי: שמא מוחכרת ביד אחרים היא. - ובשעה שאמרתי לך אין לי פירות במה חשדתני? - אמרתי שמא אינן מעושרות. - ובשעה שאמרתי לך אין לי כרים וכסתות במה חשדתני? - אמרתי: שמא הקדיש כל נכסיו לשמים. - אמר לו: העבודה, כך היה! ה</w:t>
      </w:r>
      <w:r w:rsidR="00B938F6">
        <w:rPr>
          <w:rFonts w:hint="cs"/>
          <w:rtl/>
        </w:rPr>
        <w:t>י</w:t>
      </w:r>
      <w:r>
        <w:rPr>
          <w:rtl/>
        </w:rPr>
        <w:t>דרתי כל נכסי בשביל הורקנוס בני שלא עסק בתורה,</w:t>
      </w:r>
      <w:r w:rsidR="00794849">
        <w:rPr>
          <w:rStyle w:val="a5"/>
          <w:rtl/>
        </w:rPr>
        <w:footnoteReference w:id="8"/>
      </w:r>
      <w:r>
        <w:rPr>
          <w:rtl/>
        </w:rPr>
        <w:t xml:space="preserve"> וכשבאתי אצל חבירי בדרום התירו לי כל נדרי. ואתה, כשם שדנתני לזכות - המקום ידין אותך לזכות.</w:t>
      </w:r>
      <w:r w:rsidR="00466F20">
        <w:rPr>
          <w:rStyle w:val="a5"/>
          <w:rtl/>
        </w:rPr>
        <w:footnoteReference w:id="9"/>
      </w:r>
      <w:r>
        <w:rPr>
          <w:rtl/>
        </w:rPr>
        <w:t xml:space="preserve"> </w:t>
      </w:r>
    </w:p>
    <w:p w14:paraId="00B85342" w14:textId="77777777" w:rsidR="00C01963" w:rsidRDefault="00024DF2" w:rsidP="00A41F1F">
      <w:pPr>
        <w:pStyle w:val="ac"/>
        <w:rPr>
          <w:rFonts w:hint="cs"/>
          <w:rtl/>
        </w:rPr>
      </w:pPr>
      <w:r>
        <w:rPr>
          <w:rtl/>
        </w:rPr>
        <w:lastRenderedPageBreak/>
        <w:t>תנו רבנן: מעשה בחסיד אחד שפדה ריבה אחת בת ישראל, ולמלון השכיבה תחת מרגלותיו</w:t>
      </w:r>
      <w:r w:rsidR="00A41F1F">
        <w:rPr>
          <w:rFonts w:hint="cs"/>
          <w:rtl/>
        </w:rPr>
        <w:t>.</w:t>
      </w:r>
      <w:r>
        <w:rPr>
          <w:rtl/>
        </w:rPr>
        <w:t xml:space="preserve"> למחר ירד וטבל ושנה לתלמידיו. ואמר להם</w:t>
      </w:r>
      <w:r w:rsidR="00C01963">
        <w:rPr>
          <w:rFonts w:hint="cs"/>
          <w:rtl/>
        </w:rPr>
        <w:t xml:space="preserve">: </w:t>
      </w:r>
      <w:r>
        <w:rPr>
          <w:rtl/>
        </w:rPr>
        <w:t xml:space="preserve">בשעה שהשכבתיה תחת מרגלותי במה חשדתוני? - אמרנו: שמא יש בנו תלמיד שאינו בדוק לרבי. - בשעה שירדתי וטבלתי במה חשדתוני? - אמרנו: שמא מפני טורח הדרך אירע קרי לרבי. - אמר להם: העבודה, כך היה. ואתם, כשם שדנתוני לכף זכות - </w:t>
      </w:r>
      <w:r w:rsidR="006076BB">
        <w:rPr>
          <w:rtl/>
        </w:rPr>
        <w:t>המקום ידין אתכם לכף זכות.</w:t>
      </w:r>
      <w:r w:rsidR="006076BB">
        <w:rPr>
          <w:rStyle w:val="a5"/>
          <w:rtl/>
        </w:rPr>
        <w:footnoteReference w:id="10"/>
      </w:r>
    </w:p>
    <w:p w14:paraId="3A5EC486" w14:textId="77777777" w:rsidR="006076BB" w:rsidRDefault="00D47327" w:rsidP="006076BB">
      <w:pPr>
        <w:pStyle w:val="ab"/>
        <w:rPr>
          <w:rFonts w:hint="cs"/>
          <w:rtl/>
        </w:rPr>
      </w:pPr>
      <w:r>
        <w:rPr>
          <w:rtl/>
        </w:rPr>
        <w:t>מסכת דרך ארץ פרקי בן עזאי פרק ד</w:t>
      </w:r>
    </w:p>
    <w:p w14:paraId="60A62655" w14:textId="77777777" w:rsidR="00D47327" w:rsidRDefault="00D47327" w:rsidP="001A1208">
      <w:pPr>
        <w:pStyle w:val="ac"/>
        <w:rPr>
          <w:rFonts w:hint="cs"/>
          <w:rtl/>
        </w:rPr>
      </w:pPr>
      <w:r>
        <w:rPr>
          <w:rtl/>
        </w:rPr>
        <w:t>לא יהא אדם קפדן בתוך סעודה. ומעשה בהילל הזקן שעשה סעודה לאדם אחד, ובא עני ועמד על פתחו, אמר לאשתו</w:t>
      </w:r>
      <w:r>
        <w:rPr>
          <w:rFonts w:hint="cs"/>
          <w:rtl/>
        </w:rPr>
        <w:t>:</w:t>
      </w:r>
      <w:r>
        <w:rPr>
          <w:rtl/>
        </w:rPr>
        <w:t xml:space="preserve"> אשה אני צריך להכניס, ואין לי פרנסה כלום. נטלה אשתו של הילל כל הסעודה ההיא, ונתנה לו</w:t>
      </w:r>
      <w:r>
        <w:rPr>
          <w:rFonts w:hint="cs"/>
          <w:rtl/>
        </w:rPr>
        <w:t>.</w:t>
      </w:r>
      <w:r>
        <w:rPr>
          <w:rtl/>
        </w:rPr>
        <w:t xml:space="preserve"> ואחר כך לשה עיסה אחרת, ובשלה אילפס אחר, ובאת והניחה לפניהם. אמר לה</w:t>
      </w:r>
      <w:r>
        <w:rPr>
          <w:rFonts w:hint="cs"/>
          <w:rtl/>
        </w:rPr>
        <w:t xml:space="preserve"> (הלל לאשתו):</w:t>
      </w:r>
      <w:r>
        <w:rPr>
          <w:rtl/>
        </w:rPr>
        <w:t xml:space="preserve"> בתי, מפני מה לא הבאת לנו מיד</w:t>
      </w:r>
      <w:r>
        <w:rPr>
          <w:rFonts w:hint="cs"/>
          <w:rtl/>
        </w:rPr>
        <w:t>?</w:t>
      </w:r>
      <w:r>
        <w:rPr>
          <w:rtl/>
        </w:rPr>
        <w:t xml:space="preserve"> סחה לו כל אותו המעשה</w:t>
      </w:r>
      <w:r>
        <w:rPr>
          <w:rFonts w:hint="cs"/>
          <w:rtl/>
        </w:rPr>
        <w:t>.</w:t>
      </w:r>
      <w:r>
        <w:rPr>
          <w:rtl/>
        </w:rPr>
        <w:t xml:space="preserve"> אמר לה</w:t>
      </w:r>
      <w:r>
        <w:rPr>
          <w:rFonts w:hint="cs"/>
          <w:rtl/>
        </w:rPr>
        <w:t>:</w:t>
      </w:r>
      <w:r>
        <w:rPr>
          <w:rtl/>
        </w:rPr>
        <w:t xml:space="preserve"> בתי, אף אני לא דנתי אותך לכף חובה, אלא לכף זכות, שכל המעשים שעשית לא עשית אלא לשם שמים.</w:t>
      </w:r>
      <w:r w:rsidR="006076BB">
        <w:rPr>
          <w:rStyle w:val="a5"/>
          <w:rtl/>
        </w:rPr>
        <w:footnoteReference w:id="11"/>
      </w:r>
      <w:r w:rsidRPr="00D47327">
        <w:rPr>
          <w:rFonts w:hint="cs"/>
          <w:rtl/>
        </w:rPr>
        <w:t xml:space="preserve"> </w:t>
      </w:r>
    </w:p>
    <w:p w14:paraId="611979EC" w14:textId="77777777" w:rsidR="001B28DD" w:rsidRDefault="001B28DD" w:rsidP="001B28DD">
      <w:pPr>
        <w:pStyle w:val="ab"/>
        <w:rPr>
          <w:rtl/>
        </w:rPr>
      </w:pPr>
      <w:r>
        <w:rPr>
          <w:rtl/>
        </w:rPr>
        <w:t xml:space="preserve">מסכת ברכות דף לא עמוד א </w:t>
      </w:r>
    </w:p>
    <w:p w14:paraId="296733EB" w14:textId="77777777" w:rsidR="001B28DD" w:rsidRDefault="001B28DD" w:rsidP="000A4796">
      <w:pPr>
        <w:pStyle w:val="ac"/>
        <w:rPr>
          <w:rFonts w:hint="cs"/>
          <w:rtl/>
        </w:rPr>
      </w:pPr>
      <w:r>
        <w:rPr>
          <w:rtl/>
        </w:rPr>
        <w:t>ויאמר אליה עלי עד מתי תשתכרין וגו' - אמר רבי אלעזר: מכאן, לרואה בחברו</w:t>
      </w:r>
      <w:r w:rsidRPr="001B28DD">
        <w:rPr>
          <w:rtl/>
        </w:rPr>
        <w:t xml:space="preserve"> </w:t>
      </w:r>
      <w:r>
        <w:rPr>
          <w:rtl/>
        </w:rPr>
        <w:t xml:space="preserve">דבר שאינו הגון צריך להוכיחו, ותען חנה ותאמר לא אדני - אמר עולא ואיתימא רבי </w:t>
      </w:r>
      <w:smartTag w:uri="urn:schemas-microsoft-com:office:smarttags" w:element="PersonName">
        <w:smartTagPr>
          <w:attr w:name="ProductID" w:val="יוסי ברבי"/>
        </w:smartTagPr>
        <w:r>
          <w:rPr>
            <w:rtl/>
          </w:rPr>
          <w:t>יוסי ברבי</w:t>
        </w:r>
      </w:smartTag>
      <w:r>
        <w:rPr>
          <w:rtl/>
        </w:rPr>
        <w:t xml:space="preserve"> חנינא, אמרה ליה: לא אדון אתה בדבר זה, ולא רוח הקודש שורה עליך, שאתה חושדני בדבר זה. איכא דאמרי, הכי אמרה ליה: לא אדון אתה, לאו איכא שכינה ורוח הקודש גבך, שדנתני לכף חובה ולא דנתני לכף זכות</w:t>
      </w:r>
      <w:r w:rsidR="000A4796">
        <w:rPr>
          <w:rFonts w:hint="cs"/>
          <w:rtl/>
        </w:rPr>
        <w:t>.</w:t>
      </w:r>
      <w:r>
        <w:rPr>
          <w:rtl/>
        </w:rPr>
        <w:t xml:space="preserve"> מי לא ידעת דאשה קשת רוח אנכי? ויין ושכר לא שתיתי - אמר רבי אלעזר: מכאן, לנחשד בדבר שאין בו שצריך להודיעו.</w:t>
      </w:r>
      <w:r w:rsidR="000A4796">
        <w:rPr>
          <w:rStyle w:val="a5"/>
          <w:rtl/>
        </w:rPr>
        <w:footnoteReference w:id="12"/>
      </w:r>
    </w:p>
    <w:p w14:paraId="773F8866" w14:textId="77777777" w:rsidR="00172C97" w:rsidRPr="00601338" w:rsidRDefault="00172C97" w:rsidP="00172C97">
      <w:pPr>
        <w:pStyle w:val="ab"/>
        <w:rPr>
          <w:rtl/>
          <w:lang w:val="he-IL"/>
        </w:rPr>
      </w:pPr>
      <w:r w:rsidRPr="00601338">
        <w:rPr>
          <w:rtl/>
          <w:lang w:val="he-IL"/>
        </w:rPr>
        <w:t>מסכת סוכה דף נב עמוד א</w:t>
      </w:r>
      <w:r>
        <w:rPr>
          <w:rFonts w:hint="cs"/>
          <w:rtl/>
          <w:lang w:val="he-IL"/>
        </w:rPr>
        <w:t xml:space="preserve"> </w:t>
      </w:r>
      <w:r>
        <w:rPr>
          <w:rtl/>
          <w:lang w:val="he-IL"/>
        </w:rPr>
        <w:t>–</w:t>
      </w:r>
      <w:r>
        <w:rPr>
          <w:rFonts w:hint="cs"/>
          <w:rtl/>
          <w:lang w:val="he-IL"/>
        </w:rPr>
        <w:t xml:space="preserve"> הדן לכף חובה היא עצת היצר הרע</w:t>
      </w:r>
    </w:p>
    <w:p w14:paraId="5B609C93" w14:textId="77777777" w:rsidR="00172C97" w:rsidRDefault="00172C97" w:rsidP="00E6152D">
      <w:pPr>
        <w:pStyle w:val="ac"/>
        <w:rPr>
          <w:rFonts w:hint="cs"/>
          <w:rtl/>
          <w:lang w:val="he-IL"/>
        </w:rPr>
      </w:pPr>
      <w:r w:rsidRPr="00601338">
        <w:rPr>
          <w:rtl/>
          <w:lang w:val="he-IL"/>
        </w:rPr>
        <w:lastRenderedPageBreak/>
        <w:t>תנו רבנן: ואת הצפוני ארחיק מעליכם - זה יצר הרע, שצפון ועומד בלבו של אדם</w:t>
      </w:r>
      <w:r>
        <w:rPr>
          <w:rFonts w:hint="cs"/>
          <w:rtl/>
          <w:lang w:val="he-IL"/>
        </w:rPr>
        <w:t xml:space="preserve"> ...</w:t>
      </w:r>
      <w:r w:rsidRPr="00601338">
        <w:rPr>
          <w:rtl/>
          <w:lang w:val="he-IL"/>
        </w:rPr>
        <w:t xml:space="preserve"> אמר אביי: ובתלמידי חכמים יותר מכולם.</w:t>
      </w:r>
      <w:r w:rsidR="00143A0E">
        <w:rPr>
          <w:rStyle w:val="a5"/>
          <w:rtl/>
          <w:lang w:val="he-IL"/>
        </w:rPr>
        <w:footnoteReference w:id="13"/>
      </w:r>
      <w:r w:rsidRPr="00601338">
        <w:rPr>
          <w:rtl/>
          <w:lang w:val="he-IL"/>
        </w:rPr>
        <w:t xml:space="preserve"> כ</w:t>
      </w:r>
      <w:r w:rsidR="00143A0E">
        <w:rPr>
          <w:rFonts w:hint="cs"/>
          <w:rtl/>
          <w:lang w:val="he-IL"/>
        </w:rPr>
        <w:t>מו המעשה ב</w:t>
      </w:r>
      <w:r w:rsidRPr="00601338">
        <w:rPr>
          <w:rtl/>
          <w:lang w:val="he-IL"/>
        </w:rPr>
        <w:t>אביי ש</w:t>
      </w:r>
      <w:r w:rsidR="00143A0E">
        <w:rPr>
          <w:rFonts w:hint="cs"/>
          <w:rtl/>
          <w:lang w:val="he-IL"/>
        </w:rPr>
        <w:t xml:space="preserve">שמע אדם אחד שאמר לאשה אחת: </w:t>
      </w:r>
      <w:r w:rsidRPr="00601338">
        <w:rPr>
          <w:rtl/>
          <w:lang w:val="he-IL"/>
        </w:rPr>
        <w:t xml:space="preserve">נקדים </w:t>
      </w:r>
      <w:r w:rsidR="00143A0E">
        <w:rPr>
          <w:rFonts w:hint="cs"/>
          <w:rtl/>
          <w:lang w:val="he-IL"/>
        </w:rPr>
        <w:t>(נשכים בבוקר) ונצא לדרך</w:t>
      </w:r>
      <w:r w:rsidR="00E6152D">
        <w:rPr>
          <w:rFonts w:hint="cs"/>
          <w:rtl/>
          <w:lang w:val="he-IL"/>
        </w:rPr>
        <w:t xml:space="preserve">. </w:t>
      </w:r>
      <w:r w:rsidRPr="00601338">
        <w:rPr>
          <w:rtl/>
          <w:lang w:val="he-IL"/>
        </w:rPr>
        <w:t>אמר</w:t>
      </w:r>
      <w:r w:rsidR="00E6152D">
        <w:rPr>
          <w:rFonts w:hint="cs"/>
          <w:rtl/>
          <w:lang w:val="he-IL"/>
        </w:rPr>
        <w:t xml:space="preserve"> (אביי, בלבו)</w:t>
      </w:r>
      <w:r w:rsidRPr="00601338">
        <w:rPr>
          <w:rtl/>
          <w:lang w:val="he-IL"/>
        </w:rPr>
        <w:t xml:space="preserve">: </w:t>
      </w:r>
      <w:r w:rsidR="00E6152D">
        <w:rPr>
          <w:rFonts w:hint="cs"/>
          <w:rtl/>
          <w:lang w:val="he-IL"/>
        </w:rPr>
        <w:t>אלך ואפריש אותם מה</w:t>
      </w:r>
      <w:r w:rsidRPr="00601338">
        <w:rPr>
          <w:rtl/>
          <w:lang w:val="he-IL"/>
        </w:rPr>
        <w:t xml:space="preserve">איסור. </w:t>
      </w:r>
      <w:r w:rsidR="00E6152D">
        <w:rPr>
          <w:rFonts w:hint="cs"/>
          <w:rtl/>
          <w:lang w:val="he-IL"/>
        </w:rPr>
        <w:t>הלך אחריהם שלוש פרסאות באגם.</w:t>
      </w:r>
      <w:r w:rsidR="00E6152D">
        <w:rPr>
          <w:rStyle w:val="a5"/>
          <w:rtl/>
          <w:lang w:val="he-IL"/>
        </w:rPr>
        <w:footnoteReference w:id="14"/>
      </w:r>
      <w:r w:rsidRPr="00601338">
        <w:rPr>
          <w:rtl/>
          <w:lang w:val="he-IL"/>
        </w:rPr>
        <w:t xml:space="preserve"> כ</w:t>
      </w:r>
      <w:r w:rsidR="00E6152D">
        <w:rPr>
          <w:rFonts w:hint="cs"/>
          <w:rtl/>
          <w:lang w:val="he-IL"/>
        </w:rPr>
        <w:t>אשר נפרדו זה מזו,</w:t>
      </w:r>
      <w:r w:rsidR="00E6152D">
        <w:rPr>
          <w:rStyle w:val="a5"/>
          <w:rtl/>
          <w:lang w:val="he-IL"/>
        </w:rPr>
        <w:footnoteReference w:id="15"/>
      </w:r>
      <w:r w:rsidR="00E6152D">
        <w:rPr>
          <w:rFonts w:hint="cs"/>
          <w:rtl/>
          <w:lang w:val="he-IL"/>
        </w:rPr>
        <w:t xml:space="preserve"> שמע אותם שאמרו: הדרך (הייתה) רחוקה, אך החברה הייתה נעימה.</w:t>
      </w:r>
      <w:r w:rsidR="00E6152D">
        <w:rPr>
          <w:rStyle w:val="a5"/>
          <w:rtl/>
          <w:lang w:val="he-IL"/>
        </w:rPr>
        <w:footnoteReference w:id="16"/>
      </w:r>
      <w:r w:rsidRPr="00601338">
        <w:rPr>
          <w:rtl/>
          <w:lang w:val="he-IL"/>
        </w:rPr>
        <w:t xml:space="preserve"> אמר אביי: א</w:t>
      </w:r>
      <w:r w:rsidR="00E6152D">
        <w:rPr>
          <w:rFonts w:hint="cs"/>
          <w:rtl/>
          <w:lang w:val="he-IL"/>
        </w:rPr>
        <w:t>ם מי ששונא לי היה זה, לא הייתי יכול להעמיד עצמי.</w:t>
      </w:r>
      <w:r w:rsidR="00E6152D">
        <w:rPr>
          <w:rStyle w:val="a5"/>
          <w:rtl/>
          <w:lang w:val="he-IL"/>
        </w:rPr>
        <w:footnoteReference w:id="17"/>
      </w:r>
      <w:r w:rsidRPr="00601338">
        <w:rPr>
          <w:rtl/>
          <w:lang w:val="he-IL"/>
        </w:rPr>
        <w:t xml:space="preserve"> </w:t>
      </w:r>
      <w:r w:rsidR="00E6152D">
        <w:rPr>
          <w:rFonts w:hint="cs"/>
          <w:rtl/>
          <w:lang w:val="he-IL"/>
        </w:rPr>
        <w:t>הלך ותלה עצמו על בריח הדלת וה</w:t>
      </w:r>
      <w:r w:rsidRPr="00601338">
        <w:rPr>
          <w:rtl/>
          <w:lang w:val="he-IL"/>
        </w:rPr>
        <w:t>צטער.</w:t>
      </w:r>
      <w:r w:rsidR="00F86E42">
        <w:rPr>
          <w:rStyle w:val="a5"/>
          <w:rtl/>
          <w:lang w:val="he-IL"/>
        </w:rPr>
        <w:footnoteReference w:id="18"/>
      </w:r>
    </w:p>
    <w:p w14:paraId="2463A66B" w14:textId="77777777" w:rsidR="00BD1CFC" w:rsidRDefault="00BD1CFC" w:rsidP="00F86E42">
      <w:pPr>
        <w:pStyle w:val="ab"/>
        <w:rPr>
          <w:rtl/>
        </w:rPr>
      </w:pPr>
      <w:r>
        <w:rPr>
          <w:rtl/>
        </w:rPr>
        <w:t>מסכת קידושין דף מ עמוד ב</w:t>
      </w:r>
      <w:r w:rsidR="00172C97">
        <w:rPr>
          <w:rFonts w:hint="cs"/>
          <w:rtl/>
        </w:rPr>
        <w:t xml:space="preserve"> </w:t>
      </w:r>
      <w:r w:rsidR="00172C97">
        <w:rPr>
          <w:rtl/>
        </w:rPr>
        <w:t>–</w:t>
      </w:r>
      <w:r w:rsidR="00172C97">
        <w:rPr>
          <w:rFonts w:hint="cs"/>
          <w:rtl/>
        </w:rPr>
        <w:t xml:space="preserve"> חובה להכריע לכף זכות</w:t>
      </w:r>
      <w:r>
        <w:rPr>
          <w:rtl/>
        </w:rPr>
        <w:t xml:space="preserve"> </w:t>
      </w:r>
    </w:p>
    <w:p w14:paraId="1DF429BF" w14:textId="77777777" w:rsidR="00BD1CFC" w:rsidRDefault="00BD1CFC" w:rsidP="00D258CA">
      <w:pPr>
        <w:pStyle w:val="ac"/>
        <w:rPr>
          <w:rFonts w:hint="cs"/>
          <w:rtl/>
        </w:rPr>
      </w:pPr>
      <w:r>
        <w:rPr>
          <w:rFonts w:hint="cs"/>
          <w:rtl/>
        </w:rPr>
        <w:t>תנו רבנן:</w:t>
      </w:r>
      <w:r>
        <w:rPr>
          <w:rStyle w:val="a5"/>
          <w:rtl/>
        </w:rPr>
        <w:footnoteReference w:id="19"/>
      </w:r>
      <w:r>
        <w:rPr>
          <w:rFonts w:hint="cs"/>
          <w:rtl/>
        </w:rPr>
        <w:t xml:space="preserve"> לעולם </w:t>
      </w:r>
      <w:r>
        <w:rPr>
          <w:rtl/>
        </w:rPr>
        <w:t>יראה אדם עצמו כאילו חציו חייב וחציו זכאי</w:t>
      </w:r>
      <w:r w:rsidR="00D258CA">
        <w:rPr>
          <w:rFonts w:hint="cs"/>
          <w:rtl/>
        </w:rPr>
        <w:t>;</w:t>
      </w:r>
      <w:r>
        <w:rPr>
          <w:rtl/>
        </w:rPr>
        <w:t xml:space="preserve"> עשה מצוה אחת - אשריו שהכריע עצמו לכף זכות</w:t>
      </w:r>
      <w:r w:rsidR="00D258CA">
        <w:rPr>
          <w:rFonts w:hint="cs"/>
          <w:rtl/>
        </w:rPr>
        <w:t>;</w:t>
      </w:r>
      <w:r>
        <w:rPr>
          <w:rtl/>
        </w:rPr>
        <w:t xml:space="preserve"> עבר עבירה אחת - אוי לו שהכריע את עצמו לכף חובה, שנאמר: </w:t>
      </w:r>
      <w:r w:rsidR="00D258CA">
        <w:rPr>
          <w:rFonts w:hint="cs"/>
          <w:rtl/>
        </w:rPr>
        <w:t>"</w:t>
      </w:r>
      <w:r w:rsidR="00D258CA">
        <w:rPr>
          <w:rtl/>
        </w:rPr>
        <w:t>וחוטא אחד יאבד טובה הרבה</w:t>
      </w:r>
      <w:r w:rsidR="00D258CA">
        <w:rPr>
          <w:rFonts w:hint="cs"/>
          <w:rtl/>
        </w:rPr>
        <w:t>" (קהלת ט יח)</w:t>
      </w:r>
      <w:r>
        <w:rPr>
          <w:rtl/>
        </w:rPr>
        <w:t>, בשביל חטא יחידי שחטא - אובד ממנו טובות הרבה. ר' אלעזר בר' שמעון אומר: לפי שהעולם נידון אחר רובו והיחיד נידון אחר רובו</w:t>
      </w:r>
      <w:r w:rsidR="00D258CA">
        <w:rPr>
          <w:rFonts w:hint="cs"/>
          <w:rtl/>
        </w:rPr>
        <w:t>;</w:t>
      </w:r>
      <w:r>
        <w:rPr>
          <w:rtl/>
        </w:rPr>
        <w:t xml:space="preserve"> עשה מצוה אחת - אשריו שהכריע את עצמו ואת כל העולם לכף זכות, עבר עבירה אחת - אוי לו שהכריע את עצמו ואת כל העולם לכף חובה, שנאמר: וחוטא אחד כו', בשביל חטא יחידי שעשה זה - אבד ממנו ומכל העולם טובה הרבה.</w:t>
      </w:r>
      <w:r w:rsidR="002C0EC5">
        <w:rPr>
          <w:rStyle w:val="a5"/>
          <w:rtl/>
        </w:rPr>
        <w:footnoteReference w:id="20"/>
      </w:r>
    </w:p>
    <w:p w14:paraId="3AF233D1" w14:textId="77777777" w:rsidR="006F4666" w:rsidRDefault="006F4666" w:rsidP="00C84B01">
      <w:pPr>
        <w:pStyle w:val="ad"/>
        <w:spacing w:before="240" w:line="300" w:lineRule="atLeast"/>
        <w:rPr>
          <w:rFonts w:hint="cs"/>
          <w:rtl/>
        </w:rPr>
      </w:pPr>
      <w:r>
        <w:rPr>
          <w:rFonts w:hint="cs"/>
          <w:rtl/>
        </w:rPr>
        <w:t>ותטיב לנו ה</w:t>
      </w:r>
      <w:r>
        <w:rPr>
          <w:rtl/>
        </w:rPr>
        <w:t xml:space="preserve">חתימה </w:t>
      </w:r>
    </w:p>
    <w:p w14:paraId="78BAB1F0" w14:textId="77777777" w:rsidR="006F4666" w:rsidRDefault="006F4666">
      <w:pPr>
        <w:pStyle w:val="ad"/>
        <w:spacing w:line="300" w:lineRule="atLeast"/>
        <w:rPr>
          <w:rFonts w:hint="cs"/>
          <w:rtl/>
        </w:rPr>
      </w:pPr>
      <w:r>
        <w:rPr>
          <w:rtl/>
        </w:rPr>
        <w:t>מחלקי המים</w:t>
      </w:r>
      <w:r w:rsidR="003902D8">
        <w:rPr>
          <w:rStyle w:val="a5"/>
          <w:rtl/>
        </w:rPr>
        <w:footnoteReference w:id="21"/>
      </w:r>
    </w:p>
    <w:sectPr w:rsidR="006F4666" w:rsidSect="00A25851">
      <w:headerReference w:type="default" r:id="rId6"/>
      <w:footerReference w:type="default" r:id="rId7"/>
      <w:headerReference w:type="first" r:id="rId8"/>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B9037" w14:textId="77777777" w:rsidR="000B3B81" w:rsidRDefault="000B3B81">
      <w:r>
        <w:separator/>
      </w:r>
    </w:p>
  </w:endnote>
  <w:endnote w:type="continuationSeparator" w:id="0">
    <w:p w14:paraId="249601D3" w14:textId="77777777" w:rsidR="000B3B81" w:rsidRDefault="000B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19DAA" w14:textId="77777777" w:rsidR="00D258CA" w:rsidRPr="00F8747C" w:rsidRDefault="00D258C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C5B02">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C5B02">
      <w:rPr>
        <w:rStyle w:val="af1"/>
        <w:noProof/>
        <w:rtl/>
      </w:rPr>
      <w:t>3</w:t>
    </w:r>
    <w:r w:rsidRPr="00F8747C">
      <w:rPr>
        <w:rStyle w:val="af1"/>
      </w:rPr>
      <w:fldChar w:fldCharType="end"/>
    </w:r>
  </w:p>
  <w:p w14:paraId="41EA6511" w14:textId="77777777" w:rsidR="00D258CA" w:rsidRDefault="00D25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91E7" w14:textId="77777777" w:rsidR="000B3B81" w:rsidRDefault="000B3B81">
      <w:pPr>
        <w:rPr>
          <w:lang w:eastAsia="en-US"/>
        </w:rPr>
      </w:pPr>
      <w:r>
        <w:rPr>
          <w:rFonts w:cs="Miriam"/>
        </w:rPr>
        <w:separator/>
      </w:r>
    </w:p>
  </w:footnote>
  <w:footnote w:type="continuationSeparator" w:id="0">
    <w:p w14:paraId="23B0419C" w14:textId="77777777" w:rsidR="000B3B81" w:rsidRDefault="000B3B81">
      <w:r>
        <w:continuationSeparator/>
      </w:r>
    </w:p>
  </w:footnote>
  <w:footnote w:id="1">
    <w:p w14:paraId="33964A89" w14:textId="77777777" w:rsidR="00035746" w:rsidRDefault="00035746" w:rsidP="00172C97">
      <w:pPr>
        <w:pStyle w:val="a3"/>
        <w:rPr>
          <w:rFonts w:hint="cs"/>
          <w:rtl/>
        </w:rPr>
      </w:pPr>
      <w:r>
        <w:rPr>
          <w:rStyle w:val="a5"/>
        </w:rPr>
        <w:footnoteRef/>
      </w:r>
      <w:r>
        <w:rPr>
          <w:rtl/>
        </w:rPr>
        <w:t xml:space="preserve"> </w:t>
      </w:r>
      <w:r>
        <w:rPr>
          <w:rFonts w:hint="cs"/>
          <w:rtl/>
        </w:rPr>
        <w:t>ראה הנוסח ב</w:t>
      </w:r>
      <w:r>
        <w:rPr>
          <w:rtl/>
        </w:rPr>
        <w:t>אבות דרבי נתן נוסח ב פרק יח</w:t>
      </w:r>
      <w:r>
        <w:rPr>
          <w:rFonts w:hint="cs"/>
          <w:rtl/>
        </w:rPr>
        <w:t>, בשם נתאי הארבלי בן זוגו של יהושע בן פרחיה: "</w:t>
      </w:r>
      <w:r>
        <w:rPr>
          <w:rtl/>
        </w:rPr>
        <w:t>נתאי הארבלי אומר</w:t>
      </w:r>
      <w:r>
        <w:rPr>
          <w:rFonts w:hint="cs"/>
          <w:rtl/>
        </w:rPr>
        <w:t>:</w:t>
      </w:r>
      <w:r>
        <w:rPr>
          <w:rtl/>
        </w:rPr>
        <w:t xml:space="preserve"> עשה לך רב לחכמה וקנה לך חבר למשנה והוי דן את כל האדם לכף זכות</w:t>
      </w:r>
      <w:r>
        <w:rPr>
          <w:rFonts w:hint="cs"/>
          <w:rtl/>
        </w:rPr>
        <w:t>".</w:t>
      </w:r>
      <w:r w:rsidR="00AD4944">
        <w:rPr>
          <w:rFonts w:hint="cs"/>
          <w:rtl/>
        </w:rPr>
        <w:t xml:space="preserve"> האם ידע בחכמה ותורה מסייע לדון לכף זכות? </w:t>
      </w:r>
      <w:r w:rsidR="00172C97">
        <w:rPr>
          <w:rFonts w:hint="cs"/>
          <w:rtl/>
        </w:rPr>
        <w:t>וב</w:t>
      </w:r>
      <w:r w:rsidR="00172C97">
        <w:rPr>
          <w:rtl/>
        </w:rPr>
        <w:t>מסכת דרך ארץ פרק א הלכה לא</w:t>
      </w:r>
      <w:r w:rsidR="00172C97">
        <w:rPr>
          <w:rFonts w:hint="cs"/>
          <w:rtl/>
        </w:rPr>
        <w:t xml:space="preserve"> הנוסח הוא: "</w:t>
      </w:r>
      <w:r w:rsidR="00172C97">
        <w:rPr>
          <w:rtl/>
        </w:rPr>
        <w:t>הוי דן את חבירך לכף זכות, ואל תכריעהו לכף חובה</w:t>
      </w:r>
      <w:r w:rsidR="00172C97">
        <w:rPr>
          <w:rFonts w:hint="cs"/>
          <w:rtl/>
        </w:rPr>
        <w:t>"</w:t>
      </w:r>
      <w:r w:rsidR="00172C97">
        <w:rPr>
          <w:rtl/>
        </w:rPr>
        <w:t>.</w:t>
      </w:r>
    </w:p>
  </w:footnote>
  <w:footnote w:id="2">
    <w:p w14:paraId="27B63154" w14:textId="77777777" w:rsidR="00F27D73" w:rsidRDefault="00F27D73" w:rsidP="00DB360B">
      <w:pPr>
        <w:pStyle w:val="a3"/>
        <w:rPr>
          <w:rFonts w:hint="cs"/>
          <w:rtl/>
        </w:rPr>
      </w:pPr>
      <w:r>
        <w:rPr>
          <w:rStyle w:val="a5"/>
        </w:rPr>
        <w:footnoteRef/>
      </w:r>
      <w:r>
        <w:rPr>
          <w:rtl/>
        </w:rPr>
        <w:t xml:space="preserve"> </w:t>
      </w:r>
      <w:r>
        <w:rPr>
          <w:rFonts w:hint="cs"/>
          <w:rtl/>
        </w:rPr>
        <w:t xml:space="preserve">קטע זה לקוח מארבעים ושמונה הדברים בהם נקנית התורה (יתר על </w:t>
      </w:r>
      <w:r>
        <w:rPr>
          <w:rtl/>
        </w:rPr>
        <w:t>המלכות ש</w:t>
      </w:r>
      <w:r>
        <w:rPr>
          <w:rFonts w:hint="cs"/>
          <w:rtl/>
        </w:rPr>
        <w:t>נ</w:t>
      </w:r>
      <w:r>
        <w:rPr>
          <w:rtl/>
        </w:rPr>
        <w:t>קנית בשל</w:t>
      </w:r>
      <w:r>
        <w:rPr>
          <w:rFonts w:hint="cs"/>
          <w:rtl/>
        </w:rPr>
        <w:t>ו</w:t>
      </w:r>
      <w:r>
        <w:rPr>
          <w:rtl/>
        </w:rPr>
        <w:t>שים מעלות והכהונה בעשרים וארבע</w:t>
      </w:r>
      <w:r>
        <w:rPr>
          <w:rFonts w:hint="cs"/>
          <w:rtl/>
        </w:rPr>
        <w:t xml:space="preserve">, ראה שם). נראה שארבע תכונות (מעלות, דברים) שבהם התורה נקנית, שהוצאנו מתוך הרשימה הארוכה שם, מכילים איזון פנימי ביניהם. צריך להעמיד את חברך ללימוד התורה על האמת, אבל גם לדונו לכף זכות. שילוב זה מתאפשר אם מחד גיסא </w:t>
      </w:r>
      <w:r w:rsidR="00DB360B">
        <w:rPr>
          <w:rFonts w:hint="cs"/>
          <w:rtl/>
        </w:rPr>
        <w:t xml:space="preserve">אדם </w:t>
      </w:r>
      <w:r>
        <w:rPr>
          <w:rFonts w:hint="cs"/>
          <w:rtl/>
        </w:rPr>
        <w:t>נושא בעול עם חבר</w:t>
      </w:r>
      <w:r w:rsidR="00DB360B">
        <w:rPr>
          <w:rFonts w:hint="cs"/>
          <w:rtl/>
        </w:rPr>
        <w:t>ו</w:t>
      </w:r>
      <w:r>
        <w:rPr>
          <w:rFonts w:hint="cs"/>
          <w:rtl/>
        </w:rPr>
        <w:t xml:space="preserve"> ואם המטרה היא השלום.</w:t>
      </w:r>
      <w:r w:rsidR="00DB360B">
        <w:rPr>
          <w:rFonts w:hint="cs"/>
          <w:rtl/>
        </w:rPr>
        <w:t xml:space="preserve"> שילוב האמת והשלום הוא עניין אחר, ראה דברינו </w:t>
      </w:r>
      <w:hyperlink r:id="rId1" w:history="1">
        <w:r w:rsidR="00DB360B" w:rsidRPr="00196C5B">
          <w:rPr>
            <w:rStyle w:val="Hyperlink"/>
            <w:rFonts w:hint="cs"/>
            <w:rtl/>
          </w:rPr>
          <w:t>מפני דרכי שלום</w:t>
        </w:r>
      </w:hyperlink>
      <w:r w:rsidR="00196C5B">
        <w:rPr>
          <w:rFonts w:hint="cs"/>
          <w:rtl/>
        </w:rPr>
        <w:t xml:space="preserve"> בפרשת פנחס.</w:t>
      </w:r>
    </w:p>
  </w:footnote>
  <w:footnote w:id="3">
    <w:p w14:paraId="138F28E7" w14:textId="77777777" w:rsidR="002C0EC5" w:rsidRDefault="002C0EC5" w:rsidP="00196C5B">
      <w:pPr>
        <w:pStyle w:val="a3"/>
        <w:rPr>
          <w:rFonts w:hint="cs"/>
        </w:rPr>
      </w:pPr>
      <w:r>
        <w:rPr>
          <w:rStyle w:val="a5"/>
        </w:rPr>
        <w:footnoteRef/>
      </w:r>
      <w:r>
        <w:rPr>
          <w:rtl/>
        </w:rPr>
        <w:t xml:space="preserve"> </w:t>
      </w:r>
      <w:r w:rsidR="00196C5B">
        <w:rPr>
          <w:rFonts w:hint="cs"/>
          <w:rtl/>
        </w:rPr>
        <w:t>נראה ש</w:t>
      </w:r>
      <w:r>
        <w:rPr>
          <w:rFonts w:hint="cs"/>
          <w:rtl/>
        </w:rPr>
        <w:t>משפט קטן זה מ</w:t>
      </w:r>
      <w:r w:rsidR="00196C5B">
        <w:rPr>
          <w:rFonts w:hint="cs"/>
          <w:rtl/>
        </w:rPr>
        <w:t>סכם את כל הנושא</w:t>
      </w:r>
      <w:r>
        <w:rPr>
          <w:rFonts w:hint="cs"/>
          <w:rtl/>
        </w:rPr>
        <w:t xml:space="preserve">, אך נקווה שהקוראים יהיו סבלנים ויקראו </w:t>
      </w:r>
      <w:r w:rsidR="00196C5B">
        <w:rPr>
          <w:rFonts w:hint="cs"/>
          <w:rtl/>
        </w:rPr>
        <w:t>את המעשה שלהלן ואת ה</w:t>
      </w:r>
      <w:r>
        <w:rPr>
          <w:rFonts w:hint="cs"/>
          <w:rtl/>
        </w:rPr>
        <w:t xml:space="preserve">דף </w:t>
      </w:r>
      <w:r w:rsidR="00196C5B">
        <w:rPr>
          <w:rFonts w:hint="cs"/>
          <w:rtl/>
        </w:rPr>
        <w:t xml:space="preserve">כולו </w:t>
      </w:r>
      <w:r>
        <w:rPr>
          <w:rFonts w:hint="cs"/>
          <w:rtl/>
        </w:rPr>
        <w:t>עד סופו.</w:t>
      </w:r>
    </w:p>
  </w:footnote>
  <w:footnote w:id="4">
    <w:p w14:paraId="7620E109" w14:textId="77777777" w:rsidR="00D258CA" w:rsidRDefault="00D258CA" w:rsidP="00196C5B">
      <w:pPr>
        <w:pStyle w:val="a3"/>
        <w:rPr>
          <w:rFonts w:hint="cs"/>
        </w:rPr>
      </w:pPr>
      <w:r>
        <w:rPr>
          <w:rStyle w:val="a5"/>
        </w:rPr>
        <w:footnoteRef/>
      </w:r>
      <w:r>
        <w:rPr>
          <w:rtl/>
        </w:rPr>
        <w:t xml:space="preserve"> </w:t>
      </w:r>
      <w:r>
        <w:rPr>
          <w:rFonts w:hint="cs"/>
          <w:rtl/>
        </w:rPr>
        <w:t>במקבילה לסיפור זה ב</w:t>
      </w:r>
      <w:r>
        <w:rPr>
          <w:rtl/>
        </w:rPr>
        <w:t>אליהו זוטא (איש שלום) פרשה טז</w:t>
      </w:r>
      <w:r>
        <w:rPr>
          <w:rFonts w:hint="cs"/>
          <w:rtl/>
        </w:rPr>
        <w:t xml:space="preserve">, </w:t>
      </w:r>
      <w:r w:rsidR="00196C5B">
        <w:rPr>
          <w:rFonts w:hint="cs"/>
          <w:rtl/>
        </w:rPr>
        <w:t xml:space="preserve">יש תיאור של </w:t>
      </w:r>
      <w:r>
        <w:rPr>
          <w:rFonts w:hint="cs"/>
          <w:rtl/>
        </w:rPr>
        <w:t>טיבו של אותו גלילי שירד למצוא פרנסה בדרום: "</w:t>
      </w:r>
      <w:r>
        <w:rPr>
          <w:rtl/>
        </w:rPr>
        <w:t>אמרו עליו [על] אותו [האדם] אעפ"י שלא קרא ולא שנה</w:t>
      </w:r>
      <w:r w:rsidR="00A41F1F">
        <w:rPr>
          <w:rFonts w:hint="cs"/>
          <w:rtl/>
        </w:rPr>
        <w:t>,</w:t>
      </w:r>
      <w:r>
        <w:rPr>
          <w:rtl/>
        </w:rPr>
        <w:t xml:space="preserve"> מאנשי מעשה היה</w:t>
      </w:r>
      <w:r>
        <w:rPr>
          <w:rFonts w:hint="cs"/>
          <w:rtl/>
        </w:rPr>
        <w:t>". נראה שפרט זה חשוב ומתאר מהם "אנשי מעשה".</w:t>
      </w:r>
      <w:r w:rsidR="00A41F1F">
        <w:rPr>
          <w:rFonts w:hint="cs"/>
          <w:rtl/>
        </w:rPr>
        <w:t xml:space="preserve"> ראה גם </w:t>
      </w:r>
      <w:r w:rsidR="00A41F1F">
        <w:rPr>
          <w:rtl/>
        </w:rPr>
        <w:t>מסכת סוכה פרק ה</w:t>
      </w:r>
      <w:r w:rsidR="00A41F1F">
        <w:rPr>
          <w:rFonts w:hint="cs"/>
          <w:rtl/>
        </w:rPr>
        <w:t xml:space="preserve"> </w:t>
      </w:r>
      <w:r w:rsidR="00A41F1F">
        <w:rPr>
          <w:rtl/>
        </w:rPr>
        <w:t>משנה ד</w:t>
      </w:r>
      <w:r w:rsidR="00A41F1F">
        <w:rPr>
          <w:rFonts w:hint="cs"/>
          <w:rtl/>
        </w:rPr>
        <w:t>, בשמחת בית השואבה: "</w:t>
      </w:r>
      <w:r w:rsidR="00A41F1F">
        <w:rPr>
          <w:rtl/>
        </w:rPr>
        <w:t>חסידים ואנשי מעשה היו מרקדים לפניהם באבוקות של אור שבידיהן</w:t>
      </w:r>
      <w:r w:rsidR="00A41F1F">
        <w:rPr>
          <w:rFonts w:hint="cs"/>
          <w:rtl/>
        </w:rPr>
        <w:t xml:space="preserve"> וכו' . עוד ב</w:t>
      </w:r>
      <w:r w:rsidR="00A41F1F">
        <w:rPr>
          <w:rtl/>
        </w:rPr>
        <w:t>מסכת סוטה פרק ט</w:t>
      </w:r>
      <w:r w:rsidR="00A41F1F">
        <w:rPr>
          <w:rFonts w:hint="cs"/>
          <w:rtl/>
        </w:rPr>
        <w:t xml:space="preserve"> משנה טו: "</w:t>
      </w:r>
      <w:r w:rsidR="00A41F1F">
        <w:rPr>
          <w:rtl/>
        </w:rPr>
        <w:t>משמת רבי חנינא בן דוסא בטלו אנשי מעשה</w:t>
      </w:r>
      <w:r w:rsidR="00A41F1F">
        <w:rPr>
          <w:rFonts w:hint="cs"/>
          <w:rtl/>
        </w:rPr>
        <w:t>".</w:t>
      </w:r>
    </w:p>
  </w:footnote>
  <w:footnote w:id="5">
    <w:p w14:paraId="6665FC2C" w14:textId="77777777" w:rsidR="00D258CA" w:rsidRDefault="00D258CA" w:rsidP="00291291">
      <w:pPr>
        <w:pStyle w:val="a3"/>
        <w:rPr>
          <w:rFonts w:hint="cs"/>
        </w:rPr>
      </w:pPr>
      <w:r>
        <w:rPr>
          <w:rStyle w:val="a5"/>
        </w:rPr>
        <w:footnoteRef/>
      </w:r>
      <w:r>
        <w:rPr>
          <w:rtl/>
        </w:rPr>
        <w:t xml:space="preserve"> </w:t>
      </w:r>
      <w:r>
        <w:rPr>
          <w:rFonts w:hint="cs"/>
          <w:rtl/>
        </w:rPr>
        <w:t xml:space="preserve">אחרי שלוש שנים של עבודה, חוזר אותו גלילי לביתו, בערב יום הכיפורים, בידיים ריקות ובפחי נפש, לאחר שבעל הבית מהדרום לא מוצא שום דרך לתת לו שכרו. ועל הביטוי "הפשיל כליו", שפירושו העמיס את שק חפציו על כתפו, ראה מנחות פה ע"ב בסיפור על עושר שמנו של שבט אשר וכן </w:t>
      </w:r>
      <w:r w:rsidR="00D47327">
        <w:rPr>
          <w:rFonts w:hint="cs"/>
          <w:rtl/>
        </w:rPr>
        <w:t xml:space="preserve">במסכת </w:t>
      </w:r>
      <w:r>
        <w:rPr>
          <w:rFonts w:hint="cs"/>
          <w:rtl/>
        </w:rPr>
        <w:t>ערכין טז ע"ב לגבי הדין שלא ישנה אדם אכסניא שלו.</w:t>
      </w:r>
    </w:p>
  </w:footnote>
  <w:footnote w:id="6">
    <w:p w14:paraId="7187FF05" w14:textId="77777777" w:rsidR="00D258CA" w:rsidRDefault="00D258CA">
      <w:pPr>
        <w:pStyle w:val="a3"/>
        <w:rPr>
          <w:rFonts w:hint="cs"/>
          <w:rtl/>
        </w:rPr>
      </w:pPr>
      <w:r>
        <w:rPr>
          <w:rStyle w:val="a5"/>
        </w:rPr>
        <w:footnoteRef/>
      </w:r>
      <w:r>
        <w:rPr>
          <w:rtl/>
        </w:rPr>
        <w:t xml:space="preserve"> </w:t>
      </w:r>
      <w:r>
        <w:rPr>
          <w:rFonts w:hint="cs"/>
          <w:rtl/>
        </w:rPr>
        <w:t xml:space="preserve">יום הכיפורים </w:t>
      </w:r>
      <w:r w:rsidR="00F700CA">
        <w:rPr>
          <w:rFonts w:hint="cs"/>
          <w:rtl/>
        </w:rPr>
        <w:t>ו</w:t>
      </w:r>
      <w:r>
        <w:rPr>
          <w:rFonts w:hint="cs"/>
          <w:rtl/>
        </w:rPr>
        <w:t>שמונת ימי חג הסוכות, כפי שמודגש במקבילה באליהו זוטא הנ"ל.</w:t>
      </w:r>
    </w:p>
  </w:footnote>
  <w:footnote w:id="7">
    <w:p w14:paraId="094F5742" w14:textId="77777777" w:rsidR="00D258CA" w:rsidRDefault="00D258CA" w:rsidP="00AC6D2C">
      <w:pPr>
        <w:pStyle w:val="a3"/>
        <w:rPr>
          <w:rFonts w:hint="cs"/>
        </w:rPr>
      </w:pPr>
      <w:r>
        <w:rPr>
          <w:rStyle w:val="a5"/>
        </w:rPr>
        <w:footnoteRef/>
      </w:r>
      <w:r>
        <w:rPr>
          <w:rtl/>
        </w:rPr>
        <w:t xml:space="preserve"> </w:t>
      </w:r>
      <w:r>
        <w:rPr>
          <w:rFonts w:hint="cs"/>
          <w:rtl/>
        </w:rPr>
        <w:t>"</w:t>
      </w:r>
      <w:r>
        <w:rPr>
          <w:rtl/>
        </w:rPr>
        <w:t>הולך וסובב עד שהגיע אל ביתו</w:t>
      </w:r>
      <w:r>
        <w:rPr>
          <w:rFonts w:hint="cs"/>
          <w:rtl/>
        </w:rPr>
        <w:t xml:space="preserve">" מדגיש נוסח </w:t>
      </w:r>
      <w:r>
        <w:rPr>
          <w:rtl/>
        </w:rPr>
        <w:t>אליהו זוטא</w:t>
      </w:r>
      <w:r>
        <w:rPr>
          <w:rFonts w:hint="cs"/>
          <w:rtl/>
        </w:rPr>
        <w:t>, ללמדך שלא ידע היכן בדיוק גר הפועל שלו וטרח למצוא ולא ויתר.</w:t>
      </w:r>
    </w:p>
  </w:footnote>
  <w:footnote w:id="8">
    <w:p w14:paraId="43D33CF1" w14:textId="77777777" w:rsidR="00794849" w:rsidRDefault="00794849" w:rsidP="00642FC9">
      <w:pPr>
        <w:pStyle w:val="a3"/>
        <w:rPr>
          <w:rFonts w:hint="cs"/>
          <w:rtl/>
        </w:rPr>
      </w:pPr>
      <w:r>
        <w:rPr>
          <w:rStyle w:val="a5"/>
        </w:rPr>
        <w:footnoteRef/>
      </w:r>
      <w:r>
        <w:rPr>
          <w:rtl/>
        </w:rPr>
        <w:t xml:space="preserve"> </w:t>
      </w:r>
      <w:r>
        <w:rPr>
          <w:rFonts w:hint="cs"/>
          <w:rtl/>
        </w:rPr>
        <w:t>מדובר בהורקנוס בנו של ר' אליעזר בן הורקנו שקרוי על שם הסבא כפי שנראה להלן. אך מי הוא הפועל שר' אליעזר בן הורקנוס מעכב את שכרו?</w:t>
      </w:r>
    </w:p>
  </w:footnote>
  <w:footnote w:id="9">
    <w:p w14:paraId="19D5CBB6" w14:textId="77777777" w:rsidR="00D258CA" w:rsidRDefault="00D258CA" w:rsidP="00172C97">
      <w:pPr>
        <w:pStyle w:val="a3"/>
        <w:rPr>
          <w:rFonts w:hint="cs"/>
          <w:rtl/>
        </w:rPr>
      </w:pPr>
      <w:r>
        <w:rPr>
          <w:rStyle w:val="a5"/>
        </w:rPr>
        <w:footnoteRef/>
      </w:r>
      <w:r>
        <w:rPr>
          <w:rtl/>
        </w:rPr>
        <w:t xml:space="preserve"> </w:t>
      </w:r>
      <w:r>
        <w:rPr>
          <w:rFonts w:hint="cs"/>
          <w:rtl/>
        </w:rPr>
        <w:t xml:space="preserve">סיפור זה התגלגל כאמור למדרש אליהו זוטא וכן </w:t>
      </w:r>
      <w:r w:rsidR="00D47327">
        <w:rPr>
          <w:rFonts w:hint="cs"/>
          <w:rtl/>
        </w:rPr>
        <w:t xml:space="preserve">הוא </w:t>
      </w:r>
      <w:r>
        <w:rPr>
          <w:rFonts w:hint="cs"/>
          <w:rtl/>
        </w:rPr>
        <w:t>ב</w:t>
      </w:r>
      <w:r>
        <w:rPr>
          <w:rtl/>
        </w:rPr>
        <w:t>ילקוט שמעוני תורה פרשת קדושים רמז תריא</w:t>
      </w:r>
      <w:r w:rsidR="003C4F5A">
        <w:rPr>
          <w:rFonts w:hint="cs"/>
          <w:rtl/>
        </w:rPr>
        <w:t xml:space="preserve"> וב</w:t>
      </w:r>
      <w:r>
        <w:rPr>
          <w:rtl/>
        </w:rPr>
        <w:t>אוצר המדרשים (אייזנשטיין) חופת אליהו עמוד 174</w:t>
      </w:r>
      <w:r w:rsidR="00196C5B">
        <w:rPr>
          <w:rFonts w:hint="cs"/>
          <w:rtl/>
        </w:rPr>
        <w:t xml:space="preserve">. </w:t>
      </w:r>
      <w:r>
        <w:rPr>
          <w:rFonts w:hint="cs"/>
          <w:rtl/>
        </w:rPr>
        <w:t xml:space="preserve">שם מדובר על מי שבא לעבוד רק בקיץ ("כל ימות החמה") ובערב החג (המועד) ביקש לחזור ליתו וליטול שכרו. שם גם בעל הבית מחזר אחריו עד לגליל, כבר בחול המועד ולא ממתין עד תום החג. אבל הנוסח המעניין ביותר </w:t>
      </w:r>
      <w:r w:rsidR="003C4F5A">
        <w:rPr>
          <w:rFonts w:hint="cs"/>
          <w:rtl/>
        </w:rPr>
        <w:t xml:space="preserve">של הסיפור </w:t>
      </w:r>
      <w:r w:rsidR="00D47327">
        <w:rPr>
          <w:rFonts w:hint="cs"/>
          <w:rtl/>
        </w:rPr>
        <w:t>הזה</w:t>
      </w:r>
      <w:r w:rsidR="003C4F5A">
        <w:rPr>
          <w:rFonts w:hint="cs"/>
          <w:rtl/>
        </w:rPr>
        <w:t xml:space="preserve">, </w:t>
      </w:r>
      <w:r>
        <w:rPr>
          <w:rFonts w:hint="cs"/>
          <w:rtl/>
        </w:rPr>
        <w:t>נמצא ב</w:t>
      </w:r>
      <w:r>
        <w:rPr>
          <w:rtl/>
        </w:rPr>
        <w:t>שאילתות דרב אחאי פרשת שמות שאילתא מ</w:t>
      </w:r>
      <w:r w:rsidR="00D47327">
        <w:rPr>
          <w:rFonts w:hint="cs"/>
          <w:rtl/>
        </w:rPr>
        <w:t>,</w:t>
      </w:r>
      <w:r>
        <w:rPr>
          <w:rFonts w:hint="cs"/>
          <w:rtl/>
        </w:rPr>
        <w:t xml:space="preserve"> ובו הוא </w:t>
      </w:r>
      <w:r w:rsidR="00035746">
        <w:rPr>
          <w:rFonts w:hint="cs"/>
          <w:rtl/>
        </w:rPr>
        <w:t xml:space="preserve">לא רק מרחיב בסיפור עצמו, אלא גם </w:t>
      </w:r>
      <w:r>
        <w:rPr>
          <w:rFonts w:hint="cs"/>
          <w:rtl/>
        </w:rPr>
        <w:t>מגלה לנו מי הם הדמויות המרכזיות בסיפור: "</w:t>
      </w:r>
      <w:r>
        <w:rPr>
          <w:rtl/>
        </w:rPr>
        <w:t xml:space="preserve">מעשה </w:t>
      </w:r>
      <w:smartTag w:uri="urn:schemas-microsoft-com:office:smarttags" w:element="PersonName">
        <w:smartTagPr>
          <w:attr w:name="ProductID" w:val="ברבי עקיבא בן"/>
        </w:smartTagPr>
        <w:r>
          <w:rPr>
            <w:rtl/>
          </w:rPr>
          <w:t>ברבי עקיבא בן</w:t>
        </w:r>
      </w:smartTag>
      <w:r>
        <w:rPr>
          <w:rtl/>
        </w:rPr>
        <w:t xml:space="preserve"> יוסף שהיה מושכר אצל רבי אליעזר בן הורקנוס ועשה עמו של</w:t>
      </w:r>
      <w:r w:rsidR="00794849">
        <w:rPr>
          <w:rFonts w:hint="cs"/>
          <w:rtl/>
        </w:rPr>
        <w:t>ו</w:t>
      </w:r>
      <w:r>
        <w:rPr>
          <w:rtl/>
        </w:rPr>
        <w:t>ש שנים</w:t>
      </w:r>
      <w:r>
        <w:rPr>
          <w:rFonts w:hint="cs"/>
          <w:rtl/>
        </w:rPr>
        <w:t>.</w:t>
      </w:r>
      <w:r>
        <w:rPr>
          <w:rtl/>
        </w:rPr>
        <w:t xml:space="preserve"> כשבא ליפטר ממנו בערב יום הכפורים אמר לו</w:t>
      </w:r>
      <w:r w:rsidR="00035746">
        <w:rPr>
          <w:rFonts w:hint="cs"/>
          <w:rtl/>
        </w:rPr>
        <w:t>:</w:t>
      </w:r>
      <w:r>
        <w:rPr>
          <w:rtl/>
        </w:rPr>
        <w:t xml:space="preserve"> תן לי מעותיי ואלך ואפרנס את אשתי ואת בניי</w:t>
      </w:r>
      <w:r w:rsidR="00035746">
        <w:rPr>
          <w:rFonts w:hint="cs"/>
          <w:rtl/>
        </w:rPr>
        <w:t>.</w:t>
      </w:r>
      <w:r>
        <w:rPr>
          <w:rtl/>
        </w:rPr>
        <w:t xml:space="preserve"> אמר לו</w:t>
      </w:r>
      <w:r w:rsidR="00035746">
        <w:rPr>
          <w:rFonts w:hint="cs"/>
          <w:rtl/>
        </w:rPr>
        <w:t>:</w:t>
      </w:r>
      <w:r>
        <w:rPr>
          <w:rtl/>
        </w:rPr>
        <w:t xml:space="preserve"> אין לי מעות שאתן לך</w:t>
      </w:r>
      <w:r w:rsidR="00035746">
        <w:rPr>
          <w:rFonts w:hint="cs"/>
          <w:rtl/>
        </w:rPr>
        <w:t>,</w:t>
      </w:r>
      <w:r>
        <w:rPr>
          <w:rtl/>
        </w:rPr>
        <w:t xml:space="preserve"> והיה רואה מעות בידו</w:t>
      </w:r>
      <w:r w:rsidR="00035746">
        <w:rPr>
          <w:rFonts w:hint="cs"/>
          <w:rtl/>
        </w:rPr>
        <w:t>. -</w:t>
      </w:r>
      <w:r>
        <w:rPr>
          <w:rtl/>
        </w:rPr>
        <w:t xml:space="preserve"> תן לי בהמה</w:t>
      </w:r>
      <w:r w:rsidR="00035746">
        <w:rPr>
          <w:rFonts w:hint="cs"/>
          <w:rtl/>
        </w:rPr>
        <w:t>,</w:t>
      </w:r>
      <w:r>
        <w:rPr>
          <w:rtl/>
        </w:rPr>
        <w:t xml:space="preserve"> אמר לו</w:t>
      </w:r>
      <w:r w:rsidR="00035746">
        <w:rPr>
          <w:rFonts w:hint="cs"/>
          <w:rtl/>
        </w:rPr>
        <w:t>:</w:t>
      </w:r>
      <w:r>
        <w:rPr>
          <w:rtl/>
        </w:rPr>
        <w:t xml:space="preserve"> אין לי בהמה שאתן לך</w:t>
      </w:r>
      <w:r w:rsidR="00035746">
        <w:rPr>
          <w:rFonts w:hint="cs"/>
          <w:rtl/>
        </w:rPr>
        <w:t>,</w:t>
      </w:r>
      <w:r>
        <w:rPr>
          <w:rtl/>
        </w:rPr>
        <w:t xml:space="preserve"> והיה רואה בהמה בתוך ביתו</w:t>
      </w:r>
      <w:r w:rsidR="00035746">
        <w:rPr>
          <w:rFonts w:hint="cs"/>
          <w:rtl/>
        </w:rPr>
        <w:t>. -</w:t>
      </w:r>
      <w:r>
        <w:rPr>
          <w:rtl/>
        </w:rPr>
        <w:t xml:space="preserve"> תן לי תבואה בשכרי</w:t>
      </w:r>
      <w:r w:rsidR="00035746">
        <w:rPr>
          <w:rFonts w:hint="cs"/>
          <w:rtl/>
        </w:rPr>
        <w:t>,</w:t>
      </w:r>
      <w:r>
        <w:rPr>
          <w:rtl/>
        </w:rPr>
        <w:t xml:space="preserve"> אמר לו</w:t>
      </w:r>
      <w:r w:rsidR="00035746">
        <w:rPr>
          <w:rFonts w:hint="cs"/>
          <w:rtl/>
        </w:rPr>
        <w:t>:</w:t>
      </w:r>
      <w:r>
        <w:rPr>
          <w:rtl/>
        </w:rPr>
        <w:t xml:space="preserve"> אין לי תבואה שאתן לך</w:t>
      </w:r>
      <w:r w:rsidR="00035746">
        <w:rPr>
          <w:rFonts w:hint="cs"/>
          <w:rtl/>
        </w:rPr>
        <w:t>,</w:t>
      </w:r>
      <w:r>
        <w:rPr>
          <w:rtl/>
        </w:rPr>
        <w:t xml:space="preserve"> והיה רואה תבואה בתוך ביתו</w:t>
      </w:r>
      <w:r w:rsidR="00035746">
        <w:rPr>
          <w:rFonts w:hint="cs"/>
          <w:rtl/>
        </w:rPr>
        <w:t>.</w:t>
      </w:r>
      <w:r>
        <w:rPr>
          <w:rtl/>
        </w:rPr>
        <w:t xml:space="preserve"> אמר לו</w:t>
      </w:r>
      <w:r w:rsidR="00035746">
        <w:rPr>
          <w:rFonts w:hint="cs"/>
          <w:rtl/>
        </w:rPr>
        <w:t>:</w:t>
      </w:r>
      <w:r>
        <w:rPr>
          <w:rtl/>
        </w:rPr>
        <w:t xml:space="preserve"> תן לי כרים וכסתות בשכרי</w:t>
      </w:r>
      <w:r w:rsidR="00035746">
        <w:rPr>
          <w:rFonts w:hint="cs"/>
          <w:rtl/>
        </w:rPr>
        <w:t>,</w:t>
      </w:r>
      <w:r>
        <w:rPr>
          <w:rtl/>
        </w:rPr>
        <w:t xml:space="preserve"> אמר לו</w:t>
      </w:r>
      <w:r w:rsidR="00035746">
        <w:rPr>
          <w:rFonts w:hint="cs"/>
          <w:rtl/>
        </w:rPr>
        <w:t>:</w:t>
      </w:r>
      <w:r>
        <w:rPr>
          <w:rtl/>
        </w:rPr>
        <w:t xml:space="preserve"> אין לי כרים וכסתות שאתן לך</w:t>
      </w:r>
      <w:r w:rsidR="00035746">
        <w:rPr>
          <w:rFonts w:hint="cs"/>
          <w:rtl/>
        </w:rPr>
        <w:t>,</w:t>
      </w:r>
      <w:r>
        <w:rPr>
          <w:rtl/>
        </w:rPr>
        <w:t xml:space="preserve"> והיה רואה כרים וכסתות בתוך ביתו</w:t>
      </w:r>
      <w:r w:rsidR="00035746">
        <w:rPr>
          <w:rFonts w:hint="cs"/>
          <w:rtl/>
        </w:rPr>
        <w:t>. -</w:t>
      </w:r>
      <w:r>
        <w:rPr>
          <w:rtl/>
        </w:rPr>
        <w:t xml:space="preserve"> תן לי קרקע בשכרי</w:t>
      </w:r>
      <w:r w:rsidR="00035746">
        <w:rPr>
          <w:rFonts w:hint="cs"/>
          <w:rtl/>
        </w:rPr>
        <w:t>,</w:t>
      </w:r>
      <w:r>
        <w:rPr>
          <w:rtl/>
        </w:rPr>
        <w:t xml:space="preserve"> אמר לו</w:t>
      </w:r>
      <w:r w:rsidR="00035746">
        <w:rPr>
          <w:rFonts w:hint="cs"/>
          <w:rtl/>
        </w:rPr>
        <w:t>:</w:t>
      </w:r>
      <w:r>
        <w:rPr>
          <w:rtl/>
        </w:rPr>
        <w:t xml:space="preserve"> אין לי קרקע שאתן לך</w:t>
      </w:r>
      <w:r w:rsidR="00035746">
        <w:rPr>
          <w:rFonts w:hint="cs"/>
          <w:rtl/>
        </w:rPr>
        <w:t>,</w:t>
      </w:r>
      <w:r>
        <w:rPr>
          <w:rtl/>
        </w:rPr>
        <w:t xml:space="preserve"> והיה רואה לו קרקע</w:t>
      </w:r>
      <w:r w:rsidR="00035746">
        <w:rPr>
          <w:rFonts w:hint="cs"/>
          <w:rtl/>
        </w:rPr>
        <w:t>.</w:t>
      </w:r>
      <w:r>
        <w:rPr>
          <w:rtl/>
        </w:rPr>
        <w:t xml:space="preserve"> מה עשה רבי עקיבא</w:t>
      </w:r>
      <w:r w:rsidR="00035746">
        <w:rPr>
          <w:rFonts w:hint="cs"/>
          <w:rtl/>
        </w:rPr>
        <w:t>?</w:t>
      </w:r>
      <w:r>
        <w:rPr>
          <w:rtl/>
        </w:rPr>
        <w:t xml:space="preserve"> הפשיל כליו לאחוריו והלך לביתו בפחי נפש</w:t>
      </w:r>
      <w:r w:rsidR="00035746">
        <w:rPr>
          <w:rFonts w:hint="cs"/>
          <w:rtl/>
        </w:rPr>
        <w:t>.</w:t>
      </w:r>
      <w:r>
        <w:rPr>
          <w:rtl/>
        </w:rPr>
        <w:t xml:space="preserve"> מה עשה רבי אליעזר בן הורקנוס</w:t>
      </w:r>
      <w:r w:rsidR="00035746">
        <w:rPr>
          <w:rFonts w:hint="cs"/>
          <w:rtl/>
        </w:rPr>
        <w:t>?</w:t>
      </w:r>
      <w:r>
        <w:rPr>
          <w:rtl/>
        </w:rPr>
        <w:t xml:space="preserve"> המתין עד שיצא חג הסוכות ונטל משואות שלשה חמורים</w:t>
      </w:r>
      <w:r w:rsidR="00035746">
        <w:rPr>
          <w:rFonts w:hint="cs"/>
          <w:rtl/>
        </w:rPr>
        <w:t>:</w:t>
      </w:r>
      <w:r>
        <w:rPr>
          <w:rtl/>
        </w:rPr>
        <w:t xml:space="preserve"> אחד של יין ואחד של שמן ואחד של כל מיני מגדים</w:t>
      </w:r>
      <w:r w:rsidR="00035746">
        <w:rPr>
          <w:rFonts w:hint="cs"/>
          <w:rtl/>
        </w:rPr>
        <w:t>,</w:t>
      </w:r>
      <w:r>
        <w:rPr>
          <w:rtl/>
        </w:rPr>
        <w:t xml:space="preserve"> ומעות בידו</w:t>
      </w:r>
      <w:r w:rsidR="00035746">
        <w:rPr>
          <w:rFonts w:hint="cs"/>
          <w:rtl/>
        </w:rPr>
        <w:t>,</w:t>
      </w:r>
      <w:r>
        <w:rPr>
          <w:rtl/>
        </w:rPr>
        <w:t xml:space="preserve"> והלך לביתו של רבי עקיבא והניח לפניו ואכלו ושתו</w:t>
      </w:r>
      <w:r w:rsidR="00035746">
        <w:rPr>
          <w:rFonts w:hint="cs"/>
          <w:rtl/>
        </w:rPr>
        <w:t>.</w:t>
      </w:r>
      <w:r>
        <w:rPr>
          <w:rtl/>
        </w:rPr>
        <w:t xml:space="preserve"> והוציא המעות ונתן לו</w:t>
      </w:r>
      <w:r w:rsidR="00035746">
        <w:rPr>
          <w:rFonts w:hint="cs"/>
          <w:rtl/>
        </w:rPr>
        <w:t>.</w:t>
      </w:r>
      <w:r>
        <w:rPr>
          <w:rtl/>
        </w:rPr>
        <w:t xml:space="preserve"> אמר לו</w:t>
      </w:r>
      <w:r w:rsidR="00035746">
        <w:rPr>
          <w:rFonts w:hint="cs"/>
          <w:rtl/>
        </w:rPr>
        <w:t>:</w:t>
      </w:r>
      <w:r>
        <w:rPr>
          <w:rtl/>
        </w:rPr>
        <w:t xml:space="preserve"> בני</w:t>
      </w:r>
      <w:r w:rsidR="00035746">
        <w:rPr>
          <w:rFonts w:hint="cs"/>
          <w:rtl/>
        </w:rPr>
        <w:t>,</w:t>
      </w:r>
      <w:r>
        <w:rPr>
          <w:rtl/>
        </w:rPr>
        <w:t xml:space="preserve"> חייך</w:t>
      </w:r>
      <w:r w:rsidR="00F700CA">
        <w:rPr>
          <w:rFonts w:hint="cs"/>
          <w:rtl/>
        </w:rPr>
        <w:t>,</w:t>
      </w:r>
      <w:r>
        <w:rPr>
          <w:rtl/>
        </w:rPr>
        <w:t xml:space="preserve"> כשאמרת לי</w:t>
      </w:r>
      <w:r w:rsidR="00035746">
        <w:rPr>
          <w:rFonts w:hint="cs"/>
          <w:rtl/>
        </w:rPr>
        <w:t>:</w:t>
      </w:r>
      <w:r>
        <w:rPr>
          <w:rtl/>
        </w:rPr>
        <w:t xml:space="preserve"> תן לי מעותיי</w:t>
      </w:r>
      <w:r w:rsidR="00035746">
        <w:rPr>
          <w:rFonts w:hint="cs"/>
          <w:rtl/>
        </w:rPr>
        <w:t>,</w:t>
      </w:r>
      <w:r>
        <w:rPr>
          <w:rtl/>
        </w:rPr>
        <w:t xml:space="preserve"> ואמרתי לך</w:t>
      </w:r>
      <w:r w:rsidR="00035746">
        <w:rPr>
          <w:rFonts w:hint="cs"/>
          <w:rtl/>
        </w:rPr>
        <w:t>:</w:t>
      </w:r>
      <w:r>
        <w:rPr>
          <w:rtl/>
        </w:rPr>
        <w:t xml:space="preserve"> אין לי מעות שאתן לך והיית רואה מעות בידי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שדות וכרמים נזדמנו לו בזול וביקש ליקח מהם</w:t>
      </w:r>
      <w:r w:rsidR="00035746">
        <w:rPr>
          <w:rFonts w:hint="cs"/>
          <w:rtl/>
        </w:rPr>
        <w:t>. -</w:t>
      </w:r>
      <w:r>
        <w:rPr>
          <w:rtl/>
        </w:rPr>
        <w:t xml:space="preserve"> כשאמרת לי</w:t>
      </w:r>
      <w:r w:rsidR="00035746">
        <w:rPr>
          <w:rFonts w:hint="cs"/>
          <w:rtl/>
        </w:rPr>
        <w:t>:</w:t>
      </w:r>
      <w:r>
        <w:rPr>
          <w:rtl/>
        </w:rPr>
        <w:t xml:space="preserve"> תן לי בהמה בשכרי</w:t>
      </w:r>
      <w:r w:rsidR="00035746">
        <w:rPr>
          <w:rFonts w:hint="cs"/>
          <w:rtl/>
        </w:rPr>
        <w:t>,</w:t>
      </w:r>
      <w:r>
        <w:rPr>
          <w:rtl/>
        </w:rPr>
        <w:t xml:space="preserve"> ואמרתי לך</w:t>
      </w:r>
      <w:r w:rsidR="00035746">
        <w:rPr>
          <w:rFonts w:hint="cs"/>
          <w:rtl/>
        </w:rPr>
        <w:t>:</w:t>
      </w:r>
      <w:r>
        <w:rPr>
          <w:rtl/>
        </w:rPr>
        <w:t xml:space="preserve"> אין לי בהמה שאתן לך והיית רואה בהמה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מושכרות הם ביד אחרים</w:t>
      </w:r>
      <w:r w:rsidR="00035746">
        <w:rPr>
          <w:rFonts w:hint="cs"/>
          <w:rtl/>
        </w:rPr>
        <w:t>.</w:t>
      </w:r>
      <w:r>
        <w:rPr>
          <w:rtl/>
        </w:rPr>
        <w:t xml:space="preserve"> </w:t>
      </w:r>
      <w:r w:rsidR="00035746">
        <w:rPr>
          <w:rFonts w:hint="cs"/>
          <w:rtl/>
        </w:rPr>
        <w:t xml:space="preserve">- </w:t>
      </w:r>
      <w:r>
        <w:rPr>
          <w:rtl/>
        </w:rPr>
        <w:t>כשאמרת לי</w:t>
      </w:r>
      <w:r w:rsidR="00035746">
        <w:rPr>
          <w:rFonts w:hint="cs"/>
          <w:rtl/>
        </w:rPr>
        <w:t>:</w:t>
      </w:r>
      <w:r>
        <w:rPr>
          <w:rtl/>
        </w:rPr>
        <w:t xml:space="preserve"> תן לי תבואה בשכרי</w:t>
      </w:r>
      <w:r w:rsidR="00035746">
        <w:rPr>
          <w:rFonts w:hint="cs"/>
          <w:rtl/>
        </w:rPr>
        <w:t>,</w:t>
      </w:r>
      <w:r>
        <w:rPr>
          <w:rtl/>
        </w:rPr>
        <w:t xml:space="preserve"> ואמרתי לך</w:t>
      </w:r>
      <w:r w:rsidR="00035746">
        <w:rPr>
          <w:rFonts w:hint="cs"/>
          <w:rtl/>
        </w:rPr>
        <w:t>:</w:t>
      </w:r>
      <w:r>
        <w:rPr>
          <w:rtl/>
        </w:rPr>
        <w:t xml:space="preserve"> אין לי תבואה שאתן לך</w:t>
      </w:r>
      <w:r w:rsidR="00035746">
        <w:rPr>
          <w:rFonts w:hint="cs"/>
          <w:rtl/>
        </w:rPr>
        <w:t>,</w:t>
      </w:r>
      <w:r>
        <w:rPr>
          <w:rtl/>
        </w:rPr>
        <w:t xml:space="preserve"> והיית רואה תבואה בתוך ביתי</w:t>
      </w:r>
      <w:r w:rsidR="00035746">
        <w:rPr>
          <w:rFonts w:hint="cs"/>
          <w:rtl/>
        </w:rPr>
        <w:t>,</w:t>
      </w:r>
      <w:r>
        <w:rPr>
          <w:rtl/>
        </w:rPr>
        <w:t xml:space="preserve"> במה חשדתני</w:t>
      </w:r>
      <w:r w:rsidR="00035746">
        <w:rPr>
          <w:rFonts w:hint="cs"/>
          <w:rtl/>
        </w:rPr>
        <w:t>?</w:t>
      </w:r>
      <w:r>
        <w:rPr>
          <w:rtl/>
        </w:rPr>
        <w:t xml:space="preserve"> אמר לו</w:t>
      </w:r>
      <w:r w:rsidR="00035746">
        <w:rPr>
          <w:rFonts w:hint="cs"/>
          <w:rtl/>
        </w:rPr>
        <w:t>:</w:t>
      </w:r>
      <w:r>
        <w:rPr>
          <w:rtl/>
        </w:rPr>
        <w:t xml:space="preserve"> אמרתי שמא רוב פירותיו אינן מעושרין</w:t>
      </w:r>
      <w:r w:rsidR="009359AD">
        <w:rPr>
          <w:rFonts w:hint="cs"/>
          <w:rtl/>
        </w:rPr>
        <w:t>. -</w:t>
      </w:r>
      <w:r>
        <w:rPr>
          <w:rtl/>
        </w:rPr>
        <w:t xml:space="preserve"> כשאמרת לי</w:t>
      </w:r>
      <w:r w:rsidR="009359AD">
        <w:rPr>
          <w:rFonts w:hint="cs"/>
          <w:rtl/>
        </w:rPr>
        <w:t>:</w:t>
      </w:r>
      <w:r>
        <w:rPr>
          <w:rtl/>
        </w:rPr>
        <w:t xml:space="preserve"> תן לי כרי</w:t>
      </w:r>
      <w:r w:rsidR="009359AD">
        <w:rPr>
          <w:rFonts w:hint="cs"/>
          <w:rtl/>
        </w:rPr>
        <w:t>ם</w:t>
      </w:r>
      <w:r>
        <w:rPr>
          <w:rtl/>
        </w:rPr>
        <w:t xml:space="preserve"> וכסתו</w:t>
      </w:r>
      <w:r w:rsidR="009359AD">
        <w:rPr>
          <w:rFonts w:hint="cs"/>
          <w:rtl/>
        </w:rPr>
        <w:t>ם</w:t>
      </w:r>
      <w:r>
        <w:rPr>
          <w:rtl/>
        </w:rPr>
        <w:t xml:space="preserve"> בשכרי</w:t>
      </w:r>
      <w:r w:rsidR="009359AD">
        <w:rPr>
          <w:rFonts w:hint="cs"/>
          <w:rtl/>
        </w:rPr>
        <w:t>,</w:t>
      </w:r>
      <w:r>
        <w:rPr>
          <w:rtl/>
        </w:rPr>
        <w:t xml:space="preserve"> ואמרתי לך</w:t>
      </w:r>
      <w:r w:rsidR="009359AD">
        <w:rPr>
          <w:rFonts w:hint="cs"/>
          <w:rtl/>
        </w:rPr>
        <w:t>:</w:t>
      </w:r>
      <w:r>
        <w:rPr>
          <w:rtl/>
        </w:rPr>
        <w:t xml:space="preserve"> אין לי</w:t>
      </w:r>
      <w:r w:rsidR="009359AD">
        <w:rPr>
          <w:rFonts w:hint="cs"/>
          <w:rtl/>
        </w:rPr>
        <w:t>,</w:t>
      </w:r>
      <w:r>
        <w:rPr>
          <w:rtl/>
        </w:rPr>
        <w:t xml:space="preserve"> והיית רואה כרים וכסתות בתוך ביתי</w:t>
      </w:r>
      <w:r w:rsidR="009359AD">
        <w:rPr>
          <w:rFonts w:hint="cs"/>
          <w:rtl/>
        </w:rPr>
        <w:t>,</w:t>
      </w:r>
      <w:r>
        <w:rPr>
          <w:rtl/>
        </w:rPr>
        <w:t xml:space="preserve"> והיית רואה לי קרקע</w:t>
      </w:r>
      <w:r w:rsidR="009359AD">
        <w:rPr>
          <w:rFonts w:hint="cs"/>
          <w:rtl/>
        </w:rPr>
        <w:t>,</w:t>
      </w:r>
      <w:r>
        <w:rPr>
          <w:rtl/>
        </w:rPr>
        <w:t xml:space="preserve"> במה חשדתני</w:t>
      </w:r>
      <w:r w:rsidR="009359AD">
        <w:rPr>
          <w:rFonts w:hint="cs"/>
          <w:rtl/>
        </w:rPr>
        <w:t>?</w:t>
      </w:r>
      <w:r>
        <w:rPr>
          <w:rtl/>
        </w:rPr>
        <w:t xml:space="preserve"> אמר לו</w:t>
      </w:r>
      <w:r w:rsidR="009359AD">
        <w:rPr>
          <w:rFonts w:hint="cs"/>
          <w:rtl/>
        </w:rPr>
        <w:t>:</w:t>
      </w:r>
      <w:r>
        <w:rPr>
          <w:rtl/>
        </w:rPr>
        <w:t xml:space="preserve"> אמרתי שמא הקדיש רבי כל נכסיו לשמים</w:t>
      </w:r>
      <w:r w:rsidR="009359AD">
        <w:rPr>
          <w:rFonts w:hint="cs"/>
          <w:rtl/>
        </w:rPr>
        <w:t>.</w:t>
      </w:r>
      <w:r>
        <w:rPr>
          <w:rtl/>
        </w:rPr>
        <w:t xml:space="preserve"> אמר לו</w:t>
      </w:r>
      <w:r w:rsidR="009359AD">
        <w:rPr>
          <w:rFonts w:hint="cs"/>
          <w:rtl/>
        </w:rPr>
        <w:t>:</w:t>
      </w:r>
      <w:r>
        <w:rPr>
          <w:rtl/>
        </w:rPr>
        <w:t xml:space="preserve"> העבודה</w:t>
      </w:r>
      <w:r w:rsidR="009359AD">
        <w:rPr>
          <w:rFonts w:hint="cs"/>
          <w:rtl/>
        </w:rPr>
        <w:t>,</w:t>
      </w:r>
      <w:r>
        <w:rPr>
          <w:rtl/>
        </w:rPr>
        <w:t xml:space="preserve"> כך היה</w:t>
      </w:r>
      <w:r w:rsidR="009359AD">
        <w:rPr>
          <w:rFonts w:hint="cs"/>
          <w:rtl/>
        </w:rPr>
        <w:t>.</w:t>
      </w:r>
      <w:r>
        <w:rPr>
          <w:rtl/>
        </w:rPr>
        <w:t xml:space="preserve"> הורקנוס בני לא היה עוסק בתורה והקדשתי כל נכסיי לשמים כדי שיעסוק בתורה עד שבאתי אצל חכמים והתירו את נדרי</w:t>
      </w:r>
      <w:r>
        <w:rPr>
          <w:rFonts w:hint="cs"/>
          <w:rtl/>
        </w:rPr>
        <w:t xml:space="preserve">". </w:t>
      </w:r>
      <w:r w:rsidR="009359AD">
        <w:rPr>
          <w:rFonts w:hint="cs"/>
          <w:rtl/>
        </w:rPr>
        <w:t xml:space="preserve">ראה סיפור תחילתו של </w:t>
      </w:r>
      <w:r>
        <w:rPr>
          <w:rFonts w:hint="cs"/>
          <w:rtl/>
        </w:rPr>
        <w:t xml:space="preserve">אליעזר בן הורקנוס שנטש את המחרשה של אביו עתיר הנכסים ועלה לירושלים ללמוד תורה </w:t>
      </w:r>
      <w:r w:rsidR="009359AD">
        <w:rPr>
          <w:rFonts w:hint="cs"/>
          <w:rtl/>
        </w:rPr>
        <w:t xml:space="preserve">ואביו בא להדירו מנכסיו </w:t>
      </w:r>
      <w:r>
        <w:rPr>
          <w:rFonts w:hint="cs"/>
          <w:rtl/>
        </w:rPr>
        <w:t>(פרקי דרבי אליעזר</w:t>
      </w:r>
      <w:r w:rsidR="009359AD">
        <w:rPr>
          <w:rFonts w:hint="cs"/>
          <w:rtl/>
        </w:rPr>
        <w:t xml:space="preserve"> פרק א</w:t>
      </w:r>
      <w:r>
        <w:rPr>
          <w:rFonts w:hint="cs"/>
          <w:rtl/>
        </w:rPr>
        <w:t>, אבות דרבי נתן</w:t>
      </w:r>
      <w:r w:rsidR="009359AD">
        <w:rPr>
          <w:rFonts w:hint="cs"/>
          <w:rtl/>
        </w:rPr>
        <w:t xml:space="preserve"> נוסח א פרק ו</w:t>
      </w:r>
      <w:r w:rsidR="00C01963">
        <w:rPr>
          <w:rFonts w:hint="cs"/>
          <w:rtl/>
        </w:rPr>
        <w:t>, וראה גם תנחומא בובר פרשת לך לך סימן י</w:t>
      </w:r>
      <w:r w:rsidR="009359AD">
        <w:rPr>
          <w:rFonts w:hint="cs"/>
          <w:rtl/>
        </w:rPr>
        <w:t>). והנה</w:t>
      </w:r>
      <w:r w:rsidR="00C01963">
        <w:rPr>
          <w:rFonts w:hint="cs"/>
          <w:rtl/>
        </w:rPr>
        <w:t xml:space="preserve"> לפנינו</w:t>
      </w:r>
      <w:r w:rsidR="009359AD">
        <w:rPr>
          <w:rFonts w:hint="cs"/>
          <w:rtl/>
        </w:rPr>
        <w:t xml:space="preserve"> סיפור ראי על בנו של ר' אליעזר, זה שקרוי הורקנוס ע"ש הסבא</w:t>
      </w:r>
      <w:r w:rsidR="00C01963">
        <w:rPr>
          <w:rFonts w:hint="cs"/>
          <w:rtl/>
        </w:rPr>
        <w:t>,</w:t>
      </w:r>
      <w:r w:rsidR="009359AD">
        <w:rPr>
          <w:rFonts w:hint="cs"/>
          <w:rtl/>
        </w:rPr>
        <w:t xml:space="preserve"> שהוא</w:t>
      </w:r>
      <w:r w:rsidR="00C01963">
        <w:rPr>
          <w:rFonts w:hint="cs"/>
          <w:rtl/>
        </w:rPr>
        <w:t xml:space="preserve"> מסרב ללמוד תורה ואביו מדיר את כל נכסיו להקדש. </w:t>
      </w:r>
      <w:r w:rsidR="00794849">
        <w:rPr>
          <w:rFonts w:hint="cs"/>
          <w:rtl/>
        </w:rPr>
        <w:t xml:space="preserve">ראה דברינו </w:t>
      </w:r>
      <w:hyperlink r:id="rId2" w:history="1">
        <w:r w:rsidR="00794849" w:rsidRPr="00794849">
          <w:rPr>
            <w:rStyle w:val="Hyperlink"/>
            <w:rFonts w:hint="cs"/>
            <w:rtl/>
          </w:rPr>
          <w:t xml:space="preserve">אליעזר בן הורקנוס – </w:t>
        </w:r>
        <w:r w:rsidR="00794849">
          <w:rPr>
            <w:rStyle w:val="Hyperlink"/>
            <w:rFonts w:hint="cs"/>
            <w:rtl/>
          </w:rPr>
          <w:t>ח</w:t>
        </w:r>
        <w:r w:rsidR="00794849" w:rsidRPr="00794849">
          <w:rPr>
            <w:rStyle w:val="Hyperlink"/>
            <w:rFonts w:hint="cs"/>
            <w:rtl/>
          </w:rPr>
          <w:t>מישה פרקים ואפילוג</w:t>
        </w:r>
      </w:hyperlink>
      <w:r w:rsidR="00794849">
        <w:rPr>
          <w:rFonts w:hint="cs"/>
          <w:rtl/>
        </w:rPr>
        <w:t xml:space="preserve"> בדפים המיוחדים.</w:t>
      </w:r>
    </w:p>
  </w:footnote>
  <w:footnote w:id="10">
    <w:p w14:paraId="39F4B6A5" w14:textId="77777777" w:rsidR="006076BB" w:rsidRDefault="006076BB" w:rsidP="00A41F1F">
      <w:pPr>
        <w:pStyle w:val="a3"/>
        <w:rPr>
          <w:rFonts w:hint="cs"/>
        </w:rPr>
      </w:pPr>
      <w:r>
        <w:rPr>
          <w:rStyle w:val="a5"/>
        </w:rPr>
        <w:footnoteRef/>
      </w:r>
      <w:r>
        <w:rPr>
          <w:rtl/>
        </w:rPr>
        <w:t xml:space="preserve"> </w:t>
      </w:r>
      <w:r>
        <w:rPr>
          <w:rFonts w:hint="cs"/>
          <w:rtl/>
        </w:rPr>
        <w:t>עוד בגמרא שם: "</w:t>
      </w:r>
      <w:r>
        <w:rPr>
          <w:rtl/>
        </w:rPr>
        <w:t>תנו רבנן: פעם אחת הוצרך דבר אחד לתלמידי חכמים אצל מטרוניתא אחת, שכל גדולי רומי מצויין אצלה. אמרו: מי ילך? - אמר להם רבי יהושע: אני אלך. הלך רבי יהושע ותלמידיו, כיון שהגיע לפתח ביתה חלץ תפיליו ברחוק ארבע אמות, ונכנס ונעל הדלת בפניהן. אחר שיצא ירד וטבל, ושנה לתלמידיו. ואמר להם</w:t>
      </w:r>
      <w:r>
        <w:rPr>
          <w:rFonts w:hint="cs"/>
          <w:rtl/>
        </w:rPr>
        <w:t xml:space="preserve">: </w:t>
      </w:r>
      <w:r>
        <w:rPr>
          <w:rtl/>
        </w:rPr>
        <w:t>בשעה שחלצתי תפילין במה חשדתוני? - אמרנו: כסבור רבי לא יכנסו דברי קדושה במקום טומאה. - בשעה שנעלתי במה חשדתוני? - אמרנו: שמא דבר מלכות יש בינו לבינה. - בשעה שירדתי וטבלתי במה חשדתוני? - אמרנו: שמא ניתזה צינורא מפיה על בגדיו של רבי. - אמר להם: העבודה, כך היה. ואתם, כשם שדנתוני לזכות - המקום ידין אתכם לזכות</w:t>
      </w:r>
      <w:r>
        <w:rPr>
          <w:rFonts w:hint="cs"/>
          <w:rtl/>
        </w:rPr>
        <w:t>"</w:t>
      </w:r>
      <w:r>
        <w:rPr>
          <w:rtl/>
        </w:rPr>
        <w:t>.</w:t>
      </w:r>
      <w:r>
        <w:rPr>
          <w:rFonts w:hint="cs"/>
          <w:rtl/>
        </w:rPr>
        <w:t xml:space="preserve"> מעשים אלה של לדון לכף זכות בדברים שבינו לבינה, נמצאים גם באבות דרבי נתן נוסח א פרק ח ופרק יט, בהבדלי נוסח קלים שאין כאן זמן ומקום לפרטם. ואם אנו כבר במסכת </w:t>
      </w:r>
      <w:r>
        <w:rPr>
          <w:rtl/>
        </w:rPr>
        <w:t>אבות דרבי נתן</w:t>
      </w:r>
      <w:r w:rsidR="001B09F4">
        <w:rPr>
          <w:rFonts w:hint="cs"/>
          <w:rtl/>
        </w:rPr>
        <w:t xml:space="preserve"> </w:t>
      </w:r>
      <w:r>
        <w:rPr>
          <w:rtl/>
        </w:rPr>
        <w:t>נוסח ב פרק יט</w:t>
      </w:r>
      <w:r w:rsidR="001B09F4">
        <w:rPr>
          <w:rFonts w:hint="cs"/>
          <w:rtl/>
        </w:rPr>
        <w:t>, רא שם</w:t>
      </w:r>
      <w:r>
        <w:rPr>
          <w:rFonts w:hint="cs"/>
          <w:rtl/>
        </w:rPr>
        <w:t xml:space="preserve"> גלגול נוסף של הסיפור של מסכת שבת בו פתחנו, שונה בפרטי המעשה, אבל דומה ברעיון הבסיסי: "</w:t>
      </w:r>
      <w:r>
        <w:rPr>
          <w:rtl/>
        </w:rPr>
        <w:t>מעשה באחד ששלח את בנו אצל חבירו ואמר לו לך ואמור לו</w:t>
      </w:r>
      <w:r>
        <w:rPr>
          <w:rFonts w:hint="cs"/>
          <w:rtl/>
        </w:rPr>
        <w:t>:</w:t>
      </w:r>
      <w:r>
        <w:rPr>
          <w:rtl/>
        </w:rPr>
        <w:t xml:space="preserve"> אמר אבא</w:t>
      </w:r>
      <w:r>
        <w:rPr>
          <w:rFonts w:hint="cs"/>
          <w:rtl/>
        </w:rPr>
        <w:t>:</w:t>
      </w:r>
      <w:r>
        <w:rPr>
          <w:rtl/>
        </w:rPr>
        <w:t xml:space="preserve"> השאילני מדה אחת של חטים. הלך ומצאו מודד חטים ואמר לו כך וכך חטה אינו קנוי. אמר לו</w:t>
      </w:r>
      <w:r>
        <w:rPr>
          <w:rFonts w:hint="cs"/>
          <w:rtl/>
        </w:rPr>
        <w:t>:</w:t>
      </w:r>
      <w:r>
        <w:rPr>
          <w:rtl/>
        </w:rPr>
        <w:t xml:space="preserve"> שמא של מעשר שני הם. ועוד אמר לו לך אמור לו</w:t>
      </w:r>
      <w:r>
        <w:rPr>
          <w:rFonts w:hint="cs"/>
          <w:rtl/>
        </w:rPr>
        <w:t>:</w:t>
      </w:r>
      <w:r>
        <w:rPr>
          <w:rtl/>
        </w:rPr>
        <w:t xml:space="preserve"> אמר אבא</w:t>
      </w:r>
      <w:r>
        <w:rPr>
          <w:rFonts w:hint="cs"/>
          <w:rtl/>
        </w:rPr>
        <w:t>:</w:t>
      </w:r>
      <w:r>
        <w:rPr>
          <w:rtl/>
        </w:rPr>
        <w:t xml:space="preserve"> השאילני מנה אחת הלך ומצאו מונה מעות. א"ל השאילני מנה אחת א"ל כך וכך איסר אינו קנוי. הלך אצל אביו ואמר לו</w:t>
      </w:r>
      <w:r>
        <w:rPr>
          <w:rFonts w:hint="cs"/>
          <w:rtl/>
        </w:rPr>
        <w:t>:</w:t>
      </w:r>
      <w:r>
        <w:rPr>
          <w:rtl/>
        </w:rPr>
        <w:t xml:space="preserve"> אבא</w:t>
      </w:r>
      <w:r>
        <w:rPr>
          <w:rFonts w:hint="cs"/>
          <w:rtl/>
        </w:rPr>
        <w:t>,</w:t>
      </w:r>
      <w:r>
        <w:rPr>
          <w:rtl/>
        </w:rPr>
        <w:t xml:space="preserve"> מצאתיו מונה מעות ואמר לי כך וכך איסר אינו קנוי לו. א"ל שמא פ</w:t>
      </w:r>
      <w:r w:rsidR="00DB3394">
        <w:rPr>
          <w:rFonts w:hint="cs"/>
          <w:rtl/>
        </w:rPr>
        <w:t>י</w:t>
      </w:r>
      <w:r>
        <w:rPr>
          <w:rtl/>
        </w:rPr>
        <w:t>קדון הם. כיון שיצאו לשוק ופגעו זה את זה. אמר לו חבירו</w:t>
      </w:r>
      <w:r>
        <w:rPr>
          <w:rFonts w:hint="cs"/>
          <w:rtl/>
        </w:rPr>
        <w:t>:</w:t>
      </w:r>
      <w:r>
        <w:rPr>
          <w:rtl/>
        </w:rPr>
        <w:t xml:space="preserve"> כשבא בנך אצלי ומצאני מודד חטים ולא נתתי לו</w:t>
      </w:r>
      <w:r>
        <w:rPr>
          <w:rFonts w:hint="cs"/>
          <w:rtl/>
        </w:rPr>
        <w:t>,</w:t>
      </w:r>
      <w:r>
        <w:rPr>
          <w:rtl/>
        </w:rPr>
        <w:t xml:space="preserve"> מה אמרת עלי</w:t>
      </w:r>
      <w:r>
        <w:rPr>
          <w:rFonts w:hint="cs"/>
          <w:rtl/>
        </w:rPr>
        <w:t xml:space="preserve">? </w:t>
      </w:r>
      <w:r>
        <w:rPr>
          <w:rtl/>
        </w:rPr>
        <w:t>א"ל</w:t>
      </w:r>
      <w:r>
        <w:rPr>
          <w:rFonts w:hint="cs"/>
          <w:rtl/>
        </w:rPr>
        <w:t>:</w:t>
      </w:r>
      <w:r>
        <w:rPr>
          <w:rtl/>
        </w:rPr>
        <w:t xml:space="preserve"> אמרתי שמא של מעשר שני הם. </w:t>
      </w:r>
      <w:r>
        <w:rPr>
          <w:rFonts w:hint="cs"/>
          <w:rtl/>
        </w:rPr>
        <w:t xml:space="preserve">- </w:t>
      </w:r>
      <w:r>
        <w:rPr>
          <w:rtl/>
        </w:rPr>
        <w:t>ובמנה מה אמרת עלי</w:t>
      </w:r>
      <w:r>
        <w:rPr>
          <w:rFonts w:hint="cs"/>
          <w:rtl/>
        </w:rPr>
        <w:t>?</w:t>
      </w:r>
      <w:r>
        <w:rPr>
          <w:rtl/>
        </w:rPr>
        <w:t xml:space="preserve"> –</w:t>
      </w:r>
      <w:r>
        <w:rPr>
          <w:rFonts w:hint="cs"/>
          <w:rtl/>
        </w:rPr>
        <w:t xml:space="preserve"> </w:t>
      </w:r>
      <w:r>
        <w:rPr>
          <w:rtl/>
        </w:rPr>
        <w:t>אמרתי</w:t>
      </w:r>
      <w:r>
        <w:rPr>
          <w:rFonts w:hint="cs"/>
          <w:rtl/>
        </w:rPr>
        <w:t>:</w:t>
      </w:r>
      <w:r>
        <w:rPr>
          <w:rtl/>
        </w:rPr>
        <w:t xml:space="preserve"> שמא של פקדון הם. א"ל</w:t>
      </w:r>
      <w:r>
        <w:rPr>
          <w:rFonts w:hint="cs"/>
          <w:rtl/>
        </w:rPr>
        <w:t>:</w:t>
      </w:r>
      <w:r>
        <w:rPr>
          <w:rtl/>
        </w:rPr>
        <w:t xml:space="preserve"> כך וכך לא הטית ימין ושמאל</w:t>
      </w:r>
      <w:r>
        <w:rPr>
          <w:rFonts w:hint="cs"/>
          <w:rtl/>
        </w:rPr>
        <w:t>,</w:t>
      </w:r>
      <w:r>
        <w:rPr>
          <w:rtl/>
        </w:rPr>
        <w:t xml:space="preserve"> עליך נאמר</w:t>
      </w:r>
      <w:r>
        <w:rPr>
          <w:rFonts w:hint="cs"/>
          <w:rtl/>
        </w:rPr>
        <w:t>:</w:t>
      </w:r>
      <w:r>
        <w:rPr>
          <w:rtl/>
        </w:rPr>
        <w:t xml:space="preserve"> והוי דן את כל האדם לכף זכות</w:t>
      </w:r>
      <w:r>
        <w:rPr>
          <w:rFonts w:hint="cs"/>
          <w:rtl/>
        </w:rPr>
        <w:t>".</w:t>
      </w:r>
      <w:r w:rsidR="00F700CA">
        <w:rPr>
          <w:rFonts w:hint="cs"/>
          <w:rtl/>
        </w:rPr>
        <w:t xml:space="preserve"> לימוד הזכות כאן הוא במפגש עקיף, דרך הבן, שהרי שני האנשים לא ראו זה את זה</w:t>
      </w:r>
      <w:r w:rsidR="00227240">
        <w:rPr>
          <w:rFonts w:hint="cs"/>
          <w:rtl/>
        </w:rPr>
        <w:t>, רק בסוף הסיפור. הבן מספר לאביו: "מצאתיו מונה מעות", מצאתיו מודד חטים וכו', ובכל זאת האבא אינו מתפתה לחשד בחברו.</w:t>
      </w:r>
    </w:p>
  </w:footnote>
  <w:footnote w:id="11">
    <w:p w14:paraId="7C0FB440" w14:textId="77777777" w:rsidR="006076BB" w:rsidRDefault="006076BB" w:rsidP="00A41F1F">
      <w:pPr>
        <w:pStyle w:val="a3"/>
        <w:rPr>
          <w:rFonts w:hint="cs"/>
        </w:rPr>
      </w:pPr>
      <w:r>
        <w:rPr>
          <w:rStyle w:val="a5"/>
        </w:rPr>
        <w:footnoteRef/>
      </w:r>
      <w:r>
        <w:rPr>
          <w:rtl/>
        </w:rPr>
        <w:t xml:space="preserve"> </w:t>
      </w:r>
      <w:r>
        <w:rPr>
          <w:rFonts w:hint="cs"/>
          <w:rtl/>
        </w:rPr>
        <w:t>החידוש כאן הוא שזה שלכאורה עשוי לחשוד ולדון את חברו לכף חובה, הלל לגבי אשתו במקרה זה, הוא שמעיד על עצמו שדן אותה לכף זכות, בזמן אמת, ולא כתשובה של הנחשד לאחר שנשאל (בפרט רב לגבי תלמידיו).</w:t>
      </w:r>
      <w:r w:rsidR="00227240">
        <w:rPr>
          <w:rFonts w:hint="cs"/>
          <w:rtl/>
        </w:rPr>
        <w:t xml:space="preserve"> </w:t>
      </w:r>
      <w:r w:rsidR="00A41F1F">
        <w:rPr>
          <w:rFonts w:hint="cs"/>
          <w:rtl/>
        </w:rPr>
        <w:t>נ</w:t>
      </w:r>
      <w:r w:rsidR="00227240">
        <w:rPr>
          <w:rFonts w:hint="cs"/>
          <w:rtl/>
        </w:rPr>
        <w:t>שמע</w:t>
      </w:r>
      <w:r w:rsidR="00A41F1F">
        <w:rPr>
          <w:rFonts w:hint="cs"/>
          <w:rtl/>
        </w:rPr>
        <w:t xml:space="preserve"> מכאן ש</w:t>
      </w:r>
      <w:r w:rsidR="00227240">
        <w:rPr>
          <w:rFonts w:hint="cs"/>
          <w:rtl/>
        </w:rPr>
        <w:t>אדם רשאי להשתבח בכך שהוא מלמד זכות על חברו!</w:t>
      </w:r>
    </w:p>
  </w:footnote>
  <w:footnote w:id="12">
    <w:p w14:paraId="0182F311" w14:textId="77777777" w:rsidR="000A4796" w:rsidRDefault="000A4796" w:rsidP="00DB3394">
      <w:pPr>
        <w:pStyle w:val="a3"/>
        <w:rPr>
          <w:rFonts w:hint="cs"/>
        </w:rPr>
      </w:pPr>
      <w:r>
        <w:rPr>
          <w:rStyle w:val="a5"/>
        </w:rPr>
        <w:footnoteRef/>
      </w:r>
      <w:r>
        <w:rPr>
          <w:rtl/>
        </w:rPr>
        <w:t xml:space="preserve"> </w:t>
      </w:r>
      <w:r>
        <w:rPr>
          <w:rFonts w:hint="cs"/>
          <w:rtl/>
        </w:rPr>
        <w:t xml:space="preserve">ראה תחילת הסוגיה שם, דברי </w:t>
      </w:r>
      <w:r>
        <w:rPr>
          <w:rtl/>
        </w:rPr>
        <w:t xml:space="preserve">רב המנונא: </w:t>
      </w:r>
      <w:r>
        <w:rPr>
          <w:rFonts w:hint="cs"/>
          <w:rtl/>
        </w:rPr>
        <w:t>"</w:t>
      </w:r>
      <w:r>
        <w:rPr>
          <w:rtl/>
        </w:rPr>
        <w:t>כמה הלכתא גברוותא איכא למשמע מהני קראי דחנה</w:t>
      </w:r>
      <w:r>
        <w:rPr>
          <w:rFonts w:hint="cs"/>
          <w:rtl/>
        </w:rPr>
        <w:t xml:space="preserve">", שהלכות רבות לומדים מהסיפור של חנה שקראנו בהפטרת היום הראשון של ראש השנה. ואחת מהן היא, שאל לנחשד להישאר פסיבי. אם לא זכה להיות במחיצת אנשים שיודעים לדון לכף זכות, ולא עוד אלא שנותנים לו מוסר ומוכיחים אותו על דברים שלא עשה, </w:t>
      </w:r>
      <w:r w:rsidR="00B64011">
        <w:rPr>
          <w:rFonts w:hint="cs"/>
          <w:rtl/>
        </w:rPr>
        <w:t>דברים ש</w:t>
      </w:r>
      <w:r>
        <w:rPr>
          <w:rFonts w:hint="cs"/>
          <w:rtl/>
        </w:rPr>
        <w:t>הם מניחים שעשה (אולי קראו על כך בעיתון ... וכאן עלי "רואה במו עיניו")</w:t>
      </w:r>
      <w:r w:rsidR="00DB3394">
        <w:rPr>
          <w:rFonts w:hint="cs"/>
          <w:rtl/>
        </w:rPr>
        <w:t xml:space="preserve"> - </w:t>
      </w:r>
      <w:r>
        <w:rPr>
          <w:rFonts w:hint="cs"/>
          <w:rtl/>
        </w:rPr>
        <w:t>הוא חייב לעמוד כנגדם, לספר את האמת ואף להוכיח אותם על תוכחתם</w:t>
      </w:r>
      <w:r w:rsidR="00B64011">
        <w:rPr>
          <w:rFonts w:hint="cs"/>
          <w:rtl/>
        </w:rPr>
        <w:t>.</w:t>
      </w:r>
      <w:r>
        <w:rPr>
          <w:rFonts w:hint="cs"/>
          <w:rtl/>
        </w:rPr>
        <w:t xml:space="preserve"> כדבריה הבוטים של חנה כלפי </w:t>
      </w:r>
      <w:smartTag w:uri="urn:schemas-microsoft-com:office:smarttags" w:element="PersonName">
        <w:smartTagPr>
          <w:attr w:name="ProductID" w:val="עלי הכהן"/>
        </w:smartTagPr>
        <w:r>
          <w:rPr>
            <w:rFonts w:hint="cs"/>
            <w:rtl/>
          </w:rPr>
          <w:t>עלי הכהן</w:t>
        </w:r>
      </w:smartTag>
      <w:r>
        <w:rPr>
          <w:rFonts w:hint="cs"/>
          <w:rtl/>
        </w:rPr>
        <w:t xml:space="preserve"> הגדול: "</w:t>
      </w:r>
      <w:r>
        <w:rPr>
          <w:rtl/>
        </w:rPr>
        <w:t>לא אדון אתה, לאו איכא שכינה ורוח הקודש גבך, שדנתני לכף חובה ולא דנתני לכף זכות</w:t>
      </w:r>
      <w:r>
        <w:rPr>
          <w:rFonts w:hint="cs"/>
          <w:rtl/>
        </w:rPr>
        <w:t xml:space="preserve">". ראה דברינו </w:t>
      </w:r>
      <w:hyperlink r:id="rId3" w:history="1">
        <w:r w:rsidRPr="00B64011">
          <w:rPr>
            <w:rStyle w:val="Hyperlink"/>
            <w:rFonts w:hint="cs"/>
            <w:rtl/>
          </w:rPr>
          <w:t xml:space="preserve">הוכח תוכיח </w:t>
        </w:r>
        <w:r w:rsidR="00B64011" w:rsidRPr="00B64011">
          <w:rPr>
            <w:rStyle w:val="Hyperlink"/>
            <w:rFonts w:hint="cs"/>
            <w:rtl/>
          </w:rPr>
          <w:t>את עמיתך</w:t>
        </w:r>
      </w:hyperlink>
      <w:r w:rsidR="00B64011">
        <w:rPr>
          <w:rFonts w:hint="cs"/>
          <w:rtl/>
        </w:rPr>
        <w:t xml:space="preserve"> </w:t>
      </w:r>
      <w:r>
        <w:rPr>
          <w:rFonts w:hint="cs"/>
          <w:rtl/>
        </w:rPr>
        <w:t>בפרשת קדושים.</w:t>
      </w:r>
      <w:r w:rsidR="00B64011">
        <w:rPr>
          <w:rFonts w:hint="cs"/>
          <w:rtl/>
        </w:rPr>
        <w:t xml:space="preserve"> ובדברינו </w:t>
      </w:r>
      <w:hyperlink r:id="rId4" w:history="1">
        <w:r w:rsidR="00B64011" w:rsidRPr="00B64011">
          <w:rPr>
            <w:rStyle w:val="Hyperlink"/>
            <w:rFonts w:hint="cs"/>
            <w:rtl/>
          </w:rPr>
          <w:t>תפילת חנה</w:t>
        </w:r>
      </w:hyperlink>
      <w:r w:rsidR="00B64011">
        <w:rPr>
          <w:rFonts w:hint="cs"/>
          <w:rtl/>
        </w:rPr>
        <w:t xml:space="preserve"> בראש השנה הראינו שחנה אף ערכה חשבון נוקב עם הקב"ה והוכיחה כביכול גם אותו!</w:t>
      </w:r>
    </w:p>
  </w:footnote>
  <w:footnote w:id="13">
    <w:p w14:paraId="17B37160" w14:textId="77777777" w:rsidR="00143A0E" w:rsidRDefault="00143A0E">
      <w:pPr>
        <w:pStyle w:val="a3"/>
        <w:rPr>
          <w:rFonts w:hint="cs"/>
          <w:rtl/>
        </w:rPr>
      </w:pPr>
      <w:r>
        <w:rPr>
          <w:rStyle w:val="a5"/>
        </w:rPr>
        <w:footnoteRef/>
      </w:r>
      <w:r>
        <w:rPr>
          <w:rtl/>
        </w:rPr>
        <w:t xml:space="preserve"> </w:t>
      </w:r>
      <w:r>
        <w:rPr>
          <w:rFonts w:hint="cs"/>
          <w:rtl/>
        </w:rPr>
        <w:t>מכאן ואילך נתרגם לעברית בעזרת שטיינזלץ אך באחריותנו. הקורא החורץ יעיין במקור.</w:t>
      </w:r>
    </w:p>
  </w:footnote>
  <w:footnote w:id="14">
    <w:p w14:paraId="5A112B11" w14:textId="77777777" w:rsidR="00E6152D" w:rsidRDefault="00E6152D" w:rsidP="00E6152D">
      <w:pPr>
        <w:pStyle w:val="a3"/>
        <w:rPr>
          <w:rFonts w:hint="cs"/>
          <w:rtl/>
        </w:rPr>
      </w:pPr>
      <w:r>
        <w:rPr>
          <w:rStyle w:val="a5"/>
        </w:rPr>
        <w:footnoteRef/>
      </w:r>
      <w:r>
        <w:rPr>
          <w:rtl/>
        </w:rPr>
        <w:t xml:space="preserve"> </w:t>
      </w:r>
      <w:r>
        <w:rPr>
          <w:rFonts w:hint="cs"/>
          <w:rtl/>
        </w:rPr>
        <w:t>במקום שבו גדלים קנים וצמחייה.</w:t>
      </w:r>
    </w:p>
  </w:footnote>
  <w:footnote w:id="15">
    <w:p w14:paraId="5FAE238C" w14:textId="77777777" w:rsidR="00E6152D" w:rsidRDefault="00E6152D">
      <w:pPr>
        <w:pStyle w:val="a3"/>
        <w:rPr>
          <w:rFonts w:hint="cs"/>
          <w:rtl/>
        </w:rPr>
      </w:pPr>
      <w:r>
        <w:rPr>
          <w:rStyle w:val="a5"/>
        </w:rPr>
        <w:footnoteRef/>
      </w:r>
      <w:r>
        <w:rPr>
          <w:rtl/>
        </w:rPr>
        <w:t xml:space="preserve"> </w:t>
      </w:r>
      <w:r>
        <w:rPr>
          <w:rFonts w:hint="cs"/>
          <w:rtl/>
        </w:rPr>
        <w:t>הגיעו לפרשת דרכים.</w:t>
      </w:r>
    </w:p>
  </w:footnote>
  <w:footnote w:id="16">
    <w:p w14:paraId="36969777" w14:textId="77777777" w:rsidR="00E6152D" w:rsidRDefault="00E6152D">
      <w:pPr>
        <w:pStyle w:val="a3"/>
        <w:rPr>
          <w:rFonts w:hint="cs"/>
          <w:rtl/>
        </w:rPr>
      </w:pPr>
      <w:r>
        <w:rPr>
          <w:rStyle w:val="a5"/>
        </w:rPr>
        <w:footnoteRef/>
      </w:r>
      <w:r>
        <w:rPr>
          <w:rtl/>
        </w:rPr>
        <w:t xml:space="preserve"> </w:t>
      </w:r>
      <w:r>
        <w:rPr>
          <w:rFonts w:hint="cs"/>
          <w:rtl/>
        </w:rPr>
        <w:t>ומסתבר שלא נעשתה שום עבירה ביניהם.</w:t>
      </w:r>
    </w:p>
  </w:footnote>
  <w:footnote w:id="17">
    <w:p w14:paraId="4A3D6F65" w14:textId="77777777" w:rsidR="00E6152D" w:rsidRDefault="00E6152D">
      <w:pPr>
        <w:pStyle w:val="a3"/>
        <w:rPr>
          <w:rFonts w:hint="cs"/>
          <w:rtl/>
        </w:rPr>
      </w:pPr>
      <w:r>
        <w:rPr>
          <w:rStyle w:val="a5"/>
        </w:rPr>
        <w:footnoteRef/>
      </w:r>
      <w:r>
        <w:rPr>
          <w:rtl/>
        </w:rPr>
        <w:t xml:space="preserve"> </w:t>
      </w:r>
      <w:r>
        <w:rPr>
          <w:rFonts w:hint="cs"/>
          <w:rtl/>
        </w:rPr>
        <w:t>"שונא לי" הוא לשון סגינהור כמו "שונאיהם של ישראל" והכוונה כאן לעצמו. אני, אומר אביי, לא הייתי נמנע מלחטוא.</w:t>
      </w:r>
    </w:p>
  </w:footnote>
  <w:footnote w:id="18">
    <w:p w14:paraId="31E75441" w14:textId="77777777" w:rsidR="00F86E42" w:rsidRDefault="00F86E42" w:rsidP="008C5B02">
      <w:pPr>
        <w:pStyle w:val="a3"/>
        <w:rPr>
          <w:rFonts w:hint="cs"/>
          <w:rtl/>
        </w:rPr>
      </w:pPr>
      <w:r>
        <w:rPr>
          <w:rStyle w:val="a5"/>
        </w:rPr>
        <w:footnoteRef/>
      </w:r>
      <w:r>
        <w:rPr>
          <w:rtl/>
        </w:rPr>
        <w:t xml:space="preserve"> </w:t>
      </w:r>
      <w:r>
        <w:rPr>
          <w:rFonts w:hint="cs"/>
          <w:rtl/>
        </w:rPr>
        <w:t xml:space="preserve">הגמרא שם דנה ביצר הרע (בעקבות המשנה במסכת סוכה שעשו הפרדה בשמחת בית השואבה בין נשים לגברים) ואביי מעיר שלתלמידי החכמים יש את יצר הרע הגדול מכולם (ובזה בא מישהו א"כ לנחם אותו שיצרו מעיד על גדולתו). לעניינינו, אביי שומע שגבר ואשה (שאינם נשואים) נדברים לקום מוקדם בבוקר ולצאת לדרך והוא ממהר לדון אותם לכף חובה שוודאי הם מתכוונים לעשות דבר עבירה בדרך. אך מה לעשות ומתברר שהכל עבר כשורה והם נפרדים זה מזו בנחת ובנעימות (ומלמדים אותנו פתגם יפה: הדרך קצרה כשהחברה נעימה). </w:t>
      </w:r>
      <w:r w:rsidR="008C5B02">
        <w:rPr>
          <w:rFonts w:hint="cs"/>
          <w:rtl/>
        </w:rPr>
        <w:t xml:space="preserve">ראה גם ציטוט דברי רבי יוחנן בגמרא </w:t>
      </w:r>
      <w:r w:rsidR="008C5B02">
        <w:rPr>
          <w:rtl/>
        </w:rPr>
        <w:t>בבא בתרא צא ע</w:t>
      </w:r>
      <w:r w:rsidR="008C5B02">
        <w:rPr>
          <w:rFonts w:hint="cs"/>
          <w:rtl/>
        </w:rPr>
        <w:t>"ב: "</w:t>
      </w:r>
      <w:r w:rsidR="008C5B02">
        <w:rPr>
          <w:rtl/>
        </w:rPr>
        <w:t xml:space="preserve">ואמר רבי יוחנן: נהירנא </w:t>
      </w:r>
      <w:r w:rsidR="008C5B02">
        <w:rPr>
          <w:rFonts w:hint="cs"/>
          <w:rtl/>
        </w:rPr>
        <w:t xml:space="preserve">(זכורני) </w:t>
      </w:r>
      <w:r w:rsidR="008C5B02">
        <w:rPr>
          <w:rtl/>
        </w:rPr>
        <w:t xml:space="preserve">כד הוו מטיילין טליא וטלייתא </w:t>
      </w:r>
      <w:r w:rsidR="008C5B02">
        <w:rPr>
          <w:rFonts w:hint="cs"/>
          <w:rtl/>
        </w:rPr>
        <w:t xml:space="preserve">(נגר ונערה) </w:t>
      </w:r>
      <w:r w:rsidR="008C5B02">
        <w:rPr>
          <w:rtl/>
        </w:rPr>
        <w:t>בשוקא כבר שית עשרה וכבר שב עשרה, ולא הוו חטאן</w:t>
      </w:r>
      <w:r w:rsidR="008C5B02">
        <w:rPr>
          <w:rFonts w:hint="cs"/>
          <w:rtl/>
        </w:rPr>
        <w:t>"</w:t>
      </w:r>
      <w:r w:rsidR="008C5B02">
        <w:rPr>
          <w:rtl/>
        </w:rPr>
        <w:t xml:space="preserve">. </w:t>
      </w:r>
      <w:r>
        <w:rPr>
          <w:rFonts w:hint="cs"/>
          <w:rtl/>
        </w:rPr>
        <w:t>מה למדנו מסיפור זה? שלדון את חברך לכף חובה היא עצתו של היצר הרע. ומכאן שלדון לכף זכות היא עצתו של היצר הטוב.</w:t>
      </w:r>
    </w:p>
  </w:footnote>
  <w:footnote w:id="19">
    <w:p w14:paraId="1297FDEF" w14:textId="77777777" w:rsidR="00D258CA" w:rsidRDefault="00D258CA" w:rsidP="002C0EC5">
      <w:pPr>
        <w:pStyle w:val="a3"/>
        <w:rPr>
          <w:rFonts w:hint="cs"/>
        </w:rPr>
      </w:pPr>
      <w:r>
        <w:rPr>
          <w:rStyle w:val="a5"/>
        </w:rPr>
        <w:footnoteRef/>
      </w:r>
      <w:r>
        <w:rPr>
          <w:rtl/>
        </w:rPr>
        <w:t xml:space="preserve"> </w:t>
      </w:r>
      <w:r>
        <w:rPr>
          <w:rFonts w:hint="cs"/>
          <w:rtl/>
        </w:rPr>
        <w:t>"תנו רבנן" זה היא ה</w:t>
      </w:r>
      <w:r>
        <w:rPr>
          <w:rtl/>
        </w:rPr>
        <w:t xml:space="preserve">תוספתא </w:t>
      </w:r>
      <w:r w:rsidR="002C0EC5">
        <w:rPr>
          <w:rFonts w:hint="cs"/>
          <w:rtl/>
        </w:rPr>
        <w:t>ב</w:t>
      </w:r>
      <w:r>
        <w:rPr>
          <w:rtl/>
        </w:rPr>
        <w:t xml:space="preserve">מסכת קידושין פרק א </w:t>
      </w:r>
      <w:r>
        <w:rPr>
          <w:rFonts w:hint="cs"/>
          <w:rtl/>
        </w:rPr>
        <w:t>הלכות יג-יד.</w:t>
      </w:r>
    </w:p>
  </w:footnote>
  <w:footnote w:id="20">
    <w:p w14:paraId="6BF575C4" w14:textId="77777777" w:rsidR="002C0EC5" w:rsidRDefault="002C0EC5" w:rsidP="00943FEE">
      <w:pPr>
        <w:pStyle w:val="a3"/>
        <w:rPr>
          <w:rFonts w:hint="cs"/>
          <w:rtl/>
        </w:rPr>
      </w:pPr>
      <w:r>
        <w:rPr>
          <w:rStyle w:val="a5"/>
        </w:rPr>
        <w:footnoteRef/>
      </w:r>
      <w:r>
        <w:rPr>
          <w:rtl/>
        </w:rPr>
        <w:t xml:space="preserve"> </w:t>
      </w:r>
      <w:r>
        <w:rPr>
          <w:rFonts w:hint="cs"/>
          <w:rtl/>
        </w:rPr>
        <w:t xml:space="preserve">האם לדון אדם לכף זכות, לפי הדוגמאות שלעיל, תיחשב בעיני התוספתא ל"מצווה אחת" שתכריע את הכף? האם לדון אדם לכף זכות היא המצווה שתכריע את מאזני הדין לכף הזכות? הרוצה לדקדק במניין המצוות, נענה לו שהכרעת חברך לכף זכות היא חלק ממצוות הוכח תוכיח את עמיתך. על צד החיוב כמובן. כך נראה </w:t>
      </w:r>
      <w:r w:rsidR="001B09F4">
        <w:rPr>
          <w:rFonts w:hint="cs"/>
          <w:rtl/>
        </w:rPr>
        <w:t>מהגמרא בברכות לעיל בסיפור על עלי וחנה</w:t>
      </w:r>
      <w:r w:rsidR="00227240">
        <w:rPr>
          <w:rFonts w:hint="cs"/>
          <w:rtl/>
        </w:rPr>
        <w:t xml:space="preserve"> וכך גם מצאנו במדרש </w:t>
      </w:r>
      <w:r>
        <w:rPr>
          <w:rFonts w:hint="cs"/>
          <w:rtl/>
        </w:rPr>
        <w:t>פתרון תורה</w:t>
      </w:r>
      <w:r w:rsidR="00227240">
        <w:rPr>
          <w:rFonts w:hint="cs"/>
          <w:rtl/>
        </w:rPr>
        <w:t xml:space="preserve"> פרשת אלה הדברים</w:t>
      </w:r>
      <w:r>
        <w:rPr>
          <w:rFonts w:hint="cs"/>
          <w:rtl/>
        </w:rPr>
        <w:t>. אבל באמת אין צורך בדקדוק זה</w:t>
      </w:r>
      <w:r w:rsidR="00227240">
        <w:rPr>
          <w:rFonts w:hint="cs"/>
          <w:rtl/>
        </w:rPr>
        <w:t xml:space="preserve"> ובחיפוש אחר המצווה הספציפית ב</w:t>
      </w:r>
      <w:r w:rsidR="00943FEE">
        <w:rPr>
          <w:rFonts w:hint="cs"/>
          <w:rtl/>
        </w:rPr>
        <w:t>מ</w:t>
      </w:r>
      <w:r w:rsidR="00227240">
        <w:rPr>
          <w:rFonts w:hint="cs"/>
          <w:rtl/>
        </w:rPr>
        <w:t>ניין תרי"ג מצוות (יש כידוע מספר שיטות במניין זה)</w:t>
      </w:r>
      <w:r>
        <w:rPr>
          <w:rFonts w:hint="cs"/>
          <w:rtl/>
        </w:rPr>
        <w:t>. פשיטא שלדון את חברך לכף זכות היא מצווה שאין למעלה הימנה</w:t>
      </w:r>
      <w:r w:rsidR="00227240">
        <w:rPr>
          <w:rFonts w:hint="cs"/>
          <w:rtl/>
        </w:rPr>
        <w:t xml:space="preserve">, ואין כמותה </w:t>
      </w:r>
      <w:r>
        <w:rPr>
          <w:rFonts w:hint="cs"/>
          <w:rtl/>
        </w:rPr>
        <w:t>להכריע את כף המאזניים של היחיד ושל הציבור כולו לכף זכות. הקב"ה רואה שאנו דנים את חברינו לכף זכות, ואף הוא עושה כן. ולוואי שנזכה ל</w:t>
      </w:r>
      <w:r w:rsidR="00943FEE">
        <w:rPr>
          <w:rFonts w:hint="cs"/>
          <w:rtl/>
        </w:rPr>
        <w:t xml:space="preserve">דון את חברינו לכף זכות </w:t>
      </w:r>
      <w:r w:rsidR="00227240">
        <w:rPr>
          <w:rFonts w:hint="cs"/>
          <w:rtl/>
        </w:rPr>
        <w:t xml:space="preserve">לא רק ביום הכיפורים, כי אם </w:t>
      </w:r>
      <w:r>
        <w:rPr>
          <w:rFonts w:hint="cs"/>
          <w:rtl/>
        </w:rPr>
        <w:t>בכל ימות השנה.</w:t>
      </w:r>
      <w:r w:rsidR="00943FEE">
        <w:rPr>
          <w:rFonts w:hint="cs"/>
          <w:rtl/>
        </w:rPr>
        <w:t xml:space="preserve"> וכתפילתו של ר' אלימלך מליז'נסק: "תן בלבנו שנראה כל אחד מעלת חברינו ולא חסרונם".</w:t>
      </w:r>
    </w:p>
  </w:footnote>
  <w:footnote w:id="21">
    <w:p w14:paraId="42B3C608" w14:textId="77777777" w:rsidR="00D258CA" w:rsidRDefault="00D258CA">
      <w:pPr>
        <w:pStyle w:val="a3"/>
        <w:rPr>
          <w:rFonts w:hint="cs"/>
        </w:rPr>
      </w:pPr>
      <w:r>
        <w:rPr>
          <w:rStyle w:val="a5"/>
        </w:rPr>
        <w:footnoteRef/>
      </w:r>
      <w:r>
        <w:rPr>
          <w:rtl/>
        </w:rPr>
        <w:t xml:space="preserve"> </w:t>
      </w:r>
      <w:r>
        <w:rPr>
          <w:rFonts w:hint="cs"/>
          <w:rtl/>
        </w:rPr>
        <w:t>לרוויה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33F41" w14:textId="77777777" w:rsidR="00D258CA" w:rsidRDefault="00D258CA" w:rsidP="00642FC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27240">
      <w:rPr>
        <w:rtl/>
        <w:lang w:eastAsia="en-US"/>
      </w:rPr>
      <w:t>יום הכיפורים</w:t>
    </w:r>
    <w:r>
      <w:rPr>
        <w:rFonts w:cs="Miriam"/>
        <w:rtl/>
      </w:rPr>
      <w:fldChar w:fldCharType="end"/>
    </w:r>
    <w:r>
      <w:rPr>
        <w:rtl/>
        <w:lang w:eastAsia="en-US"/>
      </w:rPr>
      <w:tab/>
      <w:t>תש"</w:t>
    </w:r>
    <w:r>
      <w:rPr>
        <w:rFonts w:hint="cs"/>
        <w:rtl/>
        <w:lang w:eastAsia="en-US"/>
      </w:rPr>
      <w:t>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7BFDC" w14:textId="77777777" w:rsidR="00D258CA" w:rsidRDefault="00D258C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27240">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5541A">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13BBB"/>
    <w:rsid w:val="00024DF2"/>
    <w:rsid w:val="0002739C"/>
    <w:rsid w:val="0002763E"/>
    <w:rsid w:val="00035746"/>
    <w:rsid w:val="0005541A"/>
    <w:rsid w:val="000A4796"/>
    <w:rsid w:val="000B2C59"/>
    <w:rsid w:val="000B3B81"/>
    <w:rsid w:val="00143A0E"/>
    <w:rsid w:val="00172C97"/>
    <w:rsid w:val="001852B1"/>
    <w:rsid w:val="0019010E"/>
    <w:rsid w:val="00196C5B"/>
    <w:rsid w:val="001A1208"/>
    <w:rsid w:val="001A54C3"/>
    <w:rsid w:val="001B09F4"/>
    <w:rsid w:val="001B28DD"/>
    <w:rsid w:val="001F73E4"/>
    <w:rsid w:val="00227240"/>
    <w:rsid w:val="00230B63"/>
    <w:rsid w:val="00245FE0"/>
    <w:rsid w:val="00291291"/>
    <w:rsid w:val="002C0EC5"/>
    <w:rsid w:val="002E07E8"/>
    <w:rsid w:val="002F28B3"/>
    <w:rsid w:val="003245CE"/>
    <w:rsid w:val="00381C8A"/>
    <w:rsid w:val="003902D8"/>
    <w:rsid w:val="00397EDA"/>
    <w:rsid w:val="003C4F5A"/>
    <w:rsid w:val="003E21DF"/>
    <w:rsid w:val="004561F1"/>
    <w:rsid w:val="00466F20"/>
    <w:rsid w:val="00494A48"/>
    <w:rsid w:val="004A24E3"/>
    <w:rsid w:val="004A3761"/>
    <w:rsid w:val="004B5035"/>
    <w:rsid w:val="004D4B8B"/>
    <w:rsid w:val="004D6013"/>
    <w:rsid w:val="004E05CA"/>
    <w:rsid w:val="004F2005"/>
    <w:rsid w:val="00552D2E"/>
    <w:rsid w:val="005B2238"/>
    <w:rsid w:val="005D0E4D"/>
    <w:rsid w:val="006076BB"/>
    <w:rsid w:val="00642FC9"/>
    <w:rsid w:val="00660225"/>
    <w:rsid w:val="006936B7"/>
    <w:rsid w:val="0069710D"/>
    <w:rsid w:val="006C2A91"/>
    <w:rsid w:val="006F4666"/>
    <w:rsid w:val="0075206B"/>
    <w:rsid w:val="00760769"/>
    <w:rsid w:val="00786B92"/>
    <w:rsid w:val="00794849"/>
    <w:rsid w:val="00885021"/>
    <w:rsid w:val="008C07F4"/>
    <w:rsid w:val="008C5B02"/>
    <w:rsid w:val="008F3A3C"/>
    <w:rsid w:val="009359AD"/>
    <w:rsid w:val="00943FEE"/>
    <w:rsid w:val="0098277D"/>
    <w:rsid w:val="009C1F57"/>
    <w:rsid w:val="00A2045A"/>
    <w:rsid w:val="00A25851"/>
    <w:rsid w:val="00A27A15"/>
    <w:rsid w:val="00A41F1F"/>
    <w:rsid w:val="00A829E6"/>
    <w:rsid w:val="00AC130C"/>
    <w:rsid w:val="00AC6D2C"/>
    <w:rsid w:val="00AC76EF"/>
    <w:rsid w:val="00AD030E"/>
    <w:rsid w:val="00AD4944"/>
    <w:rsid w:val="00AD61AB"/>
    <w:rsid w:val="00AE604D"/>
    <w:rsid w:val="00AE7811"/>
    <w:rsid w:val="00B64011"/>
    <w:rsid w:val="00B938F6"/>
    <w:rsid w:val="00BD1CFC"/>
    <w:rsid w:val="00BE7329"/>
    <w:rsid w:val="00C01963"/>
    <w:rsid w:val="00C03FFC"/>
    <w:rsid w:val="00C30720"/>
    <w:rsid w:val="00C84B01"/>
    <w:rsid w:val="00CD26C4"/>
    <w:rsid w:val="00D07387"/>
    <w:rsid w:val="00D110FD"/>
    <w:rsid w:val="00D258CA"/>
    <w:rsid w:val="00D27334"/>
    <w:rsid w:val="00D3397C"/>
    <w:rsid w:val="00D47327"/>
    <w:rsid w:val="00D53F15"/>
    <w:rsid w:val="00D63490"/>
    <w:rsid w:val="00D836BA"/>
    <w:rsid w:val="00DB3394"/>
    <w:rsid w:val="00DB360B"/>
    <w:rsid w:val="00DF517B"/>
    <w:rsid w:val="00E11870"/>
    <w:rsid w:val="00E23E7B"/>
    <w:rsid w:val="00E6152D"/>
    <w:rsid w:val="00E63B49"/>
    <w:rsid w:val="00F02DAE"/>
    <w:rsid w:val="00F06E79"/>
    <w:rsid w:val="00F27D73"/>
    <w:rsid w:val="00F4358E"/>
    <w:rsid w:val="00F5010C"/>
    <w:rsid w:val="00F700CA"/>
    <w:rsid w:val="00F760DA"/>
    <w:rsid w:val="00F85A25"/>
    <w:rsid w:val="00F86E42"/>
    <w:rsid w:val="00FC6E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6120025"/>
  <w15:chartTrackingRefBased/>
  <w15:docId w15:val="{5FC30294-A83B-4726-B160-5A03B8A8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541A"/>
    <w:pPr>
      <w:bidi/>
    </w:pPr>
    <w:rPr>
      <w:rFonts w:cs="Narkisim"/>
      <w:sz w:val="22"/>
      <w:szCs w:val="22"/>
      <w:lang w:eastAsia="he-IL"/>
    </w:rPr>
  </w:style>
  <w:style w:type="paragraph" w:styleId="1">
    <w:name w:val="heading 1"/>
    <w:basedOn w:val="a"/>
    <w:next w:val="a"/>
    <w:link w:val="10"/>
    <w:qFormat/>
    <w:rsid w:val="0005541A"/>
    <w:pPr>
      <w:keepNext/>
      <w:tabs>
        <w:tab w:val="right" w:pos="9469"/>
      </w:tabs>
      <w:jc w:val="both"/>
      <w:outlineLvl w:val="0"/>
    </w:pPr>
    <w:rPr>
      <w:rFonts w:cs="David"/>
      <w:b/>
      <w:bCs/>
      <w:szCs w:val="28"/>
    </w:rPr>
  </w:style>
  <w:style w:type="character" w:default="1" w:styleId="a0">
    <w:name w:val="Default Paragraph Font"/>
    <w:uiPriority w:val="1"/>
    <w:semiHidden/>
    <w:unhideWhenUsed/>
    <w:rsid w:val="0005541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5541A"/>
  </w:style>
  <w:style w:type="paragraph" w:styleId="a3">
    <w:name w:val="footnote text"/>
    <w:basedOn w:val="a"/>
    <w:link w:val="a4"/>
    <w:rsid w:val="0005541A"/>
    <w:pPr>
      <w:ind w:left="170" w:hanging="170"/>
      <w:jc w:val="both"/>
    </w:pPr>
    <w:rPr>
      <w:sz w:val="20"/>
      <w:szCs w:val="20"/>
    </w:rPr>
  </w:style>
  <w:style w:type="character" w:styleId="a5">
    <w:name w:val="footnote reference"/>
    <w:semiHidden/>
    <w:rsid w:val="0005541A"/>
    <w:rPr>
      <w:vertAlign w:val="superscript"/>
    </w:rPr>
  </w:style>
  <w:style w:type="paragraph" w:styleId="a6">
    <w:name w:val="header"/>
    <w:basedOn w:val="a"/>
    <w:link w:val="a7"/>
    <w:rsid w:val="0005541A"/>
    <w:pPr>
      <w:tabs>
        <w:tab w:val="center" w:pos="4153"/>
        <w:tab w:val="right" w:pos="8306"/>
      </w:tabs>
    </w:pPr>
  </w:style>
  <w:style w:type="paragraph" w:styleId="a8">
    <w:name w:val="footer"/>
    <w:basedOn w:val="a"/>
    <w:link w:val="a9"/>
    <w:rsid w:val="0005541A"/>
    <w:pPr>
      <w:tabs>
        <w:tab w:val="center" w:pos="4153"/>
        <w:tab w:val="right" w:pos="8306"/>
      </w:tabs>
    </w:pPr>
  </w:style>
  <w:style w:type="paragraph" w:customStyle="1" w:styleId="aa">
    <w:name w:val="כותרת"/>
    <w:basedOn w:val="a"/>
    <w:rsid w:val="0005541A"/>
    <w:pPr>
      <w:spacing w:before="240" w:line="320" w:lineRule="atLeast"/>
      <w:jc w:val="center"/>
    </w:pPr>
    <w:rPr>
      <w:rFonts w:cs="David"/>
      <w:b/>
      <w:bCs/>
      <w:spacing w:val="20"/>
      <w:szCs w:val="32"/>
    </w:rPr>
  </w:style>
  <w:style w:type="paragraph" w:customStyle="1" w:styleId="ab">
    <w:name w:val="כותרת קטע"/>
    <w:basedOn w:val="a"/>
    <w:rsid w:val="0005541A"/>
    <w:pPr>
      <w:spacing w:before="240" w:line="300" w:lineRule="atLeast"/>
    </w:pPr>
    <w:rPr>
      <w:rFonts w:cs="Arial"/>
      <w:b/>
      <w:bCs/>
      <w:szCs w:val="24"/>
    </w:rPr>
  </w:style>
  <w:style w:type="paragraph" w:customStyle="1" w:styleId="ac">
    <w:name w:val="מקור"/>
    <w:basedOn w:val="a"/>
    <w:rsid w:val="0005541A"/>
    <w:pPr>
      <w:spacing w:line="320" w:lineRule="atLeast"/>
      <w:jc w:val="both"/>
    </w:pPr>
    <w:rPr>
      <w:rFonts w:cs="David"/>
      <w:szCs w:val="24"/>
    </w:rPr>
  </w:style>
  <w:style w:type="paragraph" w:customStyle="1" w:styleId="ad">
    <w:name w:val="מחלקי המים"/>
    <w:basedOn w:val="a"/>
    <w:rsid w:val="0005541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5541A"/>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05541A"/>
    <w:rPr>
      <w:rFonts w:ascii="Tahoma" w:hAnsi="Tahoma" w:cs="Tahoma"/>
      <w:sz w:val="16"/>
      <w:szCs w:val="16"/>
    </w:rPr>
  </w:style>
  <w:style w:type="character" w:styleId="af1">
    <w:name w:val="page number"/>
    <w:basedOn w:val="a0"/>
    <w:rsid w:val="00024DF2"/>
  </w:style>
  <w:style w:type="character" w:customStyle="1" w:styleId="a4">
    <w:name w:val="טקסט הערת שוליים תו"/>
    <w:link w:val="a3"/>
    <w:rsid w:val="0005541A"/>
    <w:rPr>
      <w:rFonts w:cs="Narkisim"/>
      <w:lang w:eastAsia="he-IL"/>
    </w:rPr>
  </w:style>
  <w:style w:type="character" w:customStyle="1" w:styleId="10">
    <w:name w:val="כותרת 1 תו"/>
    <w:link w:val="1"/>
    <w:rsid w:val="0005541A"/>
    <w:rPr>
      <w:rFonts w:cs="David"/>
      <w:b/>
      <w:bCs/>
      <w:sz w:val="22"/>
      <w:szCs w:val="28"/>
      <w:lang w:eastAsia="he-IL"/>
    </w:rPr>
  </w:style>
  <w:style w:type="character" w:customStyle="1" w:styleId="a7">
    <w:name w:val="כותרת עליונה תו"/>
    <w:link w:val="a6"/>
    <w:rsid w:val="0005541A"/>
    <w:rPr>
      <w:rFonts w:cs="Narkisim"/>
      <w:sz w:val="22"/>
      <w:szCs w:val="22"/>
      <w:lang w:eastAsia="he-IL"/>
    </w:rPr>
  </w:style>
  <w:style w:type="character" w:customStyle="1" w:styleId="a9">
    <w:name w:val="כותרת תחתונה תו"/>
    <w:link w:val="a8"/>
    <w:rsid w:val="0005541A"/>
    <w:rPr>
      <w:rFonts w:cs="Narkisim"/>
      <w:sz w:val="22"/>
      <w:szCs w:val="22"/>
      <w:lang w:eastAsia="he-IL"/>
    </w:rPr>
  </w:style>
  <w:style w:type="character" w:customStyle="1" w:styleId="af0">
    <w:name w:val="טקסט בלונים תו"/>
    <w:link w:val="af"/>
    <w:uiPriority w:val="99"/>
    <w:semiHidden/>
    <w:rsid w:val="0005541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5%d7%9b%d7%97-%d7%aa%d7%95%d7%9b%d7%99%d7%97-%d7%90%d7%aa-%d7%a2%d7%9e%d7%99%d7%aa%d7%9a" TargetMode="External"/><Relationship Id="rId2" Type="http://schemas.openxmlformats.org/officeDocument/2006/relationships/hyperlink" Target="https://www.mayim.org.il/?meyuhadim=%D7%A8-%D7%90%D7%9C%D7%99%D7%A2%D7%96%D7%A8-%D7%91%D7%9F-%D7%94%D7%95%D7%A8%D7%A7%D7%A0%D7%95%D7%A1-%D7%97%D7%9E%D7%99%D7%A9%D7%94-%D7%A4%D7%A8%D7%A7%D7%99%D7%9D-%D7%95%D7%90%D7%A4%D7%99" TargetMode="External"/><Relationship Id="rId1" Type="http://schemas.openxmlformats.org/officeDocument/2006/relationships/hyperlink" Target="https://www.mayim.org.il/?parasha=%D7%93%D7%A8%D7%9B%D7%99-%D7%A9%D7%9C%D7%95%D7%9D" TargetMode="External"/><Relationship Id="rId4" Type="http://schemas.openxmlformats.org/officeDocument/2006/relationships/hyperlink" Target="http://www.mayim.org.il/?holiday=%d7%aa%d7%a4%d7%99%d7%9c%d7%aa-%d7%97%d7%a0%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626</Words>
  <Characters>3133</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לכף זכות</vt:lpstr>
      <vt:lpstr>לכף זכות</vt:lpstr>
    </vt:vector>
  </TitlesOfParts>
  <Company> </Company>
  <LinksUpToDate>false</LinksUpToDate>
  <CharactersWithSpaces>3752</CharactersWithSpaces>
  <SharedDoc>false</SharedDoc>
  <HLinks>
    <vt:vector size="24" baseType="variant">
      <vt:variant>
        <vt:i4>2687103</vt:i4>
      </vt:variant>
      <vt:variant>
        <vt:i4>9</vt:i4>
      </vt:variant>
      <vt:variant>
        <vt:i4>0</vt:i4>
      </vt:variant>
      <vt:variant>
        <vt:i4>5</vt:i4>
      </vt:variant>
      <vt:variant>
        <vt:lpwstr>http://www.mayim.org.il/?holiday=%d7%aa%d7%a4%d7%99%d7%9c%d7%aa-%d7%97%d7%a0%d7%94</vt:lpwstr>
      </vt:variant>
      <vt:variant>
        <vt:lpwstr/>
      </vt:variant>
      <vt:variant>
        <vt:i4>131164</vt:i4>
      </vt:variant>
      <vt:variant>
        <vt:i4>6</vt:i4>
      </vt:variant>
      <vt:variant>
        <vt:i4>0</vt:i4>
      </vt:variant>
      <vt:variant>
        <vt:i4>5</vt:i4>
      </vt:variant>
      <vt:variant>
        <vt:lpwstr>http://www.mayim.org.il/?parasha=%d7%94%d7%95%d7%9b%d7%97-%d7%aa%d7%95%d7%9b%d7%99%d7%97-%d7%90%d7%aa-%d7%a2%d7%9e%d7%99%d7%aa%d7%9a</vt:lpwstr>
      </vt:variant>
      <vt:variant>
        <vt:lpwstr/>
      </vt:variant>
      <vt:variant>
        <vt:i4>3145853</vt:i4>
      </vt:variant>
      <vt:variant>
        <vt:i4>3</vt:i4>
      </vt:variant>
      <vt:variant>
        <vt:i4>0</vt:i4>
      </vt:variant>
      <vt:variant>
        <vt:i4>5</vt:i4>
      </vt:variant>
      <vt:variant>
        <vt:lpwstr>https://www.mayim.org.il/?meyuhadim=%D7%A8-%D7%90%D7%9C%D7%99%D7%A2%D7%96%D7%A8-%D7%91%D7%9F-%D7%94%D7%95%D7%A8%D7%A7%D7%A0%D7%95%D7%A1-%D7%97%D7%9E%D7%99%D7%A9%D7%94-%D7%A4%D7%A8%D7%A7%D7%99%D7%9D-%D7%95%D7%90%D7%A4%D7%99</vt:lpwstr>
      </vt:variant>
      <vt:variant>
        <vt:lpwstr/>
      </vt:variant>
      <vt:variant>
        <vt:i4>3932285</vt:i4>
      </vt:variant>
      <vt:variant>
        <vt:i4>0</vt:i4>
      </vt:variant>
      <vt:variant>
        <vt:i4>0</vt:i4>
      </vt:variant>
      <vt:variant>
        <vt:i4>5</vt:i4>
      </vt:variant>
      <vt:variant>
        <vt:lpwstr>https://www.mayim.org.il/?parasha=%D7%93%D7%A8%D7%9B%D7%99-%D7%A9%D7%9C%D7%95%D7%9D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לכף זכות</dc:title>
  <dc:subject>יום הכיפורים</dc:subject>
  <dc:creator>Asher Yuval</dc:creator>
  <cp:keywords/>
  <dc:description/>
  <cp:lastModifiedBy>Shimon Afek</cp:lastModifiedBy>
  <cp:revision>2</cp:revision>
  <cp:lastPrinted>2009-09-27T05:33:00Z</cp:lastPrinted>
  <dcterms:created xsi:type="dcterms:W3CDTF">2020-09-18T06:46:00Z</dcterms:created>
  <dcterms:modified xsi:type="dcterms:W3CDTF">2020-09-18T06:46:00Z</dcterms:modified>
  <cp:category>תשס"ג</cp:category>
</cp:coreProperties>
</file>