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2D513" w14:textId="77777777" w:rsidR="001E7AE7" w:rsidRDefault="006E64D6" w:rsidP="009B67F8">
      <w:pPr>
        <w:pStyle w:val="aa"/>
        <w:rPr>
          <w:rFonts w:hint="cs"/>
          <w:rtl/>
        </w:rPr>
      </w:pPr>
      <w:r>
        <w:rPr>
          <w:rFonts w:hint="cs"/>
          <w:rtl/>
        </w:rPr>
        <w:t xml:space="preserve">מפני </w:t>
      </w:r>
      <w:r w:rsidR="00154599">
        <w:rPr>
          <w:rFonts w:hint="cs"/>
          <w:rtl/>
        </w:rPr>
        <w:t>דר</w:t>
      </w:r>
      <w:r w:rsidR="00C8158C">
        <w:rPr>
          <w:rFonts w:hint="cs"/>
          <w:rtl/>
        </w:rPr>
        <w:t>כ</w:t>
      </w:r>
      <w:r w:rsidR="00154599">
        <w:rPr>
          <w:rFonts w:hint="cs"/>
          <w:rtl/>
        </w:rPr>
        <w:t xml:space="preserve">י </w:t>
      </w:r>
      <w:r w:rsidR="00C8158C">
        <w:rPr>
          <w:rFonts w:hint="cs"/>
          <w:rtl/>
        </w:rPr>
        <w:t>שלום</w:t>
      </w:r>
    </w:p>
    <w:p w14:paraId="35D508F4" w14:textId="77777777" w:rsidR="00DC5D62" w:rsidRDefault="000A082E" w:rsidP="00F92C88">
      <w:pPr>
        <w:pStyle w:val="ac"/>
        <w:spacing w:before="240"/>
        <w:rPr>
          <w:rFonts w:cs="Narkisim" w:hint="cs"/>
          <w:szCs w:val="22"/>
          <w:rtl/>
        </w:rPr>
      </w:pPr>
      <w:r w:rsidRPr="000A082E">
        <w:rPr>
          <w:rFonts w:cs="Narkisim" w:hint="cs"/>
          <w:b/>
          <w:bCs/>
          <w:szCs w:val="22"/>
          <w:rtl/>
        </w:rPr>
        <w:t>מים ראשונים:</w:t>
      </w:r>
      <w:r w:rsidRPr="000A082E">
        <w:rPr>
          <w:rFonts w:cs="Narkisim" w:hint="cs"/>
          <w:szCs w:val="22"/>
          <w:rtl/>
        </w:rPr>
        <w:t xml:space="preserve"> </w:t>
      </w:r>
      <w:r w:rsidR="00C8158C">
        <w:rPr>
          <w:rFonts w:cs="Narkisim" w:hint="cs"/>
          <w:szCs w:val="22"/>
          <w:rtl/>
        </w:rPr>
        <w:t xml:space="preserve">קנאות פנחס </w:t>
      </w:r>
      <w:r w:rsidR="00F76001">
        <w:rPr>
          <w:rFonts w:cs="Narkisim" w:hint="cs"/>
          <w:szCs w:val="22"/>
          <w:rtl/>
        </w:rPr>
        <w:t>שזורה בתורה</w:t>
      </w:r>
      <w:r w:rsidR="00C8158C">
        <w:rPr>
          <w:rFonts w:cs="Narkisim" w:hint="cs"/>
          <w:szCs w:val="22"/>
          <w:rtl/>
        </w:rPr>
        <w:t xml:space="preserve"> בברית השלום, ככתוב בראש הפרשה: "</w:t>
      </w:r>
      <w:r w:rsidR="00C8158C" w:rsidRPr="00C8158C">
        <w:rPr>
          <w:rFonts w:cs="Narkisim"/>
          <w:szCs w:val="22"/>
          <w:rtl/>
        </w:rPr>
        <w:t>פִּינְחָס בֶּן אֶלְעָזָר בֶּן אַהֲרֹן הַכֹּהֵן הֵשִׁיב אֶת חֲמָתִי מֵעַל בְּנֵי יִשְׂרָאֵל בְּקַנְאוֹ אֶת קִנְאָתִי בְּתוֹכָם</w:t>
      </w:r>
      <w:r w:rsidR="00C8158C" w:rsidRPr="00C8158C">
        <w:rPr>
          <w:rFonts w:cs="Narkisim" w:hint="cs"/>
          <w:szCs w:val="22"/>
          <w:rtl/>
        </w:rPr>
        <w:t xml:space="preserve">... </w:t>
      </w:r>
      <w:r w:rsidR="00C8158C" w:rsidRPr="00C8158C">
        <w:rPr>
          <w:rFonts w:cs="Narkisim"/>
          <w:szCs w:val="22"/>
          <w:rtl/>
        </w:rPr>
        <w:t>לָכֵן אֱמֹר הִנְנִי נֹתֵן לוֹ אֶת בְּרִיתִי שָׁלוֹם</w:t>
      </w:r>
      <w:r w:rsidR="00C8158C">
        <w:rPr>
          <w:rFonts w:cs="Narkisim" w:hint="cs"/>
          <w:szCs w:val="22"/>
          <w:rtl/>
        </w:rPr>
        <w:t xml:space="preserve">". </w:t>
      </w:r>
      <w:r w:rsidR="00F76001">
        <w:rPr>
          <w:rFonts w:cs="Narkisim" w:hint="cs"/>
          <w:szCs w:val="22"/>
          <w:rtl/>
        </w:rPr>
        <w:t>וחוזרת</w:t>
      </w:r>
      <w:r w:rsidR="00C8158C">
        <w:rPr>
          <w:rFonts w:cs="Narkisim" w:hint="cs"/>
          <w:szCs w:val="22"/>
          <w:rtl/>
        </w:rPr>
        <w:t xml:space="preserve"> ברכ</w:t>
      </w:r>
      <w:r w:rsidR="00C31158">
        <w:rPr>
          <w:rFonts w:cs="Narkisim" w:hint="cs"/>
          <w:szCs w:val="22"/>
          <w:rtl/>
        </w:rPr>
        <w:t>ת-ברית</w:t>
      </w:r>
      <w:r w:rsidR="00C8158C">
        <w:rPr>
          <w:rFonts w:cs="Narkisim" w:hint="cs"/>
          <w:szCs w:val="22"/>
          <w:rtl/>
        </w:rPr>
        <w:t xml:space="preserve"> זו לכהנים </w:t>
      </w:r>
      <w:r w:rsidR="00F76001">
        <w:rPr>
          <w:rFonts w:cs="Narkisim" w:hint="cs"/>
          <w:szCs w:val="22"/>
          <w:rtl/>
        </w:rPr>
        <w:t xml:space="preserve">(הפעם אולי בלי הקנאות) </w:t>
      </w:r>
      <w:r w:rsidR="00C8158C">
        <w:rPr>
          <w:rFonts w:cs="Narkisim" w:hint="cs"/>
          <w:szCs w:val="22"/>
          <w:rtl/>
        </w:rPr>
        <w:t>בתחילת בית שני בדברי הנביא מלאכי (ב ה): "</w:t>
      </w:r>
      <w:r w:rsidR="00C8158C" w:rsidRPr="00C8158C">
        <w:rPr>
          <w:rFonts w:cs="Narkisim" w:hint="eastAsia"/>
          <w:szCs w:val="22"/>
          <w:rtl/>
        </w:rPr>
        <w:t>בְּרִיתִי</w:t>
      </w:r>
      <w:r w:rsidR="00C8158C" w:rsidRPr="00C8158C">
        <w:rPr>
          <w:rFonts w:cs="Narkisim"/>
          <w:szCs w:val="22"/>
          <w:rtl/>
        </w:rPr>
        <w:t xml:space="preserve"> </w:t>
      </w:r>
      <w:r w:rsidR="00C8158C" w:rsidRPr="00C8158C">
        <w:rPr>
          <w:rFonts w:cs="Narkisim" w:hint="eastAsia"/>
          <w:szCs w:val="22"/>
          <w:rtl/>
        </w:rPr>
        <w:t>הָיְתָה</w:t>
      </w:r>
      <w:r w:rsidR="00C8158C" w:rsidRPr="00C8158C">
        <w:rPr>
          <w:rFonts w:cs="Narkisim"/>
          <w:szCs w:val="22"/>
          <w:rtl/>
        </w:rPr>
        <w:t xml:space="preserve"> </w:t>
      </w:r>
      <w:r w:rsidR="00C8158C" w:rsidRPr="00C8158C">
        <w:rPr>
          <w:rFonts w:cs="Narkisim" w:hint="eastAsia"/>
          <w:szCs w:val="22"/>
          <w:rtl/>
        </w:rPr>
        <w:t>אִתּוֹ</w:t>
      </w:r>
      <w:r w:rsidR="00C8158C" w:rsidRPr="00C8158C">
        <w:rPr>
          <w:rFonts w:cs="Narkisim"/>
          <w:szCs w:val="22"/>
          <w:rtl/>
        </w:rPr>
        <w:t xml:space="preserve"> </w:t>
      </w:r>
      <w:r w:rsidR="00C8158C" w:rsidRPr="00C8158C">
        <w:rPr>
          <w:rFonts w:cs="Narkisim" w:hint="eastAsia"/>
          <w:szCs w:val="22"/>
          <w:rtl/>
        </w:rPr>
        <w:t>הַחַיִּים</w:t>
      </w:r>
      <w:r w:rsidR="00C8158C" w:rsidRPr="00C8158C">
        <w:rPr>
          <w:rFonts w:cs="Narkisim"/>
          <w:szCs w:val="22"/>
          <w:rtl/>
        </w:rPr>
        <w:t xml:space="preserve"> </w:t>
      </w:r>
      <w:r w:rsidR="00C8158C" w:rsidRPr="00C8158C">
        <w:rPr>
          <w:rFonts w:cs="Narkisim" w:hint="eastAsia"/>
          <w:szCs w:val="22"/>
          <w:rtl/>
        </w:rPr>
        <w:t>וְהַשָּׁלוֹם</w:t>
      </w:r>
      <w:r w:rsidR="00C8158C" w:rsidRPr="00C8158C">
        <w:rPr>
          <w:rFonts w:cs="Narkisim"/>
          <w:szCs w:val="22"/>
          <w:rtl/>
        </w:rPr>
        <w:t xml:space="preserve"> </w:t>
      </w:r>
      <w:r w:rsidR="00C8158C" w:rsidRPr="00C8158C">
        <w:rPr>
          <w:rFonts w:cs="Narkisim" w:hint="eastAsia"/>
          <w:szCs w:val="22"/>
          <w:rtl/>
        </w:rPr>
        <w:t>וָאֶתְּנֵם</w:t>
      </w:r>
      <w:r w:rsidR="00C8158C" w:rsidRPr="00C8158C">
        <w:rPr>
          <w:rFonts w:cs="Narkisim"/>
          <w:szCs w:val="22"/>
          <w:rtl/>
        </w:rPr>
        <w:t xml:space="preserve"> </w:t>
      </w:r>
      <w:r w:rsidR="00C8158C" w:rsidRPr="00C8158C">
        <w:rPr>
          <w:rFonts w:cs="Narkisim" w:hint="eastAsia"/>
          <w:szCs w:val="22"/>
          <w:rtl/>
        </w:rPr>
        <w:t>לוֹ</w:t>
      </w:r>
      <w:r w:rsidR="00C8158C" w:rsidRPr="00C8158C">
        <w:rPr>
          <w:rFonts w:cs="Narkisim"/>
          <w:szCs w:val="22"/>
          <w:rtl/>
        </w:rPr>
        <w:t xml:space="preserve"> </w:t>
      </w:r>
      <w:r w:rsidR="00C8158C" w:rsidRPr="00C8158C">
        <w:rPr>
          <w:rFonts w:cs="Narkisim" w:hint="eastAsia"/>
          <w:szCs w:val="22"/>
          <w:rtl/>
        </w:rPr>
        <w:t>מוֹרָא</w:t>
      </w:r>
      <w:r w:rsidR="00C8158C" w:rsidRPr="00C8158C">
        <w:rPr>
          <w:rFonts w:cs="Narkisim"/>
          <w:szCs w:val="22"/>
          <w:rtl/>
        </w:rPr>
        <w:t xml:space="preserve"> </w:t>
      </w:r>
      <w:r w:rsidR="00C8158C" w:rsidRPr="00C8158C">
        <w:rPr>
          <w:rFonts w:cs="Narkisim" w:hint="eastAsia"/>
          <w:szCs w:val="22"/>
          <w:rtl/>
        </w:rPr>
        <w:t>וַיִּירָאֵנִי</w:t>
      </w:r>
      <w:r w:rsidR="00C8158C" w:rsidRPr="00C8158C">
        <w:rPr>
          <w:rFonts w:cs="Narkisim"/>
          <w:szCs w:val="22"/>
          <w:rtl/>
        </w:rPr>
        <w:t xml:space="preserve"> </w:t>
      </w:r>
      <w:r w:rsidR="00C8158C" w:rsidRPr="00C8158C">
        <w:rPr>
          <w:rFonts w:cs="Narkisim" w:hint="eastAsia"/>
          <w:szCs w:val="22"/>
          <w:rtl/>
        </w:rPr>
        <w:t>וּמִפְּנֵי</w:t>
      </w:r>
      <w:r w:rsidR="00C8158C" w:rsidRPr="00C8158C">
        <w:rPr>
          <w:rFonts w:cs="Narkisim"/>
          <w:szCs w:val="22"/>
          <w:rtl/>
        </w:rPr>
        <w:t xml:space="preserve"> </w:t>
      </w:r>
      <w:r w:rsidR="00C8158C" w:rsidRPr="00C8158C">
        <w:rPr>
          <w:rFonts w:cs="Narkisim" w:hint="eastAsia"/>
          <w:szCs w:val="22"/>
          <w:rtl/>
        </w:rPr>
        <w:t>שְׁמִי</w:t>
      </w:r>
      <w:r w:rsidR="00C8158C" w:rsidRPr="00C8158C">
        <w:rPr>
          <w:rFonts w:cs="Narkisim"/>
          <w:szCs w:val="22"/>
          <w:rtl/>
        </w:rPr>
        <w:t xml:space="preserve"> </w:t>
      </w:r>
      <w:r w:rsidR="00C8158C" w:rsidRPr="00C8158C">
        <w:rPr>
          <w:rFonts w:cs="Narkisim" w:hint="eastAsia"/>
          <w:szCs w:val="22"/>
          <w:rtl/>
        </w:rPr>
        <w:t>נִחַת</w:t>
      </w:r>
      <w:r w:rsidR="00C8158C" w:rsidRPr="00C8158C">
        <w:rPr>
          <w:rFonts w:cs="Narkisim"/>
          <w:szCs w:val="22"/>
          <w:rtl/>
        </w:rPr>
        <w:t xml:space="preserve"> </w:t>
      </w:r>
      <w:r w:rsidR="00C8158C" w:rsidRPr="00C8158C">
        <w:rPr>
          <w:rFonts w:cs="Narkisim" w:hint="eastAsia"/>
          <w:szCs w:val="22"/>
          <w:rtl/>
        </w:rPr>
        <w:t>הוּא</w:t>
      </w:r>
      <w:r w:rsidR="00C8158C">
        <w:rPr>
          <w:rFonts w:cs="Narkisim" w:hint="cs"/>
          <w:szCs w:val="22"/>
          <w:rtl/>
        </w:rPr>
        <w:t xml:space="preserve">". </w:t>
      </w:r>
      <w:r w:rsidR="00447831">
        <w:rPr>
          <w:rFonts w:cs="Narkisim" w:hint="cs"/>
          <w:szCs w:val="22"/>
          <w:rtl/>
        </w:rPr>
        <w:t xml:space="preserve">מכאן העיסוק הנרחב בשלום דווקא, אבל לא רק, בפרשת פנחס; ואף אנו שלחנו ידינו </w:t>
      </w:r>
      <w:r w:rsidR="00C8158C">
        <w:rPr>
          <w:rFonts w:cs="Narkisim" w:hint="cs"/>
          <w:szCs w:val="22"/>
          <w:rtl/>
        </w:rPr>
        <w:t>במוטיב השלום בפרשה זו בדברינו</w:t>
      </w:r>
      <w:r w:rsidR="004E3340">
        <w:rPr>
          <w:rFonts w:cs="Narkisim" w:hint="cs"/>
          <w:szCs w:val="22"/>
          <w:rtl/>
        </w:rPr>
        <w:t xml:space="preserve"> </w:t>
      </w:r>
      <w:hyperlink r:id="rId7" w:history="1">
        <w:r w:rsidR="004E3340" w:rsidRPr="009B67F8">
          <w:rPr>
            <w:rStyle w:val="Hyperlink"/>
            <w:rFonts w:cs="Narkisim" w:hint="cs"/>
            <w:szCs w:val="22"/>
            <w:rtl/>
          </w:rPr>
          <w:t>ברית שלום</w:t>
        </w:r>
      </w:hyperlink>
      <w:r w:rsidR="004E3340">
        <w:rPr>
          <w:rFonts w:cs="Narkisim" w:hint="cs"/>
          <w:szCs w:val="22"/>
          <w:rtl/>
        </w:rPr>
        <w:t>, ו</w:t>
      </w:r>
      <w:r w:rsidR="00C31158">
        <w:rPr>
          <w:rFonts w:cs="Narkisim" w:hint="cs"/>
          <w:szCs w:val="22"/>
          <w:rtl/>
        </w:rPr>
        <w:t>בדברינו</w:t>
      </w:r>
      <w:r w:rsidR="004E3340">
        <w:rPr>
          <w:rFonts w:cs="Narkisim" w:hint="cs"/>
          <w:szCs w:val="22"/>
          <w:rtl/>
        </w:rPr>
        <w:t xml:space="preserve"> </w:t>
      </w:r>
      <w:hyperlink r:id="rId8" w:history="1">
        <w:r w:rsidR="004E3340" w:rsidRPr="009B67F8">
          <w:rPr>
            <w:rStyle w:val="Hyperlink"/>
            <w:rFonts w:cs="Narkisim" w:hint="cs"/>
            <w:szCs w:val="22"/>
            <w:rtl/>
          </w:rPr>
          <w:t>ברית חיים ושלום</w:t>
        </w:r>
      </w:hyperlink>
      <w:r w:rsidR="004E3340">
        <w:rPr>
          <w:rFonts w:cs="Narkisim" w:hint="cs"/>
          <w:szCs w:val="22"/>
          <w:rtl/>
        </w:rPr>
        <w:t>. גם בפרשות אחרות לא נפקד מקומו של השלום</w:t>
      </w:r>
      <w:r w:rsidR="00447831">
        <w:rPr>
          <w:rFonts w:cs="Narkisim" w:hint="cs"/>
          <w:szCs w:val="22"/>
          <w:rtl/>
        </w:rPr>
        <w:t xml:space="preserve">. ראה </w:t>
      </w:r>
      <w:r w:rsidR="008D42C5">
        <w:rPr>
          <w:rFonts w:cs="Narkisim" w:hint="cs"/>
          <w:szCs w:val="22"/>
          <w:rtl/>
        </w:rPr>
        <w:t>דברינו</w:t>
      </w:r>
      <w:r w:rsidR="004E3340">
        <w:rPr>
          <w:rFonts w:cs="Narkisim" w:hint="cs"/>
          <w:szCs w:val="22"/>
          <w:rtl/>
        </w:rPr>
        <w:t xml:space="preserve">: </w:t>
      </w:r>
      <w:hyperlink r:id="rId9" w:history="1">
        <w:r w:rsidR="004E3340" w:rsidRPr="009B67F8">
          <w:rPr>
            <w:rStyle w:val="Hyperlink"/>
            <w:rFonts w:cs="Narkisim" w:hint="cs"/>
            <w:szCs w:val="22"/>
            <w:rtl/>
          </w:rPr>
          <w:t>וקראת לשלום</w:t>
        </w:r>
      </w:hyperlink>
      <w:r w:rsidR="004E3340">
        <w:rPr>
          <w:rFonts w:cs="Narkisim" w:hint="cs"/>
          <w:szCs w:val="22"/>
          <w:rtl/>
        </w:rPr>
        <w:t xml:space="preserve"> בפרשת שופטים, </w:t>
      </w:r>
      <w:hyperlink r:id="rId10" w:history="1">
        <w:r w:rsidR="004E3340" w:rsidRPr="009B67F8">
          <w:rPr>
            <w:rStyle w:val="Hyperlink"/>
            <w:rFonts w:cs="Narkisim" w:hint="cs"/>
            <w:szCs w:val="22"/>
            <w:rtl/>
          </w:rPr>
          <w:t>שלמי</w:t>
        </w:r>
        <w:r w:rsidR="009B67F8" w:rsidRPr="009B67F8">
          <w:rPr>
            <w:rStyle w:val="Hyperlink"/>
            <w:rFonts w:cs="Narkisim" w:hint="cs"/>
            <w:szCs w:val="22"/>
            <w:rtl/>
          </w:rPr>
          <w:t>ם</w:t>
        </w:r>
        <w:r w:rsidR="004E3340" w:rsidRPr="009B67F8">
          <w:rPr>
            <w:rStyle w:val="Hyperlink"/>
            <w:rFonts w:cs="Narkisim" w:hint="cs"/>
            <w:szCs w:val="22"/>
            <w:rtl/>
          </w:rPr>
          <w:t xml:space="preserve"> הם שלום</w:t>
        </w:r>
      </w:hyperlink>
      <w:r w:rsidR="004E3340">
        <w:rPr>
          <w:rFonts w:cs="Narkisim" w:hint="cs"/>
          <w:szCs w:val="22"/>
          <w:rtl/>
        </w:rPr>
        <w:t xml:space="preserve"> בפרשת צו, </w:t>
      </w:r>
      <w:hyperlink r:id="rId11" w:history="1">
        <w:r w:rsidR="004E3340" w:rsidRPr="009B67F8">
          <w:rPr>
            <w:rStyle w:val="Hyperlink"/>
            <w:rFonts w:cs="Narkisim" w:hint="cs"/>
            <w:szCs w:val="22"/>
            <w:rtl/>
          </w:rPr>
          <w:t>שלום בין איש ואשתו</w:t>
        </w:r>
      </w:hyperlink>
      <w:r w:rsidR="004E3340">
        <w:rPr>
          <w:rFonts w:cs="Narkisim" w:hint="cs"/>
          <w:szCs w:val="22"/>
          <w:rtl/>
        </w:rPr>
        <w:t xml:space="preserve"> בפרשת נשא ועוד.</w:t>
      </w:r>
      <w:r w:rsidR="00C8158C">
        <w:rPr>
          <w:rFonts w:cs="Narkisim" w:hint="cs"/>
          <w:szCs w:val="22"/>
          <w:rtl/>
        </w:rPr>
        <w:t xml:space="preserve"> </w:t>
      </w:r>
      <w:r w:rsidR="006E64D6">
        <w:rPr>
          <w:rFonts w:cs="Narkisim" w:hint="cs"/>
          <w:szCs w:val="22"/>
          <w:rtl/>
        </w:rPr>
        <w:t>הפעם נידרש לדברים שעושים או אין עושים</w:t>
      </w:r>
      <w:r w:rsidR="00C31158">
        <w:rPr>
          <w:rFonts w:cs="Narkisim" w:hint="cs"/>
          <w:szCs w:val="22"/>
          <w:rtl/>
        </w:rPr>
        <w:t xml:space="preserve">, לעתים גם נגד ההלכה - </w:t>
      </w:r>
      <w:r w:rsidR="006E64D6">
        <w:rPr>
          <w:rFonts w:cs="Narkisim" w:hint="cs"/>
          <w:szCs w:val="22"/>
          <w:rtl/>
        </w:rPr>
        <w:t xml:space="preserve">'מפני דרכי שלום'. </w:t>
      </w:r>
      <w:r w:rsidR="00F92C88">
        <w:rPr>
          <w:rFonts w:cs="Narkisim" w:hint="cs"/>
          <w:szCs w:val="22"/>
          <w:rtl/>
        </w:rPr>
        <w:t>ברית חיים ושלום כביכול כנגד ברית התורה.</w:t>
      </w:r>
    </w:p>
    <w:p w14:paraId="48C54451" w14:textId="77777777" w:rsidR="00607B01" w:rsidRDefault="00607B01" w:rsidP="00607B01">
      <w:pPr>
        <w:autoSpaceDE w:val="0"/>
        <w:autoSpaceDN w:val="0"/>
        <w:adjustRightInd w:val="0"/>
        <w:spacing w:before="240" w:line="320" w:lineRule="atLeast"/>
        <w:jc w:val="both"/>
        <w:rPr>
          <w:rFonts w:ascii="ResponsaTTF" w:hint="cs"/>
          <w:rtl/>
          <w:lang w:eastAsia="en-US"/>
        </w:rPr>
      </w:pPr>
      <w:r w:rsidRPr="00444259">
        <w:rPr>
          <w:rFonts w:ascii="ResponsaTTF" w:cs="David" w:hint="eastAsia"/>
          <w:b/>
          <w:bCs/>
          <w:sz w:val="24"/>
          <w:szCs w:val="24"/>
          <w:rtl/>
          <w:lang w:eastAsia="en-US"/>
        </w:rPr>
        <w:t>לָכֵן</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אֱמֹר</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הִנְנִי</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נֹתֵן</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לוֹ</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אֶת</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בְּרִיתִי</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שָׁלוֹם</w:t>
      </w:r>
      <w:r>
        <w:rPr>
          <w:rFonts w:ascii="ResponsaTTF" w:cs="David" w:hint="cs"/>
          <w:b/>
          <w:bCs/>
          <w:sz w:val="24"/>
          <w:szCs w:val="24"/>
          <w:rtl/>
          <w:lang w:eastAsia="en-US"/>
        </w:rPr>
        <w:t>:</w:t>
      </w:r>
      <w:r w:rsidRPr="00444259">
        <w:rPr>
          <w:rFonts w:ascii="ResponsaTTF" w:cs="David" w:hint="cs"/>
          <w:b/>
          <w:bCs/>
          <w:sz w:val="24"/>
          <w:szCs w:val="24"/>
          <w:rtl/>
          <w:lang w:eastAsia="en-US"/>
        </w:rPr>
        <w:t xml:space="preserve"> </w:t>
      </w:r>
      <w:r w:rsidRPr="00444259">
        <w:rPr>
          <w:rFonts w:ascii="ResponsaTTF" w:hint="cs"/>
          <w:rtl/>
          <w:lang w:eastAsia="en-US"/>
        </w:rPr>
        <w:t>(במדבר כה יב).</w:t>
      </w:r>
      <w:r w:rsidRPr="00444259">
        <w:rPr>
          <w:rStyle w:val="a5"/>
          <w:rFonts w:ascii="ResponsaTTF"/>
          <w:rtl/>
          <w:lang w:eastAsia="en-US"/>
        </w:rPr>
        <w:footnoteReference w:id="1"/>
      </w:r>
    </w:p>
    <w:p w14:paraId="52DAC2CC" w14:textId="77777777" w:rsidR="00607B01" w:rsidRPr="00607B01" w:rsidRDefault="00607B01" w:rsidP="00FB4C68">
      <w:pPr>
        <w:pStyle w:val="ab"/>
        <w:rPr>
          <w:rtl/>
          <w:lang w:eastAsia="en-US"/>
        </w:rPr>
      </w:pPr>
      <w:r w:rsidRPr="00607B01">
        <w:rPr>
          <w:rtl/>
          <w:lang w:eastAsia="en-US"/>
        </w:rPr>
        <w:t xml:space="preserve">במדבר רבה </w:t>
      </w:r>
      <w:r w:rsidR="00FB4C68">
        <w:rPr>
          <w:rFonts w:hint="cs"/>
          <w:rtl/>
          <w:lang w:eastAsia="en-US"/>
        </w:rPr>
        <w:t xml:space="preserve">כא א, </w:t>
      </w:r>
      <w:r w:rsidRPr="00607B01">
        <w:rPr>
          <w:rtl/>
          <w:lang w:eastAsia="en-US"/>
        </w:rPr>
        <w:t xml:space="preserve">פרשת פנחס </w:t>
      </w:r>
    </w:p>
    <w:p w14:paraId="2D6FF11D" w14:textId="77777777" w:rsidR="00607B01" w:rsidRDefault="00607B01" w:rsidP="00F54282">
      <w:pPr>
        <w:pStyle w:val="ac"/>
        <w:rPr>
          <w:rFonts w:hint="cs"/>
          <w:rtl/>
          <w:lang w:eastAsia="en-US"/>
        </w:rPr>
      </w:pPr>
      <w:r>
        <w:rPr>
          <w:rFonts w:hint="cs"/>
          <w:rtl/>
          <w:lang w:eastAsia="en-US"/>
        </w:rPr>
        <w:t>"</w:t>
      </w:r>
      <w:r w:rsidRPr="00607B01">
        <w:rPr>
          <w:rtl/>
          <w:lang w:eastAsia="en-US"/>
        </w:rPr>
        <w:t>לכן אמור הנני נותן לו את בריתי שלום</w:t>
      </w:r>
      <w:r>
        <w:rPr>
          <w:rFonts w:hint="cs"/>
          <w:rtl/>
          <w:lang w:eastAsia="en-US"/>
        </w:rPr>
        <w:t>"</w:t>
      </w:r>
      <w:r w:rsidR="00FB4C68">
        <w:rPr>
          <w:rFonts w:hint="cs"/>
          <w:rtl/>
          <w:lang w:eastAsia="en-US"/>
        </w:rPr>
        <w:t xml:space="preserve"> -</w:t>
      </w:r>
      <w:r w:rsidRPr="00607B01">
        <w:rPr>
          <w:rtl/>
          <w:lang w:eastAsia="en-US"/>
        </w:rPr>
        <w:t xml:space="preserve"> גדול השלום שנ</w:t>
      </w:r>
      <w:r w:rsidR="009479EB">
        <w:rPr>
          <w:rFonts w:hint="cs"/>
          <w:rtl/>
          <w:lang w:eastAsia="en-US"/>
        </w:rPr>
        <w:t>י</w:t>
      </w:r>
      <w:r w:rsidRPr="00607B01">
        <w:rPr>
          <w:rtl/>
          <w:lang w:eastAsia="en-US"/>
        </w:rPr>
        <w:t>תן לפנחס</w:t>
      </w:r>
      <w:r w:rsidR="009479EB">
        <w:rPr>
          <w:rFonts w:hint="cs"/>
          <w:rtl/>
          <w:lang w:eastAsia="en-US"/>
        </w:rPr>
        <w:t>,</w:t>
      </w:r>
      <w:r w:rsidRPr="00607B01">
        <w:rPr>
          <w:rtl/>
          <w:lang w:eastAsia="en-US"/>
        </w:rPr>
        <w:t xml:space="preserve"> שאין העולם מתנהג אלא בשלום</w:t>
      </w:r>
      <w:r w:rsidR="00FB4C68">
        <w:rPr>
          <w:rFonts w:hint="cs"/>
          <w:rtl/>
          <w:lang w:eastAsia="en-US"/>
        </w:rPr>
        <w:t>,</w:t>
      </w:r>
      <w:r w:rsidRPr="00607B01">
        <w:rPr>
          <w:rtl/>
          <w:lang w:eastAsia="en-US"/>
        </w:rPr>
        <w:t xml:space="preserve"> והתורה כולה שלום</w:t>
      </w:r>
      <w:r w:rsidR="00FB4C68">
        <w:rPr>
          <w:rFonts w:hint="cs"/>
          <w:rtl/>
          <w:lang w:eastAsia="en-US"/>
        </w:rPr>
        <w:t>,</w:t>
      </w:r>
      <w:r w:rsidRPr="00607B01">
        <w:rPr>
          <w:rtl/>
          <w:lang w:eastAsia="en-US"/>
        </w:rPr>
        <w:t xml:space="preserve"> שנא</w:t>
      </w:r>
      <w:r w:rsidR="00FB4C68">
        <w:rPr>
          <w:rFonts w:hint="cs"/>
          <w:rtl/>
          <w:lang w:eastAsia="en-US"/>
        </w:rPr>
        <w:t>מר: "</w:t>
      </w:r>
      <w:r w:rsidRPr="00607B01">
        <w:rPr>
          <w:rtl/>
          <w:lang w:eastAsia="en-US"/>
        </w:rPr>
        <w:t>דרכיה דרכי נועם וכל נתיבותיה שלום</w:t>
      </w:r>
      <w:r w:rsidR="00FB4C68">
        <w:rPr>
          <w:rFonts w:hint="cs"/>
          <w:rtl/>
          <w:lang w:eastAsia="en-US"/>
        </w:rPr>
        <w:t>"</w:t>
      </w:r>
      <w:r w:rsidRPr="00607B01">
        <w:rPr>
          <w:rtl/>
          <w:lang w:eastAsia="en-US"/>
        </w:rPr>
        <w:t xml:space="preserve"> </w:t>
      </w:r>
      <w:r w:rsidR="00FB4C68" w:rsidRPr="00607B01">
        <w:rPr>
          <w:rtl/>
          <w:lang w:eastAsia="en-US"/>
        </w:rPr>
        <w:t>(משלי ג</w:t>
      </w:r>
      <w:r w:rsidR="00FB4C68">
        <w:rPr>
          <w:rFonts w:hint="cs"/>
          <w:rtl/>
          <w:lang w:eastAsia="en-US"/>
        </w:rPr>
        <w:t xml:space="preserve"> יז</w:t>
      </w:r>
      <w:r w:rsidR="00FB4C68" w:rsidRPr="00607B01">
        <w:rPr>
          <w:rtl/>
          <w:lang w:eastAsia="en-US"/>
        </w:rPr>
        <w:t>)</w:t>
      </w:r>
      <w:r w:rsidR="00FB4C68">
        <w:rPr>
          <w:rFonts w:hint="cs"/>
          <w:rtl/>
          <w:lang w:eastAsia="en-US"/>
        </w:rPr>
        <w:t>.</w:t>
      </w:r>
      <w:r w:rsidR="00FB4C68" w:rsidRPr="00607B01">
        <w:rPr>
          <w:rtl/>
          <w:lang w:eastAsia="en-US"/>
        </w:rPr>
        <w:t xml:space="preserve"> </w:t>
      </w:r>
      <w:r w:rsidRPr="00607B01">
        <w:rPr>
          <w:rtl/>
          <w:lang w:eastAsia="en-US"/>
        </w:rPr>
        <w:t>ואם בא אדם מן הדרך שואלי</w:t>
      </w:r>
      <w:r w:rsidR="00FB4C68">
        <w:rPr>
          <w:rFonts w:hint="cs"/>
          <w:rtl/>
          <w:lang w:eastAsia="en-US"/>
        </w:rPr>
        <w:t>ם</w:t>
      </w:r>
      <w:r w:rsidRPr="00607B01">
        <w:rPr>
          <w:rtl/>
          <w:lang w:eastAsia="en-US"/>
        </w:rPr>
        <w:t xml:space="preserve"> לו שלום</w:t>
      </w:r>
      <w:r w:rsidR="00FB4C68">
        <w:rPr>
          <w:rFonts w:hint="cs"/>
          <w:rtl/>
          <w:lang w:eastAsia="en-US"/>
        </w:rPr>
        <w:t>.</w:t>
      </w:r>
      <w:r w:rsidRPr="00607B01">
        <w:rPr>
          <w:rtl/>
          <w:lang w:eastAsia="en-US"/>
        </w:rPr>
        <w:t xml:space="preserve"> וכן שחרית שואלי</w:t>
      </w:r>
      <w:r w:rsidR="00FB4C68">
        <w:rPr>
          <w:rFonts w:hint="cs"/>
          <w:rtl/>
          <w:lang w:eastAsia="en-US"/>
        </w:rPr>
        <w:t>ם</w:t>
      </w:r>
      <w:r w:rsidRPr="00607B01">
        <w:rPr>
          <w:rtl/>
          <w:lang w:eastAsia="en-US"/>
        </w:rPr>
        <w:t xml:space="preserve"> </w:t>
      </w:r>
      <w:r w:rsidR="00FB4C68">
        <w:rPr>
          <w:rFonts w:hint="cs"/>
          <w:rtl/>
          <w:lang w:eastAsia="en-US"/>
        </w:rPr>
        <w:t>אותו ב</w:t>
      </w:r>
      <w:r w:rsidRPr="00607B01">
        <w:rPr>
          <w:rtl/>
          <w:lang w:eastAsia="en-US"/>
        </w:rPr>
        <w:t>שלום</w:t>
      </w:r>
      <w:r w:rsidR="00447831">
        <w:rPr>
          <w:rFonts w:hint="cs"/>
          <w:rtl/>
          <w:lang w:eastAsia="en-US"/>
        </w:rPr>
        <w:t>.</w:t>
      </w:r>
      <w:r w:rsidRPr="00607B01">
        <w:rPr>
          <w:rtl/>
          <w:lang w:eastAsia="en-US"/>
        </w:rPr>
        <w:t xml:space="preserve"> ובאמש כך שואלי</w:t>
      </w:r>
      <w:r w:rsidR="00FB4C68">
        <w:rPr>
          <w:rFonts w:hint="cs"/>
          <w:rtl/>
          <w:lang w:eastAsia="en-US"/>
        </w:rPr>
        <w:t>ם</w:t>
      </w:r>
      <w:r w:rsidRPr="00607B01">
        <w:rPr>
          <w:rtl/>
          <w:lang w:eastAsia="en-US"/>
        </w:rPr>
        <w:t xml:space="preserve"> בשלום</w:t>
      </w:r>
      <w:r w:rsidR="00FB4C68">
        <w:rPr>
          <w:rFonts w:hint="cs"/>
          <w:rtl/>
          <w:lang w:eastAsia="en-US"/>
        </w:rPr>
        <w:t>.</w:t>
      </w:r>
      <w:r w:rsidR="00FB4C68">
        <w:rPr>
          <w:rStyle w:val="a5"/>
          <w:rtl/>
          <w:lang w:eastAsia="en-US"/>
        </w:rPr>
        <w:footnoteReference w:id="2"/>
      </w:r>
      <w:r w:rsidR="00FB4C68">
        <w:rPr>
          <w:rFonts w:hint="cs"/>
          <w:rtl/>
          <w:lang w:eastAsia="en-US"/>
        </w:rPr>
        <w:t xml:space="preserve"> "</w:t>
      </w:r>
      <w:r w:rsidRPr="00607B01">
        <w:rPr>
          <w:rtl/>
          <w:lang w:eastAsia="en-US"/>
        </w:rPr>
        <w:t>שמע ישראל</w:t>
      </w:r>
      <w:r w:rsidR="00FB4C68">
        <w:rPr>
          <w:rFonts w:hint="cs"/>
          <w:rtl/>
          <w:lang w:eastAsia="en-US"/>
        </w:rPr>
        <w:t>"</w:t>
      </w:r>
      <w:r w:rsidRPr="00607B01">
        <w:rPr>
          <w:rtl/>
          <w:lang w:eastAsia="en-US"/>
        </w:rPr>
        <w:t xml:space="preserve"> חותמי</w:t>
      </w:r>
      <w:r w:rsidR="00FB4C68">
        <w:rPr>
          <w:rFonts w:hint="cs"/>
          <w:rtl/>
          <w:lang w:eastAsia="en-US"/>
        </w:rPr>
        <w:t>ם:</w:t>
      </w:r>
      <w:r w:rsidRPr="00607B01">
        <w:rPr>
          <w:rtl/>
          <w:lang w:eastAsia="en-US"/>
        </w:rPr>
        <w:t xml:space="preserve"> </w:t>
      </w:r>
      <w:r w:rsidR="00FB4C68">
        <w:rPr>
          <w:rFonts w:hint="cs"/>
          <w:rtl/>
          <w:lang w:eastAsia="en-US"/>
        </w:rPr>
        <w:t>"</w:t>
      </w:r>
      <w:r w:rsidRPr="00607B01">
        <w:rPr>
          <w:rtl/>
          <w:lang w:eastAsia="en-US"/>
        </w:rPr>
        <w:t>פורס סוכת שלום על עמו</w:t>
      </w:r>
      <w:r w:rsidR="00FB4C68">
        <w:rPr>
          <w:rFonts w:hint="cs"/>
          <w:rtl/>
          <w:lang w:eastAsia="en-US"/>
        </w:rPr>
        <w:t>".</w:t>
      </w:r>
      <w:r w:rsidR="004C586F">
        <w:rPr>
          <w:rStyle w:val="a5"/>
          <w:rtl/>
          <w:lang w:eastAsia="en-US"/>
        </w:rPr>
        <w:footnoteReference w:id="3"/>
      </w:r>
      <w:r w:rsidRPr="00607B01">
        <w:rPr>
          <w:rtl/>
          <w:lang w:eastAsia="en-US"/>
        </w:rPr>
        <w:t xml:space="preserve"> התפ</w:t>
      </w:r>
      <w:r w:rsidR="00FB4C68">
        <w:rPr>
          <w:rFonts w:hint="cs"/>
          <w:rtl/>
          <w:lang w:eastAsia="en-US"/>
        </w:rPr>
        <w:t>י</w:t>
      </w:r>
      <w:r w:rsidRPr="00607B01">
        <w:rPr>
          <w:rtl/>
          <w:lang w:eastAsia="en-US"/>
        </w:rPr>
        <w:t>לה חותמי</w:t>
      </w:r>
      <w:r w:rsidR="00FB4C68">
        <w:rPr>
          <w:rFonts w:hint="cs"/>
          <w:rtl/>
          <w:lang w:eastAsia="en-US"/>
        </w:rPr>
        <w:t>ם</w:t>
      </w:r>
      <w:r w:rsidRPr="00607B01">
        <w:rPr>
          <w:rtl/>
          <w:lang w:eastAsia="en-US"/>
        </w:rPr>
        <w:t xml:space="preserve"> בשלום</w:t>
      </w:r>
      <w:r w:rsidR="00FB4C68">
        <w:rPr>
          <w:rFonts w:hint="cs"/>
          <w:rtl/>
          <w:lang w:eastAsia="en-US"/>
        </w:rPr>
        <w:t>.</w:t>
      </w:r>
      <w:r w:rsidRPr="00607B01">
        <w:rPr>
          <w:rtl/>
          <w:lang w:eastAsia="en-US"/>
        </w:rPr>
        <w:t xml:space="preserve"> בברכת כהנים חותמי</w:t>
      </w:r>
      <w:r w:rsidR="00FB4C68">
        <w:rPr>
          <w:rFonts w:hint="cs"/>
          <w:rtl/>
          <w:lang w:eastAsia="en-US"/>
        </w:rPr>
        <w:t>ם</w:t>
      </w:r>
      <w:r w:rsidRPr="00607B01">
        <w:rPr>
          <w:rtl/>
          <w:lang w:eastAsia="en-US"/>
        </w:rPr>
        <w:t xml:space="preserve"> בשלום</w:t>
      </w:r>
      <w:r w:rsidR="00FB4C68">
        <w:rPr>
          <w:rFonts w:hint="cs"/>
          <w:rtl/>
          <w:lang w:eastAsia="en-US"/>
        </w:rPr>
        <w:t xml:space="preserve">. אמר ר' שמעון </w:t>
      </w:r>
      <w:r w:rsidRPr="00607B01">
        <w:rPr>
          <w:rtl/>
          <w:lang w:eastAsia="en-US"/>
        </w:rPr>
        <w:t>בן חלפתא</w:t>
      </w:r>
      <w:r w:rsidR="00FB4C68">
        <w:rPr>
          <w:rFonts w:hint="cs"/>
          <w:rtl/>
          <w:lang w:eastAsia="en-US"/>
        </w:rPr>
        <w:t>:</w:t>
      </w:r>
      <w:r w:rsidRPr="00607B01">
        <w:rPr>
          <w:rtl/>
          <w:lang w:eastAsia="en-US"/>
        </w:rPr>
        <w:t xml:space="preserve"> אין כלי מחזיק ברכה אלא שלום</w:t>
      </w:r>
      <w:r w:rsidR="00FB4C68">
        <w:rPr>
          <w:rFonts w:hint="cs"/>
          <w:rtl/>
          <w:lang w:eastAsia="en-US"/>
        </w:rPr>
        <w:t>,</w:t>
      </w:r>
      <w:r w:rsidRPr="00607B01">
        <w:rPr>
          <w:rtl/>
          <w:lang w:eastAsia="en-US"/>
        </w:rPr>
        <w:t xml:space="preserve"> שנאמר</w:t>
      </w:r>
      <w:r w:rsidR="00FB4C68">
        <w:rPr>
          <w:rFonts w:hint="cs"/>
          <w:rtl/>
          <w:lang w:eastAsia="en-US"/>
        </w:rPr>
        <w:t>:</w:t>
      </w:r>
      <w:r w:rsidRPr="00607B01">
        <w:rPr>
          <w:rtl/>
          <w:lang w:eastAsia="en-US"/>
        </w:rPr>
        <w:t xml:space="preserve"> </w:t>
      </w:r>
      <w:r w:rsidR="00FB4C68">
        <w:rPr>
          <w:rFonts w:hint="cs"/>
          <w:rtl/>
          <w:lang w:eastAsia="en-US"/>
        </w:rPr>
        <w:t>"</w:t>
      </w:r>
      <w:r w:rsidRPr="00607B01">
        <w:rPr>
          <w:rtl/>
          <w:lang w:eastAsia="en-US"/>
        </w:rPr>
        <w:t>ה' עוז לעמו יתן ה' יברך את עמו בשלום</w:t>
      </w:r>
      <w:r w:rsidR="00FB4C68">
        <w:rPr>
          <w:rFonts w:hint="cs"/>
          <w:rtl/>
          <w:lang w:eastAsia="en-US"/>
        </w:rPr>
        <w:t xml:space="preserve">" </w:t>
      </w:r>
      <w:r w:rsidR="00FB4C68" w:rsidRPr="00607B01">
        <w:rPr>
          <w:rtl/>
          <w:lang w:eastAsia="en-US"/>
        </w:rPr>
        <w:t>(תהלים כט</w:t>
      </w:r>
      <w:r w:rsidR="00FB4C68">
        <w:rPr>
          <w:rFonts w:hint="cs"/>
          <w:rtl/>
          <w:lang w:eastAsia="en-US"/>
        </w:rPr>
        <w:t xml:space="preserve"> יא</w:t>
      </w:r>
      <w:r w:rsidR="00FB4C68" w:rsidRPr="00607B01">
        <w:rPr>
          <w:rtl/>
          <w:lang w:eastAsia="en-US"/>
        </w:rPr>
        <w:t>)</w:t>
      </w:r>
      <w:r w:rsidRPr="00607B01">
        <w:rPr>
          <w:rtl/>
          <w:lang w:eastAsia="en-US"/>
        </w:rPr>
        <w:t>.</w:t>
      </w:r>
      <w:r w:rsidR="00C31158">
        <w:rPr>
          <w:rStyle w:val="a5"/>
          <w:rtl/>
          <w:lang w:eastAsia="en-US"/>
        </w:rPr>
        <w:footnoteReference w:id="4"/>
      </w:r>
    </w:p>
    <w:p w14:paraId="3A81B9AE" w14:textId="77777777" w:rsidR="004E3340" w:rsidRDefault="004E3340" w:rsidP="004E3340">
      <w:pPr>
        <w:pStyle w:val="ab"/>
        <w:rPr>
          <w:rtl/>
        </w:rPr>
      </w:pPr>
      <w:r>
        <w:rPr>
          <w:rtl/>
        </w:rPr>
        <w:t>משנה מסכת גיטין פרק ה משנה ח</w:t>
      </w:r>
    </w:p>
    <w:p w14:paraId="1DBD2161" w14:textId="77777777" w:rsidR="004E3340" w:rsidRDefault="004E3340" w:rsidP="00560E41">
      <w:pPr>
        <w:pStyle w:val="ac"/>
        <w:rPr>
          <w:rFonts w:hint="cs"/>
          <w:rtl/>
        </w:rPr>
      </w:pPr>
      <w:r>
        <w:rPr>
          <w:rtl/>
        </w:rPr>
        <w:t>ואלו דברים אמרו מפני דרכי שלום</w:t>
      </w:r>
      <w:r w:rsidR="006E64D6">
        <w:rPr>
          <w:rFonts w:hint="cs"/>
          <w:rtl/>
        </w:rPr>
        <w:t>:</w:t>
      </w:r>
      <w:r>
        <w:rPr>
          <w:rtl/>
        </w:rPr>
        <w:t xml:space="preserve"> כהן קורא ראשון ואחריו לוי ואחריו ישראל</w:t>
      </w:r>
      <w:r w:rsidR="0035752E">
        <w:rPr>
          <w:rFonts w:hint="cs"/>
          <w:rtl/>
        </w:rPr>
        <w:t>,</w:t>
      </w:r>
      <w:r w:rsidR="006E64D6">
        <w:rPr>
          <w:rFonts w:hint="cs"/>
          <w:rtl/>
        </w:rPr>
        <w:t xml:space="preserve"> </w:t>
      </w:r>
      <w:r>
        <w:rPr>
          <w:rtl/>
        </w:rPr>
        <w:t>מפני דרכי שלום</w:t>
      </w:r>
      <w:r w:rsidR="006E64D6">
        <w:rPr>
          <w:rFonts w:hint="cs"/>
          <w:rtl/>
        </w:rPr>
        <w:t>.</w:t>
      </w:r>
      <w:r w:rsidR="00793A16">
        <w:rPr>
          <w:rStyle w:val="a5"/>
          <w:rtl/>
        </w:rPr>
        <w:footnoteReference w:id="5"/>
      </w:r>
      <w:r>
        <w:rPr>
          <w:rtl/>
        </w:rPr>
        <w:t xml:space="preserve"> מערבין בבית ישן</w:t>
      </w:r>
      <w:r w:rsidR="0035752E">
        <w:rPr>
          <w:rFonts w:hint="cs"/>
          <w:rtl/>
        </w:rPr>
        <w:t xml:space="preserve">, </w:t>
      </w:r>
      <w:r>
        <w:rPr>
          <w:rtl/>
        </w:rPr>
        <w:t>מפני דרכי שלום</w:t>
      </w:r>
      <w:r w:rsidR="006E64D6">
        <w:rPr>
          <w:rFonts w:hint="cs"/>
          <w:rtl/>
        </w:rPr>
        <w:t>.</w:t>
      </w:r>
      <w:r w:rsidR="00221159">
        <w:rPr>
          <w:rStyle w:val="a5"/>
          <w:rtl/>
        </w:rPr>
        <w:footnoteReference w:id="6"/>
      </w:r>
      <w:r>
        <w:rPr>
          <w:rtl/>
        </w:rPr>
        <w:t xml:space="preserve"> בור שהוא קרוב לאמה מתמלא ראשון </w:t>
      </w:r>
      <w:r w:rsidR="006E64D6">
        <w:rPr>
          <w:rFonts w:hint="cs"/>
          <w:rtl/>
        </w:rPr>
        <w:t xml:space="preserve">- </w:t>
      </w:r>
      <w:r>
        <w:rPr>
          <w:rtl/>
        </w:rPr>
        <w:t>מפני דרכי שלום</w:t>
      </w:r>
      <w:r w:rsidR="006E64D6">
        <w:rPr>
          <w:rFonts w:hint="cs"/>
          <w:rtl/>
        </w:rPr>
        <w:t>.</w:t>
      </w:r>
      <w:r w:rsidR="00164093">
        <w:rPr>
          <w:rStyle w:val="a5"/>
          <w:rtl/>
        </w:rPr>
        <w:footnoteReference w:id="7"/>
      </w:r>
      <w:r>
        <w:rPr>
          <w:rtl/>
        </w:rPr>
        <w:t xml:space="preserve"> מצודות חיה ועופות </w:t>
      </w:r>
      <w:r>
        <w:rPr>
          <w:rtl/>
        </w:rPr>
        <w:lastRenderedPageBreak/>
        <w:t>ודגים יש בהם משום גזל מפני דרכי שלום</w:t>
      </w:r>
      <w:r w:rsidR="008506E5">
        <w:rPr>
          <w:rFonts w:hint="cs"/>
          <w:rtl/>
        </w:rPr>
        <w:t>.</w:t>
      </w:r>
      <w:r w:rsidR="007C15FD">
        <w:rPr>
          <w:rStyle w:val="a5"/>
          <w:rtl/>
        </w:rPr>
        <w:footnoteReference w:id="8"/>
      </w:r>
      <w:r>
        <w:rPr>
          <w:rtl/>
        </w:rPr>
        <w:t xml:space="preserve"> רבי יוסי אומר</w:t>
      </w:r>
      <w:r w:rsidR="008506E5">
        <w:rPr>
          <w:rFonts w:hint="cs"/>
          <w:rtl/>
        </w:rPr>
        <w:t>:</w:t>
      </w:r>
      <w:r>
        <w:rPr>
          <w:rtl/>
        </w:rPr>
        <w:t xml:space="preserve"> גזל גמור</w:t>
      </w:r>
      <w:r w:rsidR="008506E5">
        <w:rPr>
          <w:rFonts w:hint="cs"/>
          <w:rtl/>
        </w:rPr>
        <w:t>.</w:t>
      </w:r>
      <w:r>
        <w:rPr>
          <w:rtl/>
        </w:rPr>
        <w:t xml:space="preserve"> מציאת חרש שוטה וקטן יש בהן משום גזל מפני דרכי שלום</w:t>
      </w:r>
      <w:r w:rsidR="008506E5">
        <w:rPr>
          <w:rFonts w:hint="cs"/>
          <w:rtl/>
        </w:rPr>
        <w:t>.</w:t>
      </w:r>
      <w:r>
        <w:rPr>
          <w:rtl/>
        </w:rPr>
        <w:t xml:space="preserve"> ר' יוסי אומר</w:t>
      </w:r>
      <w:r w:rsidR="008506E5">
        <w:rPr>
          <w:rFonts w:hint="cs"/>
          <w:rtl/>
        </w:rPr>
        <w:t>:</w:t>
      </w:r>
      <w:r>
        <w:rPr>
          <w:rtl/>
        </w:rPr>
        <w:t xml:space="preserve"> גזל גמור</w:t>
      </w:r>
      <w:r w:rsidR="006E64D6">
        <w:rPr>
          <w:rFonts w:hint="cs"/>
          <w:rtl/>
        </w:rPr>
        <w:t>.</w:t>
      </w:r>
      <w:r w:rsidR="00CA1F6B">
        <w:rPr>
          <w:rStyle w:val="a5"/>
          <w:rtl/>
        </w:rPr>
        <w:footnoteReference w:id="9"/>
      </w:r>
      <w:r>
        <w:rPr>
          <w:rtl/>
        </w:rPr>
        <w:t xml:space="preserve"> עני המנקף בראש הזית</w:t>
      </w:r>
      <w:r w:rsidR="006E64D6">
        <w:rPr>
          <w:rFonts w:hint="cs"/>
          <w:rtl/>
        </w:rPr>
        <w:t>,</w:t>
      </w:r>
      <w:r>
        <w:rPr>
          <w:rtl/>
        </w:rPr>
        <w:t xml:space="preserve"> מה שתחתיו </w:t>
      </w:r>
      <w:r w:rsidR="006E64D6">
        <w:rPr>
          <w:rFonts w:hint="cs"/>
          <w:rtl/>
        </w:rPr>
        <w:t xml:space="preserve">- </w:t>
      </w:r>
      <w:r>
        <w:rPr>
          <w:rtl/>
        </w:rPr>
        <w:t>גזל מפני דרכי שלום</w:t>
      </w:r>
      <w:r w:rsidR="006E64D6">
        <w:rPr>
          <w:rFonts w:hint="cs"/>
          <w:rtl/>
        </w:rPr>
        <w:t>.</w:t>
      </w:r>
      <w:r w:rsidR="00490125">
        <w:rPr>
          <w:rStyle w:val="a5"/>
          <w:rtl/>
        </w:rPr>
        <w:footnoteReference w:id="10"/>
      </w:r>
      <w:r>
        <w:rPr>
          <w:rtl/>
        </w:rPr>
        <w:t xml:space="preserve"> ר' יוסי אומר</w:t>
      </w:r>
      <w:r w:rsidR="006E64D6">
        <w:rPr>
          <w:rFonts w:hint="cs"/>
          <w:rtl/>
        </w:rPr>
        <w:t>:</w:t>
      </w:r>
      <w:r>
        <w:rPr>
          <w:rtl/>
        </w:rPr>
        <w:t xml:space="preserve"> גזל גמור</w:t>
      </w:r>
      <w:r w:rsidR="006E64D6">
        <w:rPr>
          <w:rFonts w:hint="cs"/>
          <w:rtl/>
        </w:rPr>
        <w:t>.</w:t>
      </w:r>
      <w:r>
        <w:rPr>
          <w:rtl/>
        </w:rPr>
        <w:t xml:space="preserve"> אין ממחין ביד עניי גוים בלקט שכחה ופאה </w:t>
      </w:r>
      <w:r w:rsidR="006E64D6">
        <w:rPr>
          <w:rFonts w:hint="cs"/>
          <w:rtl/>
        </w:rPr>
        <w:t xml:space="preserve">- </w:t>
      </w:r>
      <w:r>
        <w:rPr>
          <w:rtl/>
        </w:rPr>
        <w:t>מפני דרכי שלום</w:t>
      </w:r>
      <w:r w:rsidR="00560E41">
        <w:rPr>
          <w:rFonts w:hint="cs"/>
          <w:rtl/>
        </w:rPr>
        <w:t>.</w:t>
      </w:r>
      <w:r w:rsidR="00560E41">
        <w:rPr>
          <w:rStyle w:val="a5"/>
          <w:rtl/>
        </w:rPr>
        <w:footnoteReference w:id="11"/>
      </w:r>
    </w:p>
    <w:p w14:paraId="7BB63F8E" w14:textId="77777777" w:rsidR="00314E89" w:rsidRDefault="00314E89" w:rsidP="00314E89">
      <w:pPr>
        <w:pStyle w:val="ab"/>
        <w:rPr>
          <w:rtl/>
        </w:rPr>
      </w:pPr>
      <w:r>
        <w:rPr>
          <w:rtl/>
        </w:rPr>
        <w:t>תלמוד בבלי מסכת גיטין דף סא עמוד א</w:t>
      </w:r>
    </w:p>
    <w:p w14:paraId="19B12911" w14:textId="77777777" w:rsidR="00314E89" w:rsidRDefault="00314E89" w:rsidP="00314E89">
      <w:pPr>
        <w:pStyle w:val="ac"/>
        <w:rPr>
          <w:rFonts w:hint="cs"/>
          <w:rtl/>
        </w:rPr>
      </w:pPr>
      <w:r>
        <w:rPr>
          <w:rtl/>
        </w:rPr>
        <w:t>ת</w:t>
      </w:r>
      <w:r>
        <w:rPr>
          <w:rFonts w:hint="cs"/>
          <w:rtl/>
        </w:rPr>
        <w:t>נו רבנן</w:t>
      </w:r>
      <w:r>
        <w:rPr>
          <w:rtl/>
        </w:rPr>
        <w:t>: מפרנסים עניי נכרים עם עניי ישראל, ומבקרין חולי נכרים עם חולי ישראל, וקוברין מתי נכרים עם מתי ישראל, מפני דרכי שלום.</w:t>
      </w:r>
      <w:r w:rsidR="00584933">
        <w:rPr>
          <w:rStyle w:val="a5"/>
          <w:rtl/>
        </w:rPr>
        <w:footnoteReference w:id="12"/>
      </w:r>
    </w:p>
    <w:p w14:paraId="3C813C08" w14:textId="77777777" w:rsidR="0068349A" w:rsidRDefault="0068349A" w:rsidP="009764A7">
      <w:pPr>
        <w:pStyle w:val="ab"/>
        <w:rPr>
          <w:rtl/>
        </w:rPr>
      </w:pPr>
      <w:r>
        <w:rPr>
          <w:rtl/>
        </w:rPr>
        <w:t xml:space="preserve">פסיקתא זוטרתא (לקח טוב) דברים פרשת שופטים </w:t>
      </w:r>
    </w:p>
    <w:p w14:paraId="44E8C3FD" w14:textId="77777777" w:rsidR="009764A7" w:rsidRDefault="009764A7" w:rsidP="009764A7">
      <w:pPr>
        <w:pStyle w:val="ac"/>
        <w:rPr>
          <w:rFonts w:hint="cs"/>
          <w:rtl/>
        </w:rPr>
      </w:pPr>
      <w:r>
        <w:rPr>
          <w:rFonts w:hint="cs"/>
          <w:rtl/>
        </w:rPr>
        <w:t>"</w:t>
      </w:r>
      <w:r w:rsidR="0068349A">
        <w:rPr>
          <w:rtl/>
        </w:rPr>
        <w:t>כי תקרב אל עיר לה</w:t>
      </w:r>
      <w:r>
        <w:rPr>
          <w:rFonts w:hint="cs"/>
          <w:rtl/>
        </w:rPr>
        <w:t>י</w:t>
      </w:r>
      <w:r w:rsidR="0068349A">
        <w:rPr>
          <w:rtl/>
        </w:rPr>
        <w:t>לחם עליה</w:t>
      </w:r>
      <w:r>
        <w:rPr>
          <w:rFonts w:hint="cs"/>
          <w:rtl/>
        </w:rPr>
        <w:t xml:space="preserve"> .... </w:t>
      </w:r>
      <w:r w:rsidR="0068349A">
        <w:rPr>
          <w:rtl/>
        </w:rPr>
        <w:t>וקראת אליה לשלום</w:t>
      </w:r>
      <w:r>
        <w:rPr>
          <w:rFonts w:hint="cs"/>
          <w:rtl/>
        </w:rPr>
        <w:t>"</w:t>
      </w:r>
      <w:r w:rsidR="0068349A">
        <w:rPr>
          <w:rtl/>
        </w:rPr>
        <w:t>. כמה גדול השלום</w:t>
      </w:r>
      <w:r>
        <w:rPr>
          <w:rFonts w:hint="cs"/>
          <w:rtl/>
        </w:rPr>
        <w:t>,</w:t>
      </w:r>
      <w:r w:rsidR="0068349A">
        <w:rPr>
          <w:rtl/>
        </w:rPr>
        <w:t xml:space="preserve"> שאפילו לשונאיהם הקדים להם שלום. מיכן אמרו חכמים</w:t>
      </w:r>
      <w:r>
        <w:rPr>
          <w:rFonts w:hint="cs"/>
          <w:rtl/>
        </w:rPr>
        <w:t>:</w:t>
      </w:r>
      <w:r w:rsidR="0068349A">
        <w:rPr>
          <w:rtl/>
        </w:rPr>
        <w:t xml:space="preserve"> מקדימין שלום לעובד כוכבים בשוק מפני דרכי שלום</w:t>
      </w:r>
      <w:r>
        <w:rPr>
          <w:rFonts w:hint="cs"/>
          <w:rtl/>
        </w:rPr>
        <w:t>.</w:t>
      </w:r>
      <w:r w:rsidR="00D52E28">
        <w:rPr>
          <w:rStyle w:val="a5"/>
          <w:rtl/>
        </w:rPr>
        <w:footnoteReference w:id="13"/>
      </w:r>
    </w:p>
    <w:p w14:paraId="30B3ACE2" w14:textId="77777777" w:rsidR="000101F3" w:rsidRDefault="000101F3" w:rsidP="00357FE3">
      <w:pPr>
        <w:pStyle w:val="ab"/>
        <w:rPr>
          <w:rtl/>
        </w:rPr>
      </w:pPr>
      <w:r>
        <w:rPr>
          <w:rtl/>
        </w:rPr>
        <w:lastRenderedPageBreak/>
        <w:t>תלמוד ירושלמי מסכת דמאי פרק ד הלכה ב</w:t>
      </w:r>
    </w:p>
    <w:p w14:paraId="77FC2A1F" w14:textId="77777777" w:rsidR="004A1C2C" w:rsidRDefault="000101F3" w:rsidP="00357FE3">
      <w:pPr>
        <w:pStyle w:val="ac"/>
        <w:rPr>
          <w:rFonts w:hint="cs"/>
          <w:rtl/>
        </w:rPr>
      </w:pPr>
      <w:r w:rsidRPr="00357FE3">
        <w:rPr>
          <w:b/>
          <w:bCs/>
          <w:rtl/>
        </w:rPr>
        <w:t>מתני</w:t>
      </w:r>
      <w:r w:rsidR="004A1C2C" w:rsidRPr="00357FE3">
        <w:rPr>
          <w:rFonts w:hint="cs"/>
          <w:b/>
          <w:bCs/>
          <w:rtl/>
        </w:rPr>
        <w:t>תין:</w:t>
      </w:r>
      <w:r>
        <w:rPr>
          <w:rtl/>
        </w:rPr>
        <w:t xml:space="preserve"> המדיר את חבירו שיאכל אצלו</w:t>
      </w:r>
      <w:r w:rsidR="00357FE3">
        <w:rPr>
          <w:rFonts w:hint="cs"/>
          <w:rtl/>
        </w:rPr>
        <w:t>,</w:t>
      </w:r>
      <w:r>
        <w:rPr>
          <w:rtl/>
        </w:rPr>
        <w:t xml:space="preserve"> והוא אינו מאמינו על המעשרות</w:t>
      </w:r>
      <w:r w:rsidR="00357FE3">
        <w:rPr>
          <w:rFonts w:hint="cs"/>
          <w:rtl/>
        </w:rPr>
        <w:t xml:space="preserve"> -</w:t>
      </w:r>
      <w:r>
        <w:rPr>
          <w:rtl/>
        </w:rPr>
        <w:t xml:space="preserve"> אוכל עמו בשבת הראשונה אף על פי שאינו נאמן על המעשרות</w:t>
      </w:r>
      <w:r w:rsidR="00630F20">
        <w:rPr>
          <w:rFonts w:hint="cs"/>
          <w:rtl/>
        </w:rPr>
        <w:t>,</w:t>
      </w:r>
      <w:r>
        <w:rPr>
          <w:rtl/>
        </w:rPr>
        <w:t xml:space="preserve"> </w:t>
      </w:r>
      <w:r w:rsidR="00357FE3">
        <w:rPr>
          <w:rFonts w:hint="cs"/>
          <w:rtl/>
        </w:rPr>
        <w:t>ו</w:t>
      </w:r>
      <w:r>
        <w:rPr>
          <w:rtl/>
        </w:rPr>
        <w:t>בלבד שיאמר לו מעושרין הן</w:t>
      </w:r>
      <w:r w:rsidR="00357FE3">
        <w:rPr>
          <w:rFonts w:hint="cs"/>
          <w:rtl/>
        </w:rPr>
        <w:t>.</w:t>
      </w:r>
      <w:r>
        <w:rPr>
          <w:rtl/>
        </w:rPr>
        <w:t xml:space="preserve"> ובשבת שניי</w:t>
      </w:r>
      <w:r w:rsidR="00357FE3">
        <w:rPr>
          <w:rFonts w:hint="cs"/>
          <w:rtl/>
        </w:rPr>
        <w:t>ה</w:t>
      </w:r>
      <w:r w:rsidR="00630F20">
        <w:rPr>
          <w:rFonts w:hint="cs"/>
          <w:rtl/>
        </w:rPr>
        <w:t>,</w:t>
      </w:r>
      <w:r>
        <w:rPr>
          <w:rtl/>
        </w:rPr>
        <w:t xml:space="preserve"> אף על פי שהוא נודר ממנו הניי</w:t>
      </w:r>
      <w:r w:rsidR="00357FE3">
        <w:rPr>
          <w:rFonts w:hint="cs"/>
          <w:rtl/>
        </w:rPr>
        <w:t>ה,</w:t>
      </w:r>
      <w:r>
        <w:rPr>
          <w:rtl/>
        </w:rPr>
        <w:t xml:space="preserve"> לא יאכל עד שיעשר</w:t>
      </w:r>
      <w:r w:rsidR="00357FE3">
        <w:rPr>
          <w:rFonts w:hint="cs"/>
          <w:rtl/>
        </w:rPr>
        <w:t>.</w:t>
      </w:r>
      <w:r w:rsidR="00357FE3">
        <w:rPr>
          <w:rStyle w:val="a5"/>
          <w:rtl/>
        </w:rPr>
        <w:footnoteReference w:id="14"/>
      </w:r>
      <w:r>
        <w:rPr>
          <w:rtl/>
        </w:rPr>
        <w:t xml:space="preserve"> </w:t>
      </w:r>
    </w:p>
    <w:p w14:paraId="1FE8E72B" w14:textId="77777777" w:rsidR="009C5928" w:rsidRDefault="000101F3" w:rsidP="00357FE3">
      <w:pPr>
        <w:pStyle w:val="ac"/>
        <w:rPr>
          <w:rFonts w:hint="cs"/>
          <w:rtl/>
        </w:rPr>
      </w:pPr>
      <w:r w:rsidRPr="00357FE3">
        <w:rPr>
          <w:b/>
          <w:bCs/>
          <w:rtl/>
        </w:rPr>
        <w:t>גמ</w:t>
      </w:r>
      <w:r w:rsidR="004A1C2C" w:rsidRPr="00357FE3">
        <w:rPr>
          <w:rFonts w:hint="cs"/>
          <w:b/>
          <w:bCs/>
          <w:rtl/>
        </w:rPr>
        <w:t>רא:</w:t>
      </w:r>
      <w:r>
        <w:rPr>
          <w:rtl/>
        </w:rPr>
        <w:t xml:space="preserve"> ר' ינאי בי רבי ישמעאל בשם ר' יוחנן</w:t>
      </w:r>
      <w:r w:rsidR="00357FE3">
        <w:rPr>
          <w:rFonts w:hint="cs"/>
          <w:rtl/>
        </w:rPr>
        <w:t>:</w:t>
      </w:r>
      <w:r>
        <w:rPr>
          <w:rtl/>
        </w:rPr>
        <w:t xml:space="preserve"> בשבת של </w:t>
      </w:r>
      <w:r w:rsidR="00357FE3">
        <w:rPr>
          <w:rFonts w:cs="Narkisim"/>
          <w:rtl/>
        </w:rPr>
        <w:t>פְּרוֹטֶגֶמְיָיא</w:t>
      </w:r>
      <w:r w:rsidR="005B79AC">
        <w:rPr>
          <w:rStyle w:val="a5"/>
          <w:rtl/>
        </w:rPr>
        <w:footnoteReference w:id="15"/>
      </w:r>
      <w:r>
        <w:rPr>
          <w:rtl/>
        </w:rPr>
        <w:t xml:space="preserve"> התירו מפני איבה</w:t>
      </w:r>
      <w:r w:rsidR="009479EB">
        <w:rPr>
          <w:rFonts w:hint="cs"/>
          <w:rtl/>
        </w:rPr>
        <w:t>.</w:t>
      </w:r>
      <w:r>
        <w:rPr>
          <w:rtl/>
        </w:rPr>
        <w:t xml:space="preserve"> אמר רבי אבון</w:t>
      </w:r>
      <w:r w:rsidR="009479EB">
        <w:rPr>
          <w:rFonts w:hint="cs"/>
          <w:rtl/>
        </w:rPr>
        <w:t>:</w:t>
      </w:r>
      <w:r>
        <w:rPr>
          <w:rtl/>
        </w:rPr>
        <w:t xml:space="preserve"> כאן התירו טבלים משום דרכי שלום.</w:t>
      </w:r>
      <w:r w:rsidR="001E19D7">
        <w:rPr>
          <w:rStyle w:val="a5"/>
          <w:rtl/>
        </w:rPr>
        <w:footnoteReference w:id="16"/>
      </w:r>
      <w:r>
        <w:rPr>
          <w:rtl/>
        </w:rPr>
        <w:t xml:space="preserve"> </w:t>
      </w:r>
    </w:p>
    <w:p w14:paraId="44F9127F" w14:textId="77777777" w:rsidR="00C56FB2" w:rsidRDefault="00C56FB2" w:rsidP="001C2878">
      <w:pPr>
        <w:pStyle w:val="ab"/>
        <w:rPr>
          <w:rtl/>
        </w:rPr>
      </w:pPr>
      <w:r>
        <w:rPr>
          <w:rtl/>
        </w:rPr>
        <w:t>תלמוד ירושלמי מסכת דמאי פרק ד</w:t>
      </w:r>
      <w:r>
        <w:rPr>
          <w:rFonts w:hint="cs"/>
          <w:rtl/>
        </w:rPr>
        <w:t xml:space="preserve"> </w:t>
      </w:r>
      <w:r>
        <w:rPr>
          <w:rtl/>
        </w:rPr>
        <w:t>הלכה א</w:t>
      </w:r>
    </w:p>
    <w:p w14:paraId="22475C9E" w14:textId="77777777" w:rsidR="001C2878" w:rsidRDefault="001C2878" w:rsidP="00000C36">
      <w:pPr>
        <w:pStyle w:val="ac"/>
        <w:rPr>
          <w:rFonts w:hint="cs"/>
          <w:rtl/>
        </w:rPr>
      </w:pPr>
      <w:r w:rsidRPr="00357FE3">
        <w:rPr>
          <w:b/>
          <w:bCs/>
          <w:rtl/>
        </w:rPr>
        <w:t>מתני</w:t>
      </w:r>
      <w:r w:rsidRPr="00357FE3">
        <w:rPr>
          <w:rFonts w:hint="cs"/>
          <w:b/>
          <w:bCs/>
          <w:rtl/>
        </w:rPr>
        <w:t>תין:</w:t>
      </w:r>
      <w:r w:rsidR="00C56FB2">
        <w:rPr>
          <w:rtl/>
        </w:rPr>
        <w:t xml:space="preserve"> הלוקח פירות ממי שאינו נאמן על המעשרות ושכח לעשרן</w:t>
      </w:r>
      <w:r w:rsidR="00000C36">
        <w:rPr>
          <w:rFonts w:hint="cs"/>
          <w:rtl/>
        </w:rPr>
        <w:t>,</w:t>
      </w:r>
      <w:r w:rsidR="00C56FB2">
        <w:rPr>
          <w:rtl/>
        </w:rPr>
        <w:t xml:space="preserve"> שואלו בשבת ואוכל על פיו</w:t>
      </w:r>
      <w:r w:rsidR="00000C36">
        <w:rPr>
          <w:rFonts w:hint="cs"/>
          <w:rtl/>
        </w:rPr>
        <w:t>.</w:t>
      </w:r>
      <w:r w:rsidR="00C56FB2">
        <w:rPr>
          <w:rtl/>
        </w:rPr>
        <w:t xml:space="preserve"> חשיכה מוצאי שבת</w:t>
      </w:r>
      <w:r w:rsidR="00000C36">
        <w:rPr>
          <w:rFonts w:hint="cs"/>
          <w:rtl/>
        </w:rPr>
        <w:t>,</w:t>
      </w:r>
      <w:r w:rsidR="00C56FB2">
        <w:rPr>
          <w:rtl/>
        </w:rPr>
        <w:t xml:space="preserve"> לא יאכל עד שיעשר </w:t>
      </w:r>
      <w:r w:rsidR="00000C36">
        <w:rPr>
          <w:rFonts w:hint="cs"/>
          <w:rtl/>
        </w:rPr>
        <w:t>וכו'.</w:t>
      </w:r>
      <w:r w:rsidR="00000C36">
        <w:rPr>
          <w:rStyle w:val="a5"/>
          <w:rtl/>
        </w:rPr>
        <w:footnoteReference w:id="17"/>
      </w:r>
      <w:r w:rsidR="00C56FB2">
        <w:rPr>
          <w:rtl/>
        </w:rPr>
        <w:t xml:space="preserve"> </w:t>
      </w:r>
    </w:p>
    <w:p w14:paraId="26B8E201" w14:textId="77777777" w:rsidR="00C56FB2" w:rsidRDefault="001C2878" w:rsidP="00C56FB2">
      <w:pPr>
        <w:pStyle w:val="ac"/>
        <w:rPr>
          <w:rFonts w:hint="cs"/>
          <w:rtl/>
        </w:rPr>
      </w:pPr>
      <w:r w:rsidRPr="00357FE3">
        <w:rPr>
          <w:b/>
          <w:bCs/>
          <w:rtl/>
        </w:rPr>
        <w:t>גמ</w:t>
      </w:r>
      <w:r w:rsidRPr="00357FE3">
        <w:rPr>
          <w:rFonts w:hint="cs"/>
          <w:b/>
          <w:bCs/>
          <w:rtl/>
        </w:rPr>
        <w:t>רא:</w:t>
      </w:r>
      <w:r>
        <w:rPr>
          <w:rtl/>
        </w:rPr>
        <w:t xml:space="preserve"> </w:t>
      </w:r>
      <w:r w:rsidR="00C56FB2">
        <w:rPr>
          <w:rtl/>
        </w:rPr>
        <w:t>חברייא בשם רבי יוחנן</w:t>
      </w:r>
      <w:r w:rsidR="000145AA">
        <w:rPr>
          <w:rFonts w:hint="cs"/>
          <w:rtl/>
        </w:rPr>
        <w:t>:</w:t>
      </w:r>
      <w:r w:rsidR="00C56FB2">
        <w:rPr>
          <w:rtl/>
        </w:rPr>
        <w:t xml:space="preserve"> מפני כבוד שבת התירו. אם מפני כבוד שבת למה לי שואלו</w:t>
      </w:r>
      <w:r>
        <w:rPr>
          <w:rFonts w:hint="cs"/>
          <w:rtl/>
        </w:rPr>
        <w:t>?</w:t>
      </w:r>
      <w:r w:rsidR="00C56FB2">
        <w:rPr>
          <w:rtl/>
        </w:rPr>
        <w:t xml:space="preserve"> ע"י עילה</w:t>
      </w:r>
      <w:r>
        <w:rPr>
          <w:rFonts w:hint="cs"/>
          <w:rtl/>
        </w:rPr>
        <w:t>.</w:t>
      </w:r>
      <w:r w:rsidR="00C56FB2">
        <w:rPr>
          <w:rtl/>
        </w:rPr>
        <w:t xml:space="preserve"> ר' ביבי בשם רבי חנינא</w:t>
      </w:r>
      <w:r>
        <w:rPr>
          <w:rFonts w:hint="cs"/>
          <w:rtl/>
        </w:rPr>
        <w:t>:</w:t>
      </w:r>
      <w:r w:rsidR="00C56FB2">
        <w:rPr>
          <w:rtl/>
        </w:rPr>
        <w:t xml:space="preserve"> א</w:t>
      </w:r>
      <w:r>
        <w:rPr>
          <w:rtl/>
        </w:rPr>
        <w:t>ֵ</w:t>
      </w:r>
      <w:r w:rsidR="00C56FB2">
        <w:rPr>
          <w:rtl/>
        </w:rPr>
        <w:t>ימ</w:t>
      </w:r>
      <w:r>
        <w:rPr>
          <w:rtl/>
        </w:rPr>
        <w:t>ָ</w:t>
      </w:r>
      <w:r w:rsidR="00C56FB2">
        <w:rPr>
          <w:rtl/>
        </w:rPr>
        <w:t>ת שבת עליו והוא אומר אמת</w:t>
      </w:r>
      <w:r>
        <w:rPr>
          <w:rFonts w:hint="cs"/>
          <w:rtl/>
        </w:rPr>
        <w:t>.</w:t>
      </w:r>
      <w:r w:rsidR="002F1014">
        <w:rPr>
          <w:rStyle w:val="a5"/>
          <w:rtl/>
        </w:rPr>
        <w:footnoteReference w:id="18"/>
      </w:r>
    </w:p>
    <w:p w14:paraId="1DC31A94" w14:textId="77777777" w:rsidR="00490C62" w:rsidRDefault="00490C62" w:rsidP="00BC06C5">
      <w:pPr>
        <w:pStyle w:val="ab"/>
        <w:rPr>
          <w:rtl/>
        </w:rPr>
      </w:pPr>
      <w:r>
        <w:rPr>
          <w:rtl/>
        </w:rPr>
        <w:t>מסכת גיטין פרק ה</w:t>
      </w:r>
      <w:r>
        <w:rPr>
          <w:rFonts w:hint="cs"/>
          <w:rtl/>
        </w:rPr>
        <w:t xml:space="preserve"> </w:t>
      </w:r>
      <w:r>
        <w:rPr>
          <w:rtl/>
        </w:rPr>
        <w:t>משנה ט</w:t>
      </w:r>
      <w:r w:rsidR="00BC06C5">
        <w:rPr>
          <w:rStyle w:val="a5"/>
          <w:rtl/>
        </w:rPr>
        <w:footnoteReference w:id="19"/>
      </w:r>
    </w:p>
    <w:p w14:paraId="60DF6DEA" w14:textId="77777777" w:rsidR="001E19D7" w:rsidRDefault="00490C62" w:rsidP="00490C62">
      <w:pPr>
        <w:pStyle w:val="ac"/>
        <w:rPr>
          <w:rFonts w:hint="cs"/>
          <w:rtl/>
        </w:rPr>
      </w:pPr>
      <w:r>
        <w:rPr>
          <w:rtl/>
        </w:rPr>
        <w:t>מ</w:t>
      </w:r>
      <w:r w:rsidR="00BC06C5">
        <w:rPr>
          <w:rtl/>
        </w:rPr>
        <w:t>ַ</w:t>
      </w:r>
      <w:r>
        <w:rPr>
          <w:rtl/>
        </w:rPr>
        <w:t>ש</w:t>
      </w:r>
      <w:r w:rsidR="00BC06C5">
        <w:rPr>
          <w:rtl/>
        </w:rPr>
        <w:t>ְׁ</w:t>
      </w:r>
      <w:r>
        <w:rPr>
          <w:rtl/>
        </w:rPr>
        <w:t>א</w:t>
      </w:r>
      <w:r w:rsidR="00BC06C5">
        <w:rPr>
          <w:rtl/>
        </w:rPr>
        <w:t>ֶ</w:t>
      </w:r>
      <w:r>
        <w:rPr>
          <w:rtl/>
        </w:rPr>
        <w:t>ל</w:t>
      </w:r>
      <w:r w:rsidR="00BC06C5">
        <w:rPr>
          <w:rtl/>
        </w:rPr>
        <w:t>ֶ</w:t>
      </w:r>
      <w:r>
        <w:rPr>
          <w:rtl/>
        </w:rPr>
        <w:t>ת אשה לחברתה החשודה על השביעית</w:t>
      </w:r>
      <w:r w:rsidR="00BC06C5">
        <w:rPr>
          <w:rFonts w:hint="cs"/>
          <w:rtl/>
        </w:rPr>
        <w:t>:</w:t>
      </w:r>
      <w:r>
        <w:rPr>
          <w:rtl/>
        </w:rPr>
        <w:t xml:space="preserve"> נפה ו</w:t>
      </w:r>
      <w:r w:rsidR="00BC06C5">
        <w:rPr>
          <w:rtl/>
        </w:rPr>
        <w:t>ּ</w:t>
      </w:r>
      <w:r>
        <w:rPr>
          <w:rtl/>
        </w:rPr>
        <w:t>כ</w:t>
      </w:r>
      <w:r w:rsidR="00BC06C5">
        <w:rPr>
          <w:rtl/>
        </w:rPr>
        <w:t>ְ</w:t>
      </w:r>
      <w:r>
        <w:rPr>
          <w:rtl/>
        </w:rPr>
        <w:t>ב</w:t>
      </w:r>
      <w:r w:rsidR="00BC06C5">
        <w:rPr>
          <w:rtl/>
        </w:rPr>
        <w:t>ָ</w:t>
      </w:r>
      <w:r>
        <w:rPr>
          <w:rtl/>
        </w:rPr>
        <w:t>ר</w:t>
      </w:r>
      <w:r w:rsidR="00BC06C5">
        <w:rPr>
          <w:rtl/>
        </w:rPr>
        <w:t>ָ</w:t>
      </w:r>
      <w:r>
        <w:rPr>
          <w:rtl/>
        </w:rPr>
        <w:t>ה ורח</w:t>
      </w:r>
      <w:r w:rsidR="00BC06C5">
        <w:rPr>
          <w:rFonts w:hint="cs"/>
          <w:rtl/>
        </w:rPr>
        <w:t>י</w:t>
      </w:r>
      <w:r>
        <w:rPr>
          <w:rtl/>
        </w:rPr>
        <w:t>ים ותנור</w:t>
      </w:r>
      <w:r w:rsidR="00BC06C5">
        <w:rPr>
          <w:rFonts w:hint="cs"/>
          <w:rtl/>
        </w:rPr>
        <w:t>,</w:t>
      </w:r>
      <w:r>
        <w:rPr>
          <w:rtl/>
        </w:rPr>
        <w:t xml:space="preserve"> אבל לא ת</w:t>
      </w:r>
      <w:r w:rsidR="00BC06C5">
        <w:rPr>
          <w:rtl/>
        </w:rPr>
        <w:t>ָ</w:t>
      </w:r>
      <w:r>
        <w:rPr>
          <w:rtl/>
        </w:rPr>
        <w:t>בו</w:t>
      </w:r>
      <w:r w:rsidR="00BC06C5">
        <w:rPr>
          <w:rtl/>
        </w:rPr>
        <w:t>ֹ</w:t>
      </w:r>
      <w:r>
        <w:rPr>
          <w:rtl/>
        </w:rPr>
        <w:t>ר ולא תטחן עמה</w:t>
      </w:r>
      <w:r>
        <w:rPr>
          <w:rFonts w:hint="cs"/>
          <w:rtl/>
        </w:rPr>
        <w:t>.</w:t>
      </w:r>
      <w:r>
        <w:rPr>
          <w:rtl/>
        </w:rPr>
        <w:t xml:space="preserve"> אשת חבר משאלת לאשת עם הארץ</w:t>
      </w:r>
      <w:r w:rsidR="00BC06C5">
        <w:rPr>
          <w:rFonts w:hint="cs"/>
          <w:rtl/>
        </w:rPr>
        <w:t>:</w:t>
      </w:r>
      <w:r>
        <w:rPr>
          <w:rtl/>
        </w:rPr>
        <w:t xml:space="preserve"> נפה וכברה ובוררת וטוחנת ומרקדת עמה</w:t>
      </w:r>
      <w:r w:rsidR="00BC06C5">
        <w:rPr>
          <w:rFonts w:hint="cs"/>
          <w:rtl/>
        </w:rPr>
        <w:t>,</w:t>
      </w:r>
      <w:r>
        <w:rPr>
          <w:rtl/>
        </w:rPr>
        <w:t xml:space="preserve"> אבל משתטיל המים לא ת</w:t>
      </w:r>
      <w:r w:rsidR="00BC06C5">
        <w:rPr>
          <w:rFonts w:hint="cs"/>
          <w:rtl/>
        </w:rPr>
        <w:t>י</w:t>
      </w:r>
      <w:r>
        <w:rPr>
          <w:rtl/>
        </w:rPr>
        <w:t>גע עמה</w:t>
      </w:r>
      <w:r w:rsidR="00BC06C5">
        <w:rPr>
          <w:rFonts w:hint="cs"/>
          <w:rtl/>
        </w:rPr>
        <w:t>,</w:t>
      </w:r>
      <w:r>
        <w:rPr>
          <w:rtl/>
        </w:rPr>
        <w:t xml:space="preserve"> לפי שאין מחזיקין ידי עוברי עבירה</w:t>
      </w:r>
      <w:r w:rsidR="00BC06C5">
        <w:rPr>
          <w:rFonts w:hint="cs"/>
          <w:rtl/>
        </w:rPr>
        <w:t>.</w:t>
      </w:r>
      <w:r>
        <w:rPr>
          <w:rtl/>
        </w:rPr>
        <w:t xml:space="preserve"> וכולן לא אמרו</w:t>
      </w:r>
      <w:r w:rsidR="00D4196D">
        <w:rPr>
          <w:rFonts w:hint="cs"/>
          <w:rtl/>
        </w:rPr>
        <w:t>,</w:t>
      </w:r>
      <w:r>
        <w:rPr>
          <w:rtl/>
        </w:rPr>
        <w:t xml:space="preserve"> אלא מפני דרכי שלום</w:t>
      </w:r>
      <w:r w:rsidR="00BC06C5">
        <w:rPr>
          <w:rFonts w:hint="cs"/>
          <w:rtl/>
        </w:rPr>
        <w:t>.</w:t>
      </w:r>
      <w:r w:rsidR="009D7E12">
        <w:rPr>
          <w:rStyle w:val="a5"/>
          <w:rtl/>
        </w:rPr>
        <w:footnoteReference w:id="20"/>
      </w:r>
    </w:p>
    <w:p w14:paraId="76889527" w14:textId="77777777" w:rsidR="001E19D7" w:rsidRDefault="001E19D7" w:rsidP="000C2E7C">
      <w:pPr>
        <w:pStyle w:val="ab"/>
        <w:rPr>
          <w:rtl/>
        </w:rPr>
      </w:pPr>
      <w:r>
        <w:rPr>
          <w:rtl/>
        </w:rPr>
        <w:t>תוספתא מסכת נדרים (ליברמן) פרק ב</w:t>
      </w:r>
      <w:r w:rsidR="00490C62">
        <w:rPr>
          <w:rFonts w:hint="cs"/>
          <w:rtl/>
        </w:rPr>
        <w:t xml:space="preserve"> הלכה ז</w:t>
      </w:r>
    </w:p>
    <w:p w14:paraId="70CEEFA0" w14:textId="77777777" w:rsidR="001E19D7" w:rsidRDefault="00490C62" w:rsidP="00246CD6">
      <w:pPr>
        <w:pStyle w:val="ac"/>
        <w:rPr>
          <w:rFonts w:hint="cs"/>
          <w:rtl/>
        </w:rPr>
      </w:pPr>
      <w:r>
        <w:rPr>
          <w:rFonts w:hint="cs"/>
          <w:rtl/>
        </w:rPr>
        <w:t xml:space="preserve">... </w:t>
      </w:r>
      <w:r w:rsidR="001E19D7">
        <w:rPr>
          <w:rtl/>
        </w:rPr>
        <w:t>ה</w:t>
      </w:r>
      <w:r w:rsidR="00246CD6">
        <w:rPr>
          <w:rtl/>
        </w:rPr>
        <w:t>ַ</w:t>
      </w:r>
      <w:r w:rsidR="001E19D7">
        <w:rPr>
          <w:rtl/>
        </w:rPr>
        <w:t>מו</w:t>
      </w:r>
      <w:r w:rsidR="00246CD6">
        <w:rPr>
          <w:rtl/>
        </w:rPr>
        <w:t>ּ</w:t>
      </w:r>
      <w:r w:rsidR="001E19D7">
        <w:rPr>
          <w:rtl/>
        </w:rPr>
        <w:t>ד</w:t>
      </w:r>
      <w:r w:rsidR="00246CD6">
        <w:rPr>
          <w:rtl/>
        </w:rPr>
        <w:t>ָ</w:t>
      </w:r>
      <w:r w:rsidR="001E19D7">
        <w:rPr>
          <w:rtl/>
        </w:rPr>
        <w:t>ר הנאה מחבירו ומת</w:t>
      </w:r>
      <w:r w:rsidR="000C2E7C">
        <w:rPr>
          <w:rFonts w:hint="cs"/>
          <w:rtl/>
        </w:rPr>
        <w:t>,</w:t>
      </w:r>
      <w:r w:rsidR="001E19D7">
        <w:rPr>
          <w:rtl/>
        </w:rPr>
        <w:t xml:space="preserve"> מביא לו ארון ותכריכין חלילין ומקוננות</w:t>
      </w:r>
      <w:r w:rsidR="000C2E7C">
        <w:rPr>
          <w:rFonts w:hint="cs"/>
          <w:rtl/>
        </w:rPr>
        <w:t>,</w:t>
      </w:r>
      <w:r w:rsidR="001E19D7">
        <w:rPr>
          <w:rtl/>
        </w:rPr>
        <w:t xml:space="preserve"> שאין הנאה למתים</w:t>
      </w:r>
      <w:r w:rsidR="000C2E7C">
        <w:rPr>
          <w:rFonts w:hint="cs"/>
          <w:rtl/>
        </w:rPr>
        <w:t>.</w:t>
      </w:r>
      <w:r w:rsidR="001E19D7">
        <w:rPr>
          <w:rtl/>
        </w:rPr>
        <w:t xml:space="preserve"> מעידו עדות ממון ועדות נפשות</w:t>
      </w:r>
      <w:r w:rsidR="000C2E7C">
        <w:rPr>
          <w:rFonts w:hint="cs"/>
          <w:rtl/>
        </w:rPr>
        <w:t>.</w:t>
      </w:r>
      <w:r w:rsidR="001E19D7">
        <w:rPr>
          <w:rtl/>
        </w:rPr>
        <w:t xml:space="preserve"> חלה נכנס לבקרו </w:t>
      </w:r>
      <w:r w:rsidR="00246CD6">
        <w:rPr>
          <w:rFonts w:hint="cs"/>
          <w:rtl/>
        </w:rPr>
        <w:t xml:space="preserve">... </w:t>
      </w:r>
      <w:r w:rsidR="001E19D7">
        <w:rPr>
          <w:rtl/>
        </w:rPr>
        <w:t>ושואל בשלומו</w:t>
      </w:r>
      <w:r w:rsidR="00246CD6">
        <w:rPr>
          <w:rFonts w:hint="cs"/>
          <w:rtl/>
        </w:rPr>
        <w:t>.</w:t>
      </w:r>
      <w:r w:rsidR="001E19D7">
        <w:rPr>
          <w:rtl/>
        </w:rPr>
        <w:t xml:space="preserve"> היה כהן זורק עליו דם חטאתו ודם אשמו מפני דרכי שלום</w:t>
      </w:r>
      <w:r w:rsidR="00246CD6">
        <w:rPr>
          <w:rFonts w:hint="cs"/>
          <w:rtl/>
        </w:rPr>
        <w:t>.</w:t>
      </w:r>
      <w:r w:rsidR="001E19D7">
        <w:rPr>
          <w:rtl/>
        </w:rPr>
        <w:t xml:space="preserve"> ורוחץ עמו במרחץ וישן עמו במטה</w:t>
      </w:r>
      <w:r w:rsidR="000C2E7C">
        <w:rPr>
          <w:rFonts w:hint="cs"/>
          <w:rtl/>
        </w:rPr>
        <w:t xml:space="preserve"> וכו'.</w:t>
      </w:r>
      <w:r w:rsidR="00B540AF">
        <w:rPr>
          <w:rStyle w:val="a5"/>
          <w:rtl/>
        </w:rPr>
        <w:footnoteReference w:id="21"/>
      </w:r>
    </w:p>
    <w:p w14:paraId="4DCBD412" w14:textId="77777777" w:rsidR="00DB214B" w:rsidRDefault="00DB214B" w:rsidP="003814F8">
      <w:pPr>
        <w:pStyle w:val="ab"/>
        <w:rPr>
          <w:rtl/>
        </w:rPr>
      </w:pPr>
      <w:r>
        <w:rPr>
          <w:rtl/>
        </w:rPr>
        <w:lastRenderedPageBreak/>
        <w:t>מכילתא דרבי שמעון בר יוחאי פרק יב</w:t>
      </w:r>
      <w:r w:rsidR="00986005">
        <w:rPr>
          <w:rStyle w:val="a5"/>
          <w:rtl/>
        </w:rPr>
        <w:footnoteReference w:id="22"/>
      </w:r>
      <w:r>
        <w:rPr>
          <w:rtl/>
        </w:rPr>
        <w:t xml:space="preserve"> </w:t>
      </w:r>
    </w:p>
    <w:p w14:paraId="1F9395A0" w14:textId="77777777" w:rsidR="00DB214B" w:rsidRDefault="00986005" w:rsidP="00343F57">
      <w:pPr>
        <w:pStyle w:val="ac"/>
        <w:rPr>
          <w:rFonts w:hint="cs"/>
          <w:rtl/>
        </w:rPr>
      </w:pPr>
      <w:r>
        <w:rPr>
          <w:rFonts w:hint="cs"/>
          <w:rtl/>
        </w:rPr>
        <w:t>"</w:t>
      </w:r>
      <w:r>
        <w:rPr>
          <w:rtl/>
        </w:rPr>
        <w:t>ושכנו</w:t>
      </w:r>
      <w:r>
        <w:rPr>
          <w:rFonts w:hint="cs"/>
          <w:rtl/>
        </w:rPr>
        <w:t>"</w:t>
      </w:r>
      <w:r>
        <w:rPr>
          <w:rStyle w:val="a5"/>
          <w:rtl/>
        </w:rPr>
        <w:footnoteReference w:id="23"/>
      </w:r>
      <w:r>
        <w:rPr>
          <w:rtl/>
        </w:rPr>
        <w:t xml:space="preserve"> </w:t>
      </w:r>
      <w:r>
        <w:rPr>
          <w:rFonts w:hint="cs"/>
          <w:rtl/>
        </w:rPr>
        <w:t xml:space="preserve">- </w:t>
      </w:r>
      <w:r>
        <w:rPr>
          <w:rtl/>
        </w:rPr>
        <w:t>בן בגבג אומ</w:t>
      </w:r>
      <w:r>
        <w:rPr>
          <w:rFonts w:hint="cs"/>
          <w:rtl/>
        </w:rPr>
        <w:t>ר:</w:t>
      </w:r>
      <w:r>
        <w:rPr>
          <w:rtl/>
        </w:rPr>
        <w:t xml:space="preserve"> שומע אני שכינו שבשדות</w:t>
      </w:r>
      <w:r>
        <w:rPr>
          <w:rFonts w:hint="cs"/>
          <w:rtl/>
        </w:rPr>
        <w:t>.</w:t>
      </w:r>
      <w:r>
        <w:rPr>
          <w:rtl/>
        </w:rPr>
        <w:t xml:space="preserve"> שכינו שבגגות מניין</w:t>
      </w:r>
      <w:r>
        <w:rPr>
          <w:rFonts w:hint="cs"/>
          <w:rtl/>
        </w:rPr>
        <w:t>?</w:t>
      </w:r>
      <w:r>
        <w:rPr>
          <w:rtl/>
        </w:rPr>
        <w:t xml:space="preserve"> ת</w:t>
      </w:r>
      <w:r>
        <w:rPr>
          <w:rFonts w:hint="cs"/>
          <w:rtl/>
        </w:rPr>
        <w:t>למוד לומר: "</w:t>
      </w:r>
      <w:r>
        <w:rPr>
          <w:rtl/>
        </w:rPr>
        <w:t>הקרוב אל ביתו</w:t>
      </w:r>
      <w:r>
        <w:rPr>
          <w:rFonts w:hint="cs"/>
          <w:rtl/>
        </w:rPr>
        <w:t>" -</w:t>
      </w:r>
      <w:r>
        <w:rPr>
          <w:rtl/>
        </w:rPr>
        <w:t xml:space="preserve"> פתח אל פתח. </w:t>
      </w:r>
      <w:r w:rsidR="00DB214B">
        <w:rPr>
          <w:rtl/>
        </w:rPr>
        <w:t>רבי אומר</w:t>
      </w:r>
      <w:r w:rsidR="00484BA7">
        <w:rPr>
          <w:rFonts w:hint="cs"/>
          <w:rtl/>
        </w:rPr>
        <w:t>:</w:t>
      </w:r>
      <w:r w:rsidR="00DB214B">
        <w:rPr>
          <w:rtl/>
        </w:rPr>
        <w:t xml:space="preserve"> שלשתן נאמרו</w:t>
      </w:r>
      <w:r w:rsidR="00343F57">
        <w:rPr>
          <w:rFonts w:hint="cs"/>
          <w:rtl/>
        </w:rPr>
        <w:t>:</w:t>
      </w:r>
      <w:r w:rsidR="00DB214B">
        <w:rPr>
          <w:rtl/>
        </w:rPr>
        <w:t xml:space="preserve"> </w:t>
      </w:r>
      <w:r w:rsidR="00343F57">
        <w:rPr>
          <w:rFonts w:hint="cs"/>
          <w:rtl/>
        </w:rPr>
        <w:t>"</w:t>
      </w:r>
      <w:r w:rsidR="00DB214B">
        <w:rPr>
          <w:rtl/>
        </w:rPr>
        <w:t>שכינו</w:t>
      </w:r>
      <w:r w:rsidR="00343F57">
        <w:rPr>
          <w:rFonts w:hint="cs"/>
          <w:rtl/>
        </w:rPr>
        <w:t xml:space="preserve">" - </w:t>
      </w:r>
      <w:r w:rsidR="00DB214B">
        <w:rPr>
          <w:rtl/>
        </w:rPr>
        <w:t>זה שכינו שבשדות</w:t>
      </w:r>
      <w:r w:rsidR="00343F57">
        <w:rPr>
          <w:rFonts w:hint="cs"/>
          <w:rtl/>
        </w:rPr>
        <w:t>.</w:t>
      </w:r>
      <w:r w:rsidR="00DB214B">
        <w:rPr>
          <w:rtl/>
        </w:rPr>
        <w:t xml:space="preserve"> </w:t>
      </w:r>
      <w:r w:rsidR="00343F57">
        <w:rPr>
          <w:rFonts w:hint="cs"/>
          <w:rtl/>
        </w:rPr>
        <w:t>"</w:t>
      </w:r>
      <w:r w:rsidR="00DB214B">
        <w:rPr>
          <w:rtl/>
        </w:rPr>
        <w:t>שכינו</w:t>
      </w:r>
      <w:r w:rsidR="00343F57">
        <w:rPr>
          <w:rFonts w:hint="cs"/>
          <w:rtl/>
        </w:rPr>
        <w:t>"</w:t>
      </w:r>
      <w:r w:rsidR="00343F57">
        <w:rPr>
          <w:rStyle w:val="a5"/>
          <w:rtl/>
        </w:rPr>
        <w:footnoteReference w:id="24"/>
      </w:r>
      <w:r w:rsidR="00DB214B">
        <w:rPr>
          <w:rtl/>
        </w:rPr>
        <w:t xml:space="preserve"> </w:t>
      </w:r>
      <w:r w:rsidR="00343F57">
        <w:rPr>
          <w:rFonts w:hint="cs"/>
          <w:rtl/>
        </w:rPr>
        <w:t xml:space="preserve">- </w:t>
      </w:r>
      <w:r w:rsidR="00DB214B">
        <w:rPr>
          <w:rtl/>
        </w:rPr>
        <w:t>זה שכינו שבגגות</w:t>
      </w:r>
      <w:r w:rsidR="00343F57">
        <w:rPr>
          <w:rFonts w:hint="cs"/>
          <w:rtl/>
        </w:rPr>
        <w:t>.</w:t>
      </w:r>
      <w:r w:rsidR="00DB214B">
        <w:rPr>
          <w:rtl/>
        </w:rPr>
        <w:t xml:space="preserve"> </w:t>
      </w:r>
      <w:r w:rsidR="00343F57">
        <w:rPr>
          <w:rFonts w:hint="cs"/>
          <w:rtl/>
        </w:rPr>
        <w:t>"</w:t>
      </w:r>
      <w:r w:rsidR="00DB214B">
        <w:rPr>
          <w:rtl/>
        </w:rPr>
        <w:t>הקרוב</w:t>
      </w:r>
      <w:r w:rsidR="00343F57">
        <w:rPr>
          <w:rFonts w:hint="cs"/>
          <w:rtl/>
        </w:rPr>
        <w:t>" -</w:t>
      </w:r>
      <w:r w:rsidR="00DB214B">
        <w:rPr>
          <w:rtl/>
        </w:rPr>
        <w:t xml:space="preserve"> זה הקרוב אל ביתו סמוך לפתח</w:t>
      </w:r>
      <w:r w:rsidR="00484BA7">
        <w:rPr>
          <w:rFonts w:hint="cs"/>
          <w:rtl/>
        </w:rPr>
        <w:t>.</w:t>
      </w:r>
      <w:r w:rsidR="00DB214B">
        <w:rPr>
          <w:rtl/>
        </w:rPr>
        <w:t xml:space="preserve"> פסח מצ</w:t>
      </w:r>
      <w:r w:rsidR="00484BA7">
        <w:rPr>
          <w:rFonts w:hint="cs"/>
          <w:rtl/>
        </w:rPr>
        <w:t>רים</w:t>
      </w:r>
      <w:r w:rsidR="009479EB">
        <w:rPr>
          <w:rFonts w:hint="cs"/>
          <w:rtl/>
        </w:rPr>
        <w:t xml:space="preserve"> -</w:t>
      </w:r>
      <w:r w:rsidR="00DB214B">
        <w:rPr>
          <w:rtl/>
        </w:rPr>
        <w:t xml:space="preserve"> שכינו קרוב לביתו</w:t>
      </w:r>
      <w:r w:rsidR="009479EB">
        <w:rPr>
          <w:rFonts w:hint="cs"/>
          <w:rtl/>
        </w:rPr>
        <w:t>,</w:t>
      </w:r>
      <w:r w:rsidR="00DB214B">
        <w:rPr>
          <w:rtl/>
        </w:rPr>
        <w:t xml:space="preserve"> ואין פסח דורות </w:t>
      </w:r>
      <w:r w:rsidR="009479EB">
        <w:rPr>
          <w:rFonts w:hint="cs"/>
          <w:rtl/>
        </w:rPr>
        <w:t xml:space="preserve">- </w:t>
      </w:r>
      <w:r w:rsidR="00DB214B">
        <w:rPr>
          <w:rtl/>
        </w:rPr>
        <w:t>שכינו קרוב לביתו</w:t>
      </w:r>
      <w:r w:rsidR="00484BA7">
        <w:rPr>
          <w:rFonts w:hint="cs"/>
          <w:rtl/>
        </w:rPr>
        <w:t>.</w:t>
      </w:r>
      <w:r w:rsidR="00343F57">
        <w:rPr>
          <w:rStyle w:val="a5"/>
          <w:rtl/>
        </w:rPr>
        <w:footnoteReference w:id="25"/>
      </w:r>
      <w:r w:rsidR="00DB214B">
        <w:rPr>
          <w:rtl/>
        </w:rPr>
        <w:t xml:space="preserve"> ר' שמע</w:t>
      </w:r>
      <w:r w:rsidR="00484BA7">
        <w:rPr>
          <w:rFonts w:hint="cs"/>
          <w:rtl/>
        </w:rPr>
        <w:t xml:space="preserve">ון אומר: </w:t>
      </w:r>
      <w:r w:rsidR="00DB214B">
        <w:rPr>
          <w:rtl/>
        </w:rPr>
        <w:t xml:space="preserve">אף פסח דורות </w:t>
      </w:r>
      <w:r w:rsidR="009479EB">
        <w:rPr>
          <w:rFonts w:hint="cs"/>
          <w:rtl/>
        </w:rPr>
        <w:t xml:space="preserve">- </w:t>
      </w:r>
      <w:r w:rsidR="00DB214B">
        <w:rPr>
          <w:rtl/>
        </w:rPr>
        <w:t>שכינו קרוב לביתו</w:t>
      </w:r>
      <w:r w:rsidR="00484BA7">
        <w:rPr>
          <w:rFonts w:hint="cs"/>
          <w:rtl/>
        </w:rPr>
        <w:t>.</w:t>
      </w:r>
      <w:r w:rsidR="00DB214B">
        <w:rPr>
          <w:rtl/>
        </w:rPr>
        <w:t xml:space="preserve"> וכל כך</w:t>
      </w:r>
      <w:r w:rsidR="00484BA7">
        <w:rPr>
          <w:rFonts w:hint="cs"/>
          <w:rtl/>
        </w:rPr>
        <w:t>,</w:t>
      </w:r>
      <w:r w:rsidR="00DB214B">
        <w:rPr>
          <w:rtl/>
        </w:rPr>
        <w:t xml:space="preserve"> לא דברה תורה אלא מפני דרכי שלום</w:t>
      </w:r>
      <w:r w:rsidR="00484BA7">
        <w:rPr>
          <w:rFonts w:hint="cs"/>
          <w:rtl/>
        </w:rPr>
        <w:t>.</w:t>
      </w:r>
      <w:r w:rsidR="009D7E12">
        <w:rPr>
          <w:rStyle w:val="a5"/>
          <w:rtl/>
        </w:rPr>
        <w:footnoteReference w:id="26"/>
      </w:r>
      <w:r w:rsidR="00DB214B">
        <w:rPr>
          <w:rtl/>
        </w:rPr>
        <w:t xml:space="preserve"> שלא יהא אדם מניח אהבו ושכניו</w:t>
      </w:r>
      <w:r w:rsidR="00A87C9D">
        <w:rPr>
          <w:rFonts w:hint="cs"/>
          <w:rtl/>
        </w:rPr>
        <w:t>,</w:t>
      </w:r>
      <w:r w:rsidR="00DB214B">
        <w:rPr>
          <w:rtl/>
        </w:rPr>
        <w:t xml:space="preserve"> מכיריו ומיודעיו ואחד מבני עירו</w:t>
      </w:r>
      <w:r w:rsidR="00343F57">
        <w:rPr>
          <w:rFonts w:hint="cs"/>
          <w:rtl/>
        </w:rPr>
        <w:t>,</w:t>
      </w:r>
      <w:r w:rsidR="00DB214B">
        <w:rPr>
          <w:rtl/>
        </w:rPr>
        <w:t xml:space="preserve"> והולך ועושה פסח אצל אחרים</w:t>
      </w:r>
      <w:r w:rsidR="00484BA7">
        <w:rPr>
          <w:rFonts w:hint="cs"/>
          <w:rtl/>
        </w:rPr>
        <w:t>,</w:t>
      </w:r>
      <w:r w:rsidR="00DB214B">
        <w:rPr>
          <w:rtl/>
        </w:rPr>
        <w:t xml:space="preserve"> שנ</w:t>
      </w:r>
      <w:r w:rsidR="00484BA7">
        <w:rPr>
          <w:rFonts w:hint="cs"/>
          <w:rtl/>
        </w:rPr>
        <w:t>אמר:</w:t>
      </w:r>
      <w:r w:rsidR="00DB214B">
        <w:rPr>
          <w:rtl/>
        </w:rPr>
        <w:t xml:space="preserve"> </w:t>
      </w:r>
      <w:r w:rsidR="00343F57">
        <w:rPr>
          <w:rFonts w:hint="cs"/>
          <w:rtl/>
        </w:rPr>
        <w:t>"</w:t>
      </w:r>
      <w:r w:rsidR="00DB214B">
        <w:rPr>
          <w:rtl/>
        </w:rPr>
        <w:t>טוב שכן קרוב מאח רחוק</w:t>
      </w:r>
      <w:r w:rsidR="00343F57">
        <w:rPr>
          <w:rFonts w:hint="cs"/>
          <w:rtl/>
        </w:rPr>
        <w:t>"</w:t>
      </w:r>
      <w:r w:rsidR="00DB214B">
        <w:rPr>
          <w:rtl/>
        </w:rPr>
        <w:t xml:space="preserve"> (מש</w:t>
      </w:r>
      <w:r w:rsidR="009479EB">
        <w:rPr>
          <w:rFonts w:hint="cs"/>
          <w:rtl/>
        </w:rPr>
        <w:t>לי</w:t>
      </w:r>
      <w:r w:rsidR="00DB214B">
        <w:rPr>
          <w:rtl/>
        </w:rPr>
        <w:t xml:space="preserve"> כז י)</w:t>
      </w:r>
      <w:r w:rsidR="00B16354">
        <w:rPr>
          <w:rFonts w:hint="cs"/>
          <w:rtl/>
        </w:rPr>
        <w:t>.</w:t>
      </w:r>
      <w:r w:rsidR="00B16354">
        <w:rPr>
          <w:rStyle w:val="a5"/>
          <w:rtl/>
        </w:rPr>
        <w:footnoteReference w:id="27"/>
      </w:r>
    </w:p>
    <w:p w14:paraId="7BDFE1DB" w14:textId="77777777" w:rsidR="00236D04" w:rsidRDefault="00236D04" w:rsidP="00A87C9D">
      <w:pPr>
        <w:pStyle w:val="ab"/>
        <w:rPr>
          <w:rtl/>
        </w:rPr>
      </w:pPr>
      <w:r>
        <w:rPr>
          <w:rtl/>
        </w:rPr>
        <w:t>מדרש ילמדנו (מאן) ילקוט תלמוד תורה - בראשית אות קמד</w:t>
      </w:r>
    </w:p>
    <w:p w14:paraId="56E87A61" w14:textId="77777777" w:rsidR="00A87C9D" w:rsidRDefault="00A87C9D" w:rsidP="00A87C9D">
      <w:pPr>
        <w:pStyle w:val="ac"/>
        <w:rPr>
          <w:rFonts w:hint="cs"/>
          <w:rtl/>
        </w:rPr>
      </w:pPr>
      <w:r>
        <w:rPr>
          <w:rFonts w:hint="cs"/>
          <w:rtl/>
        </w:rPr>
        <w:t>אמר לו הק</w:t>
      </w:r>
      <w:r w:rsidR="00236D04">
        <w:rPr>
          <w:rtl/>
        </w:rPr>
        <w:t>ב"ה ליעקב: לא דייך שעשית את הק</w:t>
      </w:r>
      <w:r>
        <w:rPr>
          <w:rFonts w:hint="cs"/>
          <w:rtl/>
        </w:rPr>
        <w:t>ו</w:t>
      </w:r>
      <w:r w:rsidR="00236D04">
        <w:rPr>
          <w:rtl/>
        </w:rPr>
        <w:t xml:space="preserve">דש חול, אלא שאני אמרתי </w:t>
      </w:r>
      <w:r>
        <w:rPr>
          <w:rFonts w:hint="cs"/>
          <w:rtl/>
        </w:rPr>
        <w:t>"</w:t>
      </w:r>
      <w:r w:rsidR="00236D04">
        <w:rPr>
          <w:rtl/>
        </w:rPr>
        <w:t>ורב יעבד צעיר</w:t>
      </w:r>
      <w:r>
        <w:rPr>
          <w:rFonts w:hint="cs"/>
          <w:rtl/>
        </w:rPr>
        <w:t>"</w:t>
      </w:r>
      <w:r w:rsidR="00236D04">
        <w:rPr>
          <w:rtl/>
        </w:rPr>
        <w:t xml:space="preserve"> (בר</w:t>
      </w:r>
      <w:r>
        <w:rPr>
          <w:rFonts w:hint="cs"/>
          <w:rtl/>
        </w:rPr>
        <w:t xml:space="preserve">אשית </w:t>
      </w:r>
      <w:r w:rsidR="00236D04">
        <w:rPr>
          <w:rtl/>
        </w:rPr>
        <w:t>כה</w:t>
      </w:r>
      <w:r>
        <w:rPr>
          <w:rFonts w:hint="cs"/>
          <w:rtl/>
        </w:rPr>
        <w:t xml:space="preserve"> </w:t>
      </w:r>
      <w:r w:rsidR="00236D04">
        <w:rPr>
          <w:rtl/>
        </w:rPr>
        <w:t>כג), ואתה אמרת</w:t>
      </w:r>
      <w:r>
        <w:rPr>
          <w:rFonts w:hint="cs"/>
          <w:rtl/>
        </w:rPr>
        <w:t>:</w:t>
      </w:r>
      <w:r w:rsidR="00236D04">
        <w:rPr>
          <w:rtl/>
        </w:rPr>
        <w:t xml:space="preserve"> </w:t>
      </w:r>
      <w:r>
        <w:rPr>
          <w:rFonts w:hint="cs"/>
          <w:rtl/>
        </w:rPr>
        <w:t>"</w:t>
      </w:r>
      <w:r w:rsidR="00236D04">
        <w:rPr>
          <w:rtl/>
        </w:rPr>
        <w:t>עבדך יעקב</w:t>
      </w:r>
      <w:r>
        <w:rPr>
          <w:rFonts w:hint="cs"/>
          <w:rtl/>
        </w:rPr>
        <w:t>"!</w:t>
      </w:r>
      <w:r w:rsidR="00236D04">
        <w:rPr>
          <w:rtl/>
        </w:rPr>
        <w:t xml:space="preserve"> </w:t>
      </w:r>
      <w:r>
        <w:rPr>
          <w:rFonts w:hint="cs"/>
          <w:rtl/>
        </w:rPr>
        <w:t xml:space="preserve">... </w:t>
      </w:r>
      <w:r w:rsidR="00236D04">
        <w:rPr>
          <w:rtl/>
        </w:rPr>
        <w:t>אמר לפניו: ר</w:t>
      </w:r>
      <w:r>
        <w:rPr>
          <w:rFonts w:hint="cs"/>
          <w:rtl/>
        </w:rPr>
        <w:t>י</w:t>
      </w:r>
      <w:r w:rsidR="00236D04">
        <w:rPr>
          <w:rtl/>
        </w:rPr>
        <w:t>בון כל העולמים, אני מחניף לרשע בשביל שלא יהרגני. מכאן אמרו: מחניפין לרשעים מפני דרכי שלום.</w:t>
      </w:r>
      <w:r w:rsidR="00D36584">
        <w:rPr>
          <w:rStyle w:val="a5"/>
          <w:rtl/>
        </w:rPr>
        <w:footnoteReference w:id="28"/>
      </w:r>
      <w:r w:rsidR="00236D04">
        <w:rPr>
          <w:rtl/>
        </w:rPr>
        <w:t xml:space="preserve"> </w:t>
      </w:r>
    </w:p>
    <w:p w14:paraId="2FABC3C4" w14:textId="77777777" w:rsidR="00676E1F" w:rsidRDefault="00676E1F" w:rsidP="00676E1F">
      <w:pPr>
        <w:pStyle w:val="ab"/>
        <w:rPr>
          <w:rtl/>
        </w:rPr>
      </w:pPr>
      <w:r>
        <w:rPr>
          <w:rtl/>
        </w:rPr>
        <w:t>בראשית רבה</w:t>
      </w:r>
      <w:r>
        <w:rPr>
          <w:rFonts w:hint="cs"/>
          <w:rtl/>
        </w:rPr>
        <w:t xml:space="preserve"> ק ח, </w:t>
      </w:r>
      <w:r>
        <w:rPr>
          <w:rtl/>
        </w:rPr>
        <w:t xml:space="preserve">פרשת ויחי </w:t>
      </w:r>
    </w:p>
    <w:p w14:paraId="6B81F896" w14:textId="77777777" w:rsidR="007A35BB" w:rsidRDefault="00676E1F" w:rsidP="00676E1F">
      <w:pPr>
        <w:pStyle w:val="ac"/>
        <w:rPr>
          <w:rFonts w:hint="cs"/>
          <w:rtl/>
        </w:rPr>
      </w:pPr>
      <w:r>
        <w:rPr>
          <w:rFonts w:hint="cs"/>
          <w:rtl/>
        </w:rPr>
        <w:t>"</w:t>
      </w:r>
      <w:r>
        <w:rPr>
          <w:rtl/>
        </w:rPr>
        <w:t>ויצוו אל יוסף לאמר אביך צוה</w:t>
      </w:r>
      <w:r>
        <w:rPr>
          <w:rFonts w:hint="cs"/>
          <w:rtl/>
        </w:rPr>
        <w:t xml:space="preserve"> לפני מותו</w:t>
      </w:r>
      <w:r>
        <w:rPr>
          <w:rtl/>
        </w:rPr>
        <w:t xml:space="preserve"> וגו'</w:t>
      </w:r>
      <w:r>
        <w:rPr>
          <w:rFonts w:hint="cs"/>
          <w:rtl/>
        </w:rPr>
        <w:t xml:space="preserve"> " (בראשית נ טז) </w:t>
      </w:r>
      <w:r>
        <w:rPr>
          <w:rtl/>
        </w:rPr>
        <w:t>– תני</w:t>
      </w:r>
      <w:r>
        <w:rPr>
          <w:rFonts w:hint="cs"/>
          <w:rtl/>
        </w:rPr>
        <w:t>:</w:t>
      </w:r>
      <w:r>
        <w:rPr>
          <w:rtl/>
        </w:rPr>
        <w:t xml:space="preserve"> ר' שמעון בן גמליאל א</w:t>
      </w:r>
      <w:r>
        <w:rPr>
          <w:rFonts w:hint="cs"/>
          <w:rtl/>
        </w:rPr>
        <w:t>ו</w:t>
      </w:r>
      <w:r>
        <w:rPr>
          <w:rtl/>
        </w:rPr>
        <w:t>מר</w:t>
      </w:r>
      <w:r>
        <w:rPr>
          <w:rFonts w:hint="cs"/>
          <w:rtl/>
        </w:rPr>
        <w:t>:</w:t>
      </w:r>
      <w:r>
        <w:rPr>
          <w:rtl/>
        </w:rPr>
        <w:t xml:space="preserve"> גדול השלום שאף השבטים דברו דברים בדויים בשביל להטיל שלום בין יוסף לשבטים</w:t>
      </w:r>
      <w:r>
        <w:rPr>
          <w:rFonts w:hint="cs"/>
          <w:rtl/>
        </w:rPr>
        <w:t>.</w:t>
      </w:r>
      <w:r w:rsidR="007706A3">
        <w:rPr>
          <w:rStyle w:val="a5"/>
          <w:rtl/>
        </w:rPr>
        <w:footnoteReference w:id="29"/>
      </w:r>
    </w:p>
    <w:p w14:paraId="742A9025" w14:textId="77777777" w:rsidR="001E7AE7" w:rsidRDefault="001E7AE7" w:rsidP="00ED3BE8">
      <w:pPr>
        <w:pStyle w:val="ad"/>
        <w:spacing w:before="240"/>
        <w:rPr>
          <w:rFonts w:hint="cs"/>
          <w:rtl/>
        </w:rPr>
      </w:pPr>
      <w:r>
        <w:rPr>
          <w:rFonts w:hint="cs"/>
          <w:rtl/>
        </w:rPr>
        <w:t xml:space="preserve">שבת שלום </w:t>
      </w:r>
    </w:p>
    <w:p w14:paraId="1FE8CCCF" w14:textId="77777777" w:rsidR="001E7AE7" w:rsidRDefault="001E7AE7" w:rsidP="00B81390">
      <w:pPr>
        <w:pStyle w:val="ad"/>
        <w:rPr>
          <w:rFonts w:hint="cs"/>
          <w:rtl/>
        </w:rPr>
      </w:pPr>
      <w:r>
        <w:rPr>
          <w:rFonts w:hint="cs"/>
          <w:rtl/>
        </w:rPr>
        <w:t>מחלקי המים</w:t>
      </w:r>
    </w:p>
    <w:p w14:paraId="4105F44C" w14:textId="77777777" w:rsidR="001E7AE7" w:rsidRPr="00401784" w:rsidRDefault="001E7AE7" w:rsidP="00F56BE1">
      <w:pPr>
        <w:pStyle w:val="ac"/>
        <w:spacing w:before="120" w:line="260" w:lineRule="atLeast"/>
        <w:rPr>
          <w:rFonts w:cs="Narkisim" w:hint="cs"/>
          <w:szCs w:val="22"/>
          <w:rtl/>
        </w:rPr>
      </w:pPr>
      <w:r w:rsidRPr="00E003F5">
        <w:rPr>
          <w:rFonts w:cs="Narkisim" w:hint="cs"/>
          <w:b/>
          <w:bCs/>
          <w:szCs w:val="22"/>
          <w:rtl/>
        </w:rPr>
        <w:lastRenderedPageBreak/>
        <w:t>מים אחרונים:</w:t>
      </w:r>
      <w:r w:rsidRPr="00401784">
        <w:rPr>
          <w:rFonts w:cs="Narkisim" w:hint="cs"/>
          <w:szCs w:val="22"/>
          <w:rtl/>
        </w:rPr>
        <w:t xml:space="preserve"> </w:t>
      </w:r>
      <w:r w:rsidR="005D4526">
        <w:rPr>
          <w:rFonts w:cs="Narkisim" w:hint="cs"/>
          <w:szCs w:val="22"/>
          <w:rtl/>
        </w:rPr>
        <w:t xml:space="preserve">ניסינו לכסות את </w:t>
      </w:r>
      <w:r w:rsidR="006E64D6">
        <w:rPr>
          <w:rFonts w:cs="Narkisim" w:hint="cs"/>
          <w:szCs w:val="22"/>
          <w:rtl/>
        </w:rPr>
        <w:t xml:space="preserve">הנושא הנכבד 'מפני דרכי שלום' </w:t>
      </w:r>
      <w:r w:rsidR="005D4526">
        <w:rPr>
          <w:rFonts w:cs="Narkisim" w:hint="cs"/>
          <w:szCs w:val="22"/>
          <w:rtl/>
        </w:rPr>
        <w:t xml:space="preserve">הן בהיבט החיצוני שלו </w:t>
      </w:r>
      <w:r w:rsidR="005D4526">
        <w:rPr>
          <w:rFonts w:cs="Narkisim"/>
          <w:szCs w:val="22"/>
          <w:rtl/>
        </w:rPr>
        <w:t>–</w:t>
      </w:r>
      <w:r w:rsidR="005D4526">
        <w:rPr>
          <w:rFonts w:cs="Narkisim" w:hint="cs"/>
          <w:szCs w:val="22"/>
          <w:rtl/>
        </w:rPr>
        <w:t xml:space="preserve"> היחס לגויים ונכרים, והן בהיבט היהודי הפנימי </w:t>
      </w:r>
      <w:r w:rsidR="005D4526">
        <w:rPr>
          <w:rFonts w:cs="Narkisim"/>
          <w:szCs w:val="22"/>
          <w:rtl/>
        </w:rPr>
        <w:t>–</w:t>
      </w:r>
      <w:r w:rsidR="005D4526">
        <w:rPr>
          <w:rFonts w:cs="Narkisim" w:hint="cs"/>
          <w:szCs w:val="22"/>
          <w:rtl/>
        </w:rPr>
        <w:t xml:space="preserve"> ברמת היחס ליחיד ולקבוצות שונות בתוך העם; הן "דרכי שלום" כנות וישרות והן דרכי שלום שמכופפות קצת את האמת המוחלטת</w:t>
      </w:r>
      <w:r w:rsidR="00D343AA">
        <w:rPr>
          <w:rFonts w:cs="Narkisim" w:hint="cs"/>
          <w:szCs w:val="22"/>
          <w:rtl/>
        </w:rPr>
        <w:t xml:space="preserve"> למען החיים</w:t>
      </w:r>
      <w:r w:rsidR="005D4526">
        <w:rPr>
          <w:rFonts w:cs="Narkisim" w:hint="cs"/>
          <w:szCs w:val="22"/>
          <w:rtl/>
        </w:rPr>
        <w:t xml:space="preserve">. </w:t>
      </w:r>
      <w:r w:rsidR="00D343AA">
        <w:rPr>
          <w:rFonts w:cs="Narkisim" w:hint="cs"/>
          <w:szCs w:val="22"/>
          <w:rtl/>
        </w:rPr>
        <w:t xml:space="preserve">עם זאת, </w:t>
      </w:r>
      <w:r w:rsidR="005D4526">
        <w:rPr>
          <w:rFonts w:cs="Narkisim" w:hint="cs"/>
          <w:szCs w:val="22"/>
          <w:rtl/>
        </w:rPr>
        <w:t>ברור שלא מיצינו את הנושא ו</w:t>
      </w:r>
      <w:r w:rsidR="00F56BE1">
        <w:rPr>
          <w:rFonts w:cs="Narkisim" w:hint="cs"/>
          <w:szCs w:val="22"/>
          <w:rtl/>
        </w:rPr>
        <w:t>נגענו רק כמטביל מכחול בים ב</w:t>
      </w:r>
      <w:r w:rsidR="005D4526">
        <w:rPr>
          <w:rFonts w:cs="Narkisim" w:hint="cs"/>
          <w:szCs w:val="22"/>
          <w:rtl/>
        </w:rPr>
        <w:t>נושא המשלים "</w:t>
      </w:r>
      <w:r w:rsidR="006E64D6">
        <w:rPr>
          <w:rFonts w:cs="Narkisim" w:hint="cs"/>
          <w:szCs w:val="22"/>
          <w:rtl/>
        </w:rPr>
        <w:t>מפני איבה</w:t>
      </w:r>
      <w:r w:rsidR="005D4526">
        <w:rPr>
          <w:rFonts w:cs="Narkisim" w:hint="cs"/>
          <w:szCs w:val="22"/>
          <w:rtl/>
        </w:rPr>
        <w:t>"</w:t>
      </w:r>
      <w:r w:rsidR="00B66E7F">
        <w:rPr>
          <w:rFonts w:cs="Narkisim" w:hint="cs"/>
          <w:szCs w:val="22"/>
          <w:rtl/>
        </w:rPr>
        <w:t xml:space="preserve"> או "משום איבה", היינו מניעת ריב </w:t>
      </w:r>
      <w:r w:rsidR="00C127D3">
        <w:rPr>
          <w:rFonts w:cs="Narkisim" w:hint="cs"/>
          <w:szCs w:val="22"/>
          <w:rtl/>
        </w:rPr>
        <w:t xml:space="preserve">בעולם </w:t>
      </w:r>
      <w:r w:rsidR="00B66E7F">
        <w:rPr>
          <w:rFonts w:cs="Narkisim" w:hint="cs"/>
          <w:szCs w:val="22"/>
          <w:rtl/>
        </w:rPr>
        <w:t>ובא לידי ביטוי למשל בהלכות אבלות וצער ב</w:t>
      </w:r>
      <w:r w:rsidR="00C127D3">
        <w:rPr>
          <w:rFonts w:cs="Narkisim" w:hint="cs"/>
          <w:szCs w:val="22"/>
          <w:rtl/>
        </w:rPr>
        <w:t xml:space="preserve">עלי חיים. ראה דברינו </w:t>
      </w:r>
      <w:hyperlink r:id="rId12" w:history="1">
        <w:r w:rsidR="00C127D3" w:rsidRPr="00C127D3">
          <w:rPr>
            <w:rStyle w:val="Hyperlink"/>
            <w:rFonts w:cs="Narkisim" w:hint="cs"/>
            <w:szCs w:val="22"/>
            <w:rtl/>
          </w:rPr>
          <w:t>אבל שבעת ימים</w:t>
        </w:r>
      </w:hyperlink>
      <w:r w:rsidR="00C127D3">
        <w:rPr>
          <w:rFonts w:cs="Narkisim" w:hint="cs"/>
          <w:szCs w:val="22"/>
          <w:rtl/>
        </w:rPr>
        <w:t xml:space="preserve"> בפרשת ויחי וכן </w:t>
      </w:r>
      <w:hyperlink r:id="rId13" w:history="1">
        <w:r w:rsidR="00C127D3" w:rsidRPr="00C127D3">
          <w:rPr>
            <w:rStyle w:val="Hyperlink"/>
            <w:rFonts w:cs="Narkisim" w:hint="cs"/>
            <w:szCs w:val="22"/>
            <w:rtl/>
          </w:rPr>
          <w:t>צער בעלי חיים</w:t>
        </w:r>
      </w:hyperlink>
      <w:r w:rsidR="00C127D3">
        <w:rPr>
          <w:rFonts w:cs="Narkisim" w:hint="cs"/>
          <w:szCs w:val="22"/>
          <w:rtl/>
        </w:rPr>
        <w:t xml:space="preserve"> בפרשת משפטים</w:t>
      </w:r>
      <w:r w:rsidR="00D343AA">
        <w:rPr>
          <w:rFonts w:cs="Narkisim" w:hint="cs"/>
          <w:szCs w:val="22"/>
          <w:rtl/>
        </w:rPr>
        <w:t>.</w:t>
      </w:r>
      <w:r w:rsidR="005D4526">
        <w:rPr>
          <w:rFonts w:cs="Narkisim" w:hint="cs"/>
          <w:szCs w:val="22"/>
          <w:rtl/>
        </w:rPr>
        <w:t xml:space="preserve"> ואם שגינו או החסרנו</w:t>
      </w:r>
      <w:r w:rsidR="00F54282">
        <w:rPr>
          <w:rFonts w:cs="Narkisim" w:hint="cs"/>
          <w:szCs w:val="22"/>
          <w:rtl/>
        </w:rPr>
        <w:t>,</w:t>
      </w:r>
      <w:r w:rsidR="005D4526">
        <w:rPr>
          <w:rFonts w:cs="Narkisim" w:hint="cs"/>
          <w:szCs w:val="22"/>
          <w:rtl/>
        </w:rPr>
        <w:t xml:space="preserve"> הארכנו</w:t>
      </w:r>
      <w:r w:rsidR="00D343AA">
        <w:rPr>
          <w:rFonts w:cs="Narkisim" w:hint="cs"/>
          <w:szCs w:val="22"/>
          <w:rtl/>
        </w:rPr>
        <w:t xml:space="preserve"> או קצרנו</w:t>
      </w:r>
      <w:r w:rsidR="005D4526">
        <w:rPr>
          <w:rFonts w:cs="Narkisim" w:hint="cs"/>
          <w:szCs w:val="22"/>
          <w:rtl/>
        </w:rPr>
        <w:t xml:space="preserve">, ידונו אותנו </w:t>
      </w:r>
      <w:r w:rsidR="00F54282">
        <w:rPr>
          <w:rFonts w:cs="Narkisim" w:hint="cs"/>
          <w:szCs w:val="22"/>
          <w:rtl/>
        </w:rPr>
        <w:t>שואב</w:t>
      </w:r>
      <w:r w:rsidR="005D4526">
        <w:rPr>
          <w:rFonts w:cs="Narkisim" w:hint="cs"/>
          <w:szCs w:val="22"/>
          <w:rtl/>
        </w:rPr>
        <w:t>י המים לזכות "מפני דרכי שלום".</w:t>
      </w:r>
    </w:p>
    <w:sectPr w:rsidR="001E7AE7" w:rsidRPr="00401784" w:rsidSect="00DA38EE">
      <w:headerReference w:type="default" r:id="rId14"/>
      <w:footerReference w:type="default" r:id="rId15"/>
      <w:endnotePr>
        <w:numFmt w:val="lowerLetter"/>
      </w:endnotePr>
      <w:pgSz w:w="11907" w:h="16840"/>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92FC2" w14:textId="77777777" w:rsidR="00705253" w:rsidRDefault="00705253">
      <w:r>
        <w:separator/>
      </w:r>
    </w:p>
  </w:endnote>
  <w:endnote w:type="continuationSeparator" w:id="0">
    <w:p w14:paraId="31A97A0A" w14:textId="77777777" w:rsidR="00705253" w:rsidRDefault="0070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ABD8" w14:textId="77777777" w:rsidR="009764A7" w:rsidRPr="00F8747C" w:rsidRDefault="009764A7" w:rsidP="003D54F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8F5E5D">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8F5E5D">
      <w:rPr>
        <w:rStyle w:val="ae"/>
        <w:noProof/>
        <w:rtl/>
      </w:rPr>
      <w:t>5</w:t>
    </w:r>
    <w:r w:rsidRPr="00F8747C">
      <w:rPr>
        <w:rStyle w:val="ae"/>
      </w:rPr>
      <w:fldChar w:fldCharType="end"/>
    </w:r>
  </w:p>
  <w:p w14:paraId="6A0562EB" w14:textId="77777777" w:rsidR="009764A7" w:rsidRPr="003D54FC" w:rsidRDefault="009764A7" w:rsidP="003D54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9CBF2" w14:textId="77777777" w:rsidR="00705253" w:rsidRDefault="00705253">
      <w:r>
        <w:separator/>
      </w:r>
    </w:p>
  </w:footnote>
  <w:footnote w:type="continuationSeparator" w:id="0">
    <w:p w14:paraId="7FD4C08B" w14:textId="77777777" w:rsidR="00705253" w:rsidRDefault="00705253">
      <w:r>
        <w:continuationSeparator/>
      </w:r>
    </w:p>
  </w:footnote>
  <w:footnote w:id="1">
    <w:p w14:paraId="3DCF3793" w14:textId="77777777" w:rsidR="009764A7" w:rsidRPr="00E14CC8" w:rsidRDefault="009764A7" w:rsidP="00F54282">
      <w:pPr>
        <w:pStyle w:val="a3"/>
        <w:rPr>
          <w:rFonts w:hint="cs"/>
        </w:rPr>
      </w:pPr>
      <w:r w:rsidRPr="00E14CC8">
        <w:rPr>
          <w:rStyle w:val="a5"/>
        </w:rPr>
        <w:footnoteRef/>
      </w:r>
      <w:r w:rsidRPr="00E14CC8">
        <w:rPr>
          <w:rtl/>
        </w:rPr>
        <w:t xml:space="preserve"> </w:t>
      </w:r>
      <w:r>
        <w:rPr>
          <w:rFonts w:hint="cs"/>
          <w:rtl/>
          <w:lang w:eastAsia="en-US"/>
        </w:rPr>
        <w:t>זה הפסוק מהפרשה המחבר אותנו, כאמור, לנושא השלום. שים לב ש</w:t>
      </w:r>
      <w:r w:rsidRPr="00E14CC8">
        <w:rPr>
          <w:rFonts w:hint="cs"/>
          <w:rtl/>
          <w:lang w:eastAsia="en-US"/>
        </w:rPr>
        <w:t>ברית שלום זו, שהיא גם ברית כהונת עולם, נתונה בין שני פסוקים המזכירים את ק</w:t>
      </w:r>
      <w:r w:rsidR="00F54282">
        <w:rPr>
          <w:rFonts w:hint="eastAsia"/>
          <w:rtl/>
          <w:lang w:eastAsia="en-US"/>
        </w:rPr>
        <w:t>ִ</w:t>
      </w:r>
      <w:r w:rsidRPr="00E14CC8">
        <w:rPr>
          <w:rFonts w:hint="cs"/>
          <w:rtl/>
          <w:lang w:eastAsia="en-US"/>
        </w:rPr>
        <w:t>נ</w:t>
      </w:r>
      <w:r w:rsidR="00F54282">
        <w:rPr>
          <w:rFonts w:hint="eastAsia"/>
          <w:rtl/>
          <w:lang w:eastAsia="en-US"/>
        </w:rPr>
        <w:t>ְ</w:t>
      </w:r>
      <w:r w:rsidRPr="00E14CC8">
        <w:rPr>
          <w:rFonts w:hint="cs"/>
          <w:rtl/>
          <w:lang w:eastAsia="en-US"/>
        </w:rPr>
        <w:t>א</w:t>
      </w:r>
      <w:r w:rsidR="00F54282">
        <w:rPr>
          <w:rFonts w:hint="eastAsia"/>
          <w:rtl/>
          <w:lang w:eastAsia="en-US"/>
        </w:rPr>
        <w:t>ָ</w:t>
      </w:r>
      <w:r w:rsidRPr="00E14CC8">
        <w:rPr>
          <w:rFonts w:hint="cs"/>
          <w:rtl/>
          <w:lang w:eastAsia="en-US"/>
        </w:rPr>
        <w:t>תו או ק</w:t>
      </w:r>
      <w:r w:rsidR="00F54282">
        <w:rPr>
          <w:rFonts w:hint="eastAsia"/>
          <w:rtl/>
          <w:lang w:eastAsia="en-US"/>
        </w:rPr>
        <w:t>ָ</w:t>
      </w:r>
      <w:r w:rsidRPr="00E14CC8">
        <w:rPr>
          <w:rFonts w:hint="cs"/>
          <w:rtl/>
          <w:lang w:eastAsia="en-US"/>
        </w:rPr>
        <w:t>נ</w:t>
      </w:r>
      <w:r w:rsidR="00F54282">
        <w:rPr>
          <w:rFonts w:hint="eastAsia"/>
          <w:rtl/>
          <w:lang w:eastAsia="en-US"/>
        </w:rPr>
        <w:t>ָ</w:t>
      </w:r>
      <w:r w:rsidRPr="00E14CC8">
        <w:rPr>
          <w:rFonts w:hint="cs"/>
          <w:rtl/>
          <w:lang w:eastAsia="en-US"/>
        </w:rPr>
        <w:t>או</w:t>
      </w:r>
      <w:r w:rsidR="00F54282">
        <w:rPr>
          <w:rFonts w:hint="eastAsia"/>
          <w:rtl/>
          <w:lang w:eastAsia="en-US"/>
        </w:rPr>
        <w:t>ּ</w:t>
      </w:r>
      <w:r w:rsidRPr="00E14CC8">
        <w:rPr>
          <w:rFonts w:hint="cs"/>
          <w:rtl/>
          <w:lang w:eastAsia="en-US"/>
        </w:rPr>
        <w:t>תו של פנחס. פסוק לפניו: "</w:t>
      </w:r>
      <w:r w:rsidRPr="00E14CC8">
        <w:rPr>
          <w:rFonts w:hint="eastAsia"/>
          <w:rtl/>
          <w:lang w:eastAsia="en-US"/>
        </w:rPr>
        <w:t>פִּינְחָס</w:t>
      </w:r>
      <w:r w:rsidRPr="00E14CC8">
        <w:rPr>
          <w:rtl/>
          <w:lang w:eastAsia="en-US"/>
        </w:rPr>
        <w:t xml:space="preserve"> </w:t>
      </w:r>
      <w:r w:rsidRPr="00E14CC8">
        <w:rPr>
          <w:rFonts w:hint="eastAsia"/>
          <w:rtl/>
          <w:lang w:eastAsia="en-US"/>
        </w:rPr>
        <w:t>בֶּן</w:t>
      </w:r>
      <w:r w:rsidRPr="00E14CC8">
        <w:rPr>
          <w:rtl/>
          <w:lang w:eastAsia="en-US"/>
        </w:rPr>
        <w:t xml:space="preserve"> </w:t>
      </w:r>
      <w:r w:rsidRPr="00E14CC8">
        <w:rPr>
          <w:rFonts w:hint="eastAsia"/>
          <w:rtl/>
          <w:lang w:eastAsia="en-US"/>
        </w:rPr>
        <w:t>אֶלְעָזָר</w:t>
      </w:r>
      <w:r w:rsidRPr="00E14CC8">
        <w:rPr>
          <w:rtl/>
          <w:lang w:eastAsia="en-US"/>
        </w:rPr>
        <w:t xml:space="preserve"> </w:t>
      </w:r>
      <w:r w:rsidRPr="00E14CC8">
        <w:rPr>
          <w:rFonts w:hint="eastAsia"/>
          <w:rtl/>
          <w:lang w:eastAsia="en-US"/>
        </w:rPr>
        <w:t>בֶּן</w:t>
      </w:r>
      <w:r w:rsidRPr="00E14CC8">
        <w:rPr>
          <w:rtl/>
          <w:lang w:eastAsia="en-US"/>
        </w:rPr>
        <w:t xml:space="preserve"> </w:t>
      </w:r>
      <w:r w:rsidRPr="00E14CC8">
        <w:rPr>
          <w:rFonts w:hint="eastAsia"/>
          <w:rtl/>
          <w:lang w:eastAsia="en-US"/>
        </w:rPr>
        <w:t>אַהֲרֹן</w:t>
      </w:r>
      <w:r w:rsidRPr="00E14CC8">
        <w:rPr>
          <w:rtl/>
          <w:lang w:eastAsia="en-US"/>
        </w:rPr>
        <w:t xml:space="preserve"> </w:t>
      </w:r>
      <w:r w:rsidRPr="00E14CC8">
        <w:rPr>
          <w:rFonts w:hint="eastAsia"/>
          <w:rtl/>
          <w:lang w:eastAsia="en-US"/>
        </w:rPr>
        <w:t>הַכֹּהֵן</w:t>
      </w:r>
      <w:r w:rsidRPr="00E14CC8">
        <w:rPr>
          <w:rtl/>
          <w:lang w:eastAsia="en-US"/>
        </w:rPr>
        <w:t xml:space="preserve"> </w:t>
      </w:r>
      <w:r w:rsidRPr="00E14CC8">
        <w:rPr>
          <w:rFonts w:hint="eastAsia"/>
          <w:rtl/>
          <w:lang w:eastAsia="en-US"/>
        </w:rPr>
        <w:t>הֵשִׁיב</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חֲמָתִי</w:t>
      </w:r>
      <w:r w:rsidRPr="00E14CC8">
        <w:rPr>
          <w:rtl/>
          <w:lang w:eastAsia="en-US"/>
        </w:rPr>
        <w:t xml:space="preserve"> </w:t>
      </w:r>
      <w:r w:rsidRPr="00E14CC8">
        <w:rPr>
          <w:rFonts w:hint="eastAsia"/>
          <w:rtl/>
          <w:lang w:eastAsia="en-US"/>
        </w:rPr>
        <w:t>מֵעַל</w:t>
      </w:r>
      <w:r w:rsidRPr="00E14CC8">
        <w:rPr>
          <w:rtl/>
          <w:lang w:eastAsia="en-US"/>
        </w:rPr>
        <w:t xml:space="preserve"> </w:t>
      </w:r>
      <w:r w:rsidRPr="00E14CC8">
        <w:rPr>
          <w:rFonts w:hint="eastAsia"/>
          <w:rtl/>
          <w:lang w:eastAsia="en-US"/>
        </w:rPr>
        <w:t>בְּנֵי</w:t>
      </w:r>
      <w:r w:rsidRPr="00E14CC8">
        <w:rPr>
          <w:rtl/>
          <w:lang w:eastAsia="en-US"/>
        </w:rPr>
        <w:t xml:space="preserve"> </w:t>
      </w:r>
      <w:r w:rsidRPr="00E14CC8">
        <w:rPr>
          <w:rFonts w:hint="eastAsia"/>
          <w:rtl/>
          <w:lang w:eastAsia="en-US"/>
        </w:rPr>
        <w:t>יִשְׂרָאֵל</w:t>
      </w:r>
      <w:r w:rsidRPr="00E14CC8">
        <w:rPr>
          <w:rtl/>
          <w:lang w:eastAsia="en-US"/>
        </w:rPr>
        <w:t xml:space="preserve"> </w:t>
      </w:r>
      <w:r w:rsidRPr="00E14CC8">
        <w:rPr>
          <w:rFonts w:hint="eastAsia"/>
          <w:rtl/>
          <w:lang w:eastAsia="en-US"/>
        </w:rPr>
        <w:t>בְּקַנְאוֹ</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קִנְאָתִי</w:t>
      </w:r>
      <w:r w:rsidRPr="00E14CC8">
        <w:rPr>
          <w:rtl/>
          <w:lang w:eastAsia="en-US"/>
        </w:rPr>
        <w:t xml:space="preserve"> </w:t>
      </w:r>
      <w:r w:rsidRPr="00E14CC8">
        <w:rPr>
          <w:rFonts w:hint="eastAsia"/>
          <w:rtl/>
          <w:lang w:eastAsia="en-US"/>
        </w:rPr>
        <w:t>בְּתוֹכָם</w:t>
      </w:r>
      <w:r w:rsidRPr="00E14CC8">
        <w:rPr>
          <w:rtl/>
          <w:lang w:eastAsia="en-US"/>
        </w:rPr>
        <w:t xml:space="preserve"> </w:t>
      </w:r>
      <w:r w:rsidRPr="00E14CC8">
        <w:rPr>
          <w:rFonts w:hint="eastAsia"/>
          <w:rtl/>
          <w:lang w:eastAsia="en-US"/>
        </w:rPr>
        <w:t>וְלֹא</w:t>
      </w:r>
      <w:r w:rsidRPr="00E14CC8">
        <w:rPr>
          <w:rtl/>
          <w:lang w:eastAsia="en-US"/>
        </w:rPr>
        <w:t xml:space="preserve"> </w:t>
      </w:r>
      <w:r w:rsidRPr="00E14CC8">
        <w:rPr>
          <w:rFonts w:hint="eastAsia"/>
          <w:rtl/>
          <w:lang w:eastAsia="en-US"/>
        </w:rPr>
        <w:t>כִלִּיתִי</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בְּנֵי</w:t>
      </w:r>
      <w:r w:rsidRPr="00E14CC8">
        <w:rPr>
          <w:rtl/>
          <w:lang w:eastAsia="en-US"/>
        </w:rPr>
        <w:t xml:space="preserve"> </w:t>
      </w:r>
      <w:r w:rsidRPr="00E14CC8">
        <w:rPr>
          <w:rFonts w:hint="eastAsia"/>
          <w:rtl/>
          <w:lang w:eastAsia="en-US"/>
        </w:rPr>
        <w:t>יִשְׂרָאֵל</w:t>
      </w:r>
      <w:r w:rsidRPr="00E14CC8">
        <w:rPr>
          <w:rtl/>
          <w:lang w:eastAsia="en-US"/>
        </w:rPr>
        <w:t xml:space="preserve"> </w:t>
      </w:r>
      <w:r w:rsidRPr="00E14CC8">
        <w:rPr>
          <w:rFonts w:hint="eastAsia"/>
          <w:rtl/>
          <w:lang w:eastAsia="en-US"/>
        </w:rPr>
        <w:t>בְּקִנְאָתִי</w:t>
      </w:r>
      <w:r w:rsidRPr="00E14CC8">
        <w:rPr>
          <w:rFonts w:hint="cs"/>
          <w:rtl/>
          <w:lang w:eastAsia="en-US"/>
        </w:rPr>
        <w:t>" ופסוק אחריו: "</w:t>
      </w:r>
      <w:r w:rsidRPr="00E14CC8">
        <w:rPr>
          <w:rFonts w:hint="eastAsia"/>
          <w:rtl/>
          <w:lang w:eastAsia="en-US"/>
        </w:rPr>
        <w:t>וְהָיְתָה</w:t>
      </w:r>
      <w:r w:rsidRPr="00E14CC8">
        <w:rPr>
          <w:rtl/>
          <w:lang w:eastAsia="en-US"/>
        </w:rPr>
        <w:t xml:space="preserve"> </w:t>
      </w:r>
      <w:r w:rsidRPr="00E14CC8">
        <w:rPr>
          <w:rFonts w:hint="eastAsia"/>
          <w:rtl/>
          <w:lang w:eastAsia="en-US"/>
        </w:rPr>
        <w:t>לּוֹ</w:t>
      </w:r>
      <w:r w:rsidRPr="00E14CC8">
        <w:rPr>
          <w:rtl/>
          <w:lang w:eastAsia="en-US"/>
        </w:rPr>
        <w:t xml:space="preserve"> </w:t>
      </w:r>
      <w:r w:rsidRPr="00E14CC8">
        <w:rPr>
          <w:rFonts w:hint="eastAsia"/>
          <w:rtl/>
          <w:lang w:eastAsia="en-US"/>
        </w:rPr>
        <w:t>וּלְזַרְעוֹ</w:t>
      </w:r>
      <w:r w:rsidRPr="00E14CC8">
        <w:rPr>
          <w:rtl/>
          <w:lang w:eastAsia="en-US"/>
        </w:rPr>
        <w:t xml:space="preserve"> </w:t>
      </w:r>
      <w:r w:rsidRPr="00E14CC8">
        <w:rPr>
          <w:rFonts w:hint="eastAsia"/>
          <w:rtl/>
          <w:lang w:eastAsia="en-US"/>
        </w:rPr>
        <w:t>אַחֲרָיו</w:t>
      </w:r>
      <w:r w:rsidRPr="00E14CC8">
        <w:rPr>
          <w:rtl/>
          <w:lang w:eastAsia="en-US"/>
        </w:rPr>
        <w:t xml:space="preserve"> </w:t>
      </w:r>
      <w:r w:rsidRPr="00E14CC8">
        <w:rPr>
          <w:rFonts w:hint="eastAsia"/>
          <w:rtl/>
          <w:lang w:eastAsia="en-US"/>
        </w:rPr>
        <w:t>בְּרִית</w:t>
      </w:r>
      <w:r w:rsidRPr="00E14CC8">
        <w:rPr>
          <w:rtl/>
          <w:lang w:eastAsia="en-US"/>
        </w:rPr>
        <w:t xml:space="preserve"> </w:t>
      </w:r>
      <w:r w:rsidRPr="00E14CC8">
        <w:rPr>
          <w:rFonts w:hint="eastAsia"/>
          <w:rtl/>
          <w:lang w:eastAsia="en-US"/>
        </w:rPr>
        <w:t>כְּהֻנַּת</w:t>
      </w:r>
      <w:r w:rsidRPr="00E14CC8">
        <w:rPr>
          <w:rtl/>
          <w:lang w:eastAsia="en-US"/>
        </w:rPr>
        <w:t xml:space="preserve"> </w:t>
      </w:r>
      <w:r w:rsidRPr="00E14CC8">
        <w:rPr>
          <w:rFonts w:hint="eastAsia"/>
          <w:rtl/>
          <w:lang w:eastAsia="en-US"/>
        </w:rPr>
        <w:t>עוֹלָם</w:t>
      </w:r>
      <w:r w:rsidRPr="00E14CC8">
        <w:rPr>
          <w:rtl/>
          <w:lang w:eastAsia="en-US"/>
        </w:rPr>
        <w:t xml:space="preserve"> </w:t>
      </w:r>
      <w:r w:rsidRPr="00E14CC8">
        <w:rPr>
          <w:rFonts w:hint="eastAsia"/>
          <w:rtl/>
          <w:lang w:eastAsia="en-US"/>
        </w:rPr>
        <w:t>תַּחַת</w:t>
      </w:r>
      <w:r w:rsidRPr="00E14CC8">
        <w:rPr>
          <w:rtl/>
          <w:lang w:eastAsia="en-US"/>
        </w:rPr>
        <w:t xml:space="preserve"> </w:t>
      </w:r>
      <w:r w:rsidRPr="00E14CC8">
        <w:rPr>
          <w:rFonts w:hint="eastAsia"/>
          <w:rtl/>
          <w:lang w:eastAsia="en-US"/>
        </w:rPr>
        <w:t>אֲשֶׁר</w:t>
      </w:r>
      <w:r w:rsidRPr="00E14CC8">
        <w:rPr>
          <w:rtl/>
          <w:lang w:eastAsia="en-US"/>
        </w:rPr>
        <w:t xml:space="preserve"> </w:t>
      </w:r>
      <w:r w:rsidRPr="00E14CC8">
        <w:rPr>
          <w:rFonts w:hint="eastAsia"/>
          <w:rtl/>
          <w:lang w:eastAsia="en-US"/>
        </w:rPr>
        <w:t>קִנֵּא</w:t>
      </w:r>
      <w:r w:rsidRPr="00E14CC8">
        <w:rPr>
          <w:rtl/>
          <w:lang w:eastAsia="en-US"/>
        </w:rPr>
        <w:t xml:space="preserve"> </w:t>
      </w:r>
      <w:r w:rsidRPr="00E14CC8">
        <w:rPr>
          <w:rFonts w:hint="eastAsia"/>
          <w:rtl/>
          <w:lang w:eastAsia="en-US"/>
        </w:rPr>
        <w:t>לֵאלֹהָיו</w:t>
      </w:r>
      <w:r w:rsidRPr="00E14CC8">
        <w:rPr>
          <w:rtl/>
          <w:lang w:eastAsia="en-US"/>
        </w:rPr>
        <w:t xml:space="preserve"> </w:t>
      </w:r>
      <w:r w:rsidRPr="00E14CC8">
        <w:rPr>
          <w:rFonts w:hint="eastAsia"/>
          <w:rtl/>
          <w:lang w:eastAsia="en-US"/>
        </w:rPr>
        <w:t>וַיְכַפֵּר</w:t>
      </w:r>
      <w:r w:rsidRPr="00E14CC8">
        <w:rPr>
          <w:rtl/>
          <w:lang w:eastAsia="en-US"/>
        </w:rPr>
        <w:t xml:space="preserve"> </w:t>
      </w:r>
      <w:r w:rsidRPr="00E14CC8">
        <w:rPr>
          <w:rFonts w:hint="eastAsia"/>
          <w:rtl/>
          <w:lang w:eastAsia="en-US"/>
        </w:rPr>
        <w:t>עַל</w:t>
      </w:r>
      <w:r w:rsidRPr="00E14CC8">
        <w:rPr>
          <w:rtl/>
          <w:lang w:eastAsia="en-US"/>
        </w:rPr>
        <w:t xml:space="preserve"> </w:t>
      </w:r>
      <w:r w:rsidRPr="00E14CC8">
        <w:rPr>
          <w:rFonts w:hint="eastAsia"/>
          <w:rtl/>
          <w:lang w:eastAsia="en-US"/>
        </w:rPr>
        <w:t>בְּנֵי</w:t>
      </w:r>
      <w:r w:rsidRPr="00E14CC8">
        <w:rPr>
          <w:rtl/>
          <w:lang w:eastAsia="en-US"/>
        </w:rPr>
        <w:t xml:space="preserve"> </w:t>
      </w:r>
      <w:r w:rsidRPr="00E14CC8">
        <w:rPr>
          <w:rFonts w:hint="eastAsia"/>
          <w:rtl/>
          <w:lang w:eastAsia="en-US"/>
        </w:rPr>
        <w:t>יִשְׂרָאֵל</w:t>
      </w:r>
      <w:r w:rsidRPr="00E14CC8">
        <w:rPr>
          <w:rFonts w:hint="cs"/>
          <w:rtl/>
          <w:lang w:eastAsia="en-US"/>
        </w:rPr>
        <w:t xml:space="preserve">". המקרא עצמו מרמז לנו שהשלום הוא המשלים, </w:t>
      </w:r>
      <w:r w:rsidR="00F54282">
        <w:rPr>
          <w:rFonts w:hint="cs"/>
          <w:rtl/>
          <w:lang w:eastAsia="en-US"/>
        </w:rPr>
        <w:t xml:space="preserve">הכח </w:t>
      </w:r>
      <w:r w:rsidRPr="00E14CC8">
        <w:rPr>
          <w:rFonts w:hint="cs"/>
          <w:rtl/>
          <w:lang w:eastAsia="en-US"/>
        </w:rPr>
        <w:t>הנגדי</w:t>
      </w:r>
      <w:r w:rsidR="00F54282">
        <w:rPr>
          <w:rFonts w:hint="cs"/>
          <w:rtl/>
          <w:lang w:eastAsia="en-US"/>
        </w:rPr>
        <w:t>, המפשר ומפייס, מתווך</w:t>
      </w:r>
      <w:r w:rsidRPr="00E14CC8">
        <w:rPr>
          <w:rFonts w:hint="cs"/>
          <w:rtl/>
          <w:lang w:eastAsia="en-US"/>
        </w:rPr>
        <w:t xml:space="preserve"> ומרכך </w:t>
      </w:r>
      <w:r w:rsidR="00F54282">
        <w:rPr>
          <w:rFonts w:hint="cs"/>
          <w:rtl/>
          <w:lang w:eastAsia="en-US"/>
        </w:rPr>
        <w:t xml:space="preserve">בין </w:t>
      </w:r>
      <w:r w:rsidRPr="00E14CC8">
        <w:rPr>
          <w:rFonts w:hint="cs"/>
          <w:rtl/>
          <w:lang w:eastAsia="en-US"/>
        </w:rPr>
        <w:t>קנאה וקנאות.</w:t>
      </w:r>
      <w:r w:rsidRPr="00E14CC8">
        <w:rPr>
          <w:rFonts w:hint="cs"/>
          <w:rtl/>
        </w:rPr>
        <w:t xml:space="preserve"> </w:t>
      </w:r>
      <w:r>
        <w:rPr>
          <w:rFonts w:hint="cs"/>
          <w:rtl/>
        </w:rPr>
        <w:t>אפשר שגם תקנות חז"ל "מפני דרכי שלום", יסודן בריכוך הקנאה האישית והקנאות הדתית</w:t>
      </w:r>
      <w:r w:rsidRPr="00E14CC8">
        <w:rPr>
          <w:rFonts w:hint="cs"/>
          <w:rtl/>
        </w:rPr>
        <w:t>.</w:t>
      </w:r>
    </w:p>
  </w:footnote>
  <w:footnote w:id="2">
    <w:p w14:paraId="5193C576" w14:textId="77777777" w:rsidR="009764A7" w:rsidRDefault="009764A7" w:rsidP="00A24452">
      <w:pPr>
        <w:pStyle w:val="a3"/>
        <w:rPr>
          <w:rFonts w:hint="cs"/>
          <w:rtl/>
        </w:rPr>
      </w:pPr>
      <w:r>
        <w:rPr>
          <w:rStyle w:val="a5"/>
        </w:rPr>
        <w:footnoteRef/>
      </w:r>
      <w:r>
        <w:rPr>
          <w:rtl/>
        </w:rPr>
        <w:t xml:space="preserve"> </w:t>
      </w:r>
      <w:r w:rsidR="00F54282">
        <w:rPr>
          <w:rFonts w:hint="cs"/>
          <w:rtl/>
        </w:rPr>
        <w:t xml:space="preserve">אמש הוא ערב. </w:t>
      </w:r>
      <w:r>
        <w:rPr>
          <w:rFonts w:hint="cs"/>
          <w:rtl/>
        </w:rPr>
        <w:t xml:space="preserve">ראה מדרש </w:t>
      </w:r>
      <w:r>
        <w:rPr>
          <w:rtl/>
        </w:rPr>
        <w:t xml:space="preserve">פסיקתא זוטרתא (לקח טוב) במדבר פרשת פינחס </w:t>
      </w:r>
      <w:r>
        <w:rPr>
          <w:rFonts w:hint="cs"/>
          <w:rtl/>
        </w:rPr>
        <w:t>על הפסוק הנ"ל: "</w:t>
      </w:r>
      <w:r>
        <w:rPr>
          <w:rtl/>
        </w:rPr>
        <w:t>שיקבלו הדורות שיתן אדם שלום לחבירו שחרית וערבית</w:t>
      </w:r>
      <w:r>
        <w:rPr>
          <w:rFonts w:hint="cs"/>
          <w:rtl/>
        </w:rPr>
        <w:t>". פירוש א. א. הלוי מציע שיש אולי גם הגבלה שלא להרבות יותר מדי פעמים ביום באמירת שלום (לאותו אדם), אלא פעמיים: בוקר וערב, בדומה לכבוד שמים בקריאת שמע שחרית וערבית כדלהלן.</w:t>
      </w:r>
      <w:r w:rsidR="00F54282">
        <w:rPr>
          <w:rFonts w:hint="cs"/>
          <w:rtl/>
        </w:rPr>
        <w:t xml:space="preserve"> ראה </w:t>
      </w:r>
      <w:r w:rsidR="00A24452">
        <w:rPr>
          <w:rFonts w:hint="cs"/>
          <w:rtl/>
        </w:rPr>
        <w:t xml:space="preserve">תנחומא מקץ ט שאלת אנטונינוס לרבי מדוע לא להתפלל כל שעה ומה ענה או עשה לו רבי. ראה גם גמרא </w:t>
      </w:r>
      <w:r w:rsidR="00F54282">
        <w:rPr>
          <w:rtl/>
        </w:rPr>
        <w:t>ברכות</w:t>
      </w:r>
      <w:r w:rsidR="00F54282">
        <w:rPr>
          <w:rFonts w:hint="cs"/>
          <w:rtl/>
        </w:rPr>
        <w:t xml:space="preserve"> סד ע"א </w:t>
      </w:r>
      <w:r w:rsidR="00A24452">
        <w:rPr>
          <w:rFonts w:hint="cs"/>
          <w:rtl/>
        </w:rPr>
        <w:t xml:space="preserve">על </w:t>
      </w:r>
      <w:r w:rsidR="00F54282">
        <w:rPr>
          <w:rFonts w:hint="cs"/>
          <w:rtl/>
        </w:rPr>
        <w:t xml:space="preserve">הקפדת חכמים לומר "לך לשלום" ולא "לך בשלום" לנפרד </w:t>
      </w:r>
      <w:r w:rsidR="00F54282">
        <w:rPr>
          <w:rtl/>
        </w:rPr>
        <w:t xml:space="preserve">מחברו </w:t>
      </w:r>
      <w:r w:rsidR="00F54282">
        <w:rPr>
          <w:rFonts w:hint="cs"/>
          <w:rtl/>
        </w:rPr>
        <w:t xml:space="preserve">(אך </w:t>
      </w:r>
      <w:r w:rsidR="00A24452">
        <w:rPr>
          <w:rFonts w:hint="cs"/>
          <w:rtl/>
        </w:rPr>
        <w:t xml:space="preserve">לומר </w:t>
      </w:r>
      <w:r w:rsidR="00F54282">
        <w:rPr>
          <w:rFonts w:hint="cs"/>
          <w:rtl/>
        </w:rPr>
        <w:t>"לך בשלום" לנפטר).</w:t>
      </w:r>
      <w:r w:rsidR="00F54282">
        <w:rPr>
          <w:rtl/>
        </w:rPr>
        <w:t xml:space="preserve"> </w:t>
      </w:r>
      <w:r>
        <w:rPr>
          <w:rtl/>
        </w:rPr>
        <w:t xml:space="preserve"> </w:t>
      </w:r>
      <w:r>
        <w:rPr>
          <w:rFonts w:hint="cs"/>
          <w:rtl/>
        </w:rPr>
        <w:t xml:space="preserve"> </w:t>
      </w:r>
    </w:p>
  </w:footnote>
  <w:footnote w:id="3">
    <w:p w14:paraId="2D0B2F83" w14:textId="77777777" w:rsidR="009764A7" w:rsidRDefault="009764A7">
      <w:pPr>
        <w:pStyle w:val="a3"/>
        <w:rPr>
          <w:rFonts w:hint="cs"/>
          <w:rtl/>
        </w:rPr>
      </w:pPr>
      <w:r>
        <w:rPr>
          <w:rStyle w:val="a5"/>
        </w:rPr>
        <w:footnoteRef/>
      </w:r>
      <w:r>
        <w:rPr>
          <w:rtl/>
        </w:rPr>
        <w:t xml:space="preserve"> </w:t>
      </w:r>
      <w:r>
        <w:rPr>
          <w:rFonts w:hint="cs"/>
          <w:rtl/>
        </w:rPr>
        <w:t>בברכת השכיבנו. ומה עם שמע של שחרית? האם יש כאן שריד לאזכור השלום גם בברכות שלאחר קריאת שמע של שחרית?</w:t>
      </w:r>
    </w:p>
  </w:footnote>
  <w:footnote w:id="4">
    <w:p w14:paraId="212A80CB" w14:textId="77777777" w:rsidR="009764A7" w:rsidRDefault="009764A7" w:rsidP="00A24452">
      <w:pPr>
        <w:pStyle w:val="a3"/>
        <w:rPr>
          <w:rFonts w:hint="cs"/>
          <w:rtl/>
        </w:rPr>
      </w:pPr>
      <w:r>
        <w:rPr>
          <w:rStyle w:val="a5"/>
        </w:rPr>
        <w:footnoteRef/>
      </w:r>
      <w:r>
        <w:rPr>
          <w:rtl/>
        </w:rPr>
        <w:t xml:space="preserve"> </w:t>
      </w:r>
      <w:r>
        <w:rPr>
          <w:rFonts w:hint="cs"/>
          <w:rtl/>
          <w:lang w:eastAsia="en-US"/>
        </w:rPr>
        <w:t xml:space="preserve">זהו שיר הלל לשלום כמותו מצאנו גם בדרשות על הפסוק </w:t>
      </w:r>
      <w:hyperlink r:id="rId1" w:history="1">
        <w:r w:rsidRPr="00A24452">
          <w:rPr>
            <w:rStyle w:val="Hyperlink"/>
            <w:rFonts w:hint="cs"/>
            <w:rtl/>
            <w:lang w:eastAsia="en-US"/>
          </w:rPr>
          <w:t>בברכת כהנים</w:t>
        </w:r>
      </w:hyperlink>
      <w:r>
        <w:rPr>
          <w:rFonts w:hint="cs"/>
          <w:rtl/>
          <w:lang w:eastAsia="en-US"/>
        </w:rPr>
        <w:t>: "וישם לך שלום" (ספרי זוטא כו), דברים רבה ה טו פרשת שופטים, תנחומא בפרשתנו ועוד, עליהם הרחבנו כאמור ב</w:t>
      </w:r>
      <w:r w:rsidR="00A24452">
        <w:rPr>
          <w:rFonts w:hint="cs"/>
          <w:rtl/>
          <w:lang w:eastAsia="en-US"/>
        </w:rPr>
        <w:t>דפים לעיל במים הראשוני</w:t>
      </w:r>
      <w:r>
        <w:rPr>
          <w:rFonts w:hint="cs"/>
          <w:rtl/>
          <w:lang w:eastAsia="en-US"/>
        </w:rPr>
        <w:t>. הפעם צד את עינינו דווקא הפסוק מספר משלי: "</w:t>
      </w:r>
      <w:r w:rsidRPr="00607B01">
        <w:rPr>
          <w:rtl/>
          <w:lang w:eastAsia="en-US"/>
        </w:rPr>
        <w:t>דרכיה דרכי נועם וכל נתיבותיה שלום</w:t>
      </w:r>
      <w:r>
        <w:rPr>
          <w:rFonts w:hint="cs"/>
          <w:rtl/>
          <w:lang w:eastAsia="en-US"/>
        </w:rPr>
        <w:t>". השלום לא כברית ולא מהתורה, אלא השלום כדרך חיים ומספרות החכמה דווקא. אולי מכאן נלקח הביטוי "דרכי שלום".</w:t>
      </w:r>
      <w:r w:rsidR="00A24452">
        <w:rPr>
          <w:rFonts w:hint="cs"/>
          <w:rtl/>
          <w:lang w:eastAsia="en-US"/>
        </w:rPr>
        <w:t xml:space="preserve"> </w:t>
      </w:r>
      <w:r>
        <w:rPr>
          <w:rFonts w:hint="cs"/>
          <w:rtl/>
          <w:lang w:eastAsia="en-US"/>
        </w:rPr>
        <w:t>לא השלום עצמו, אלא דרכי השלום - הדרכים המביאות לשלום מחד גיסא, והדרכים המסתעפות ממנו מאידך גיסא, כולל 'דרכים עוקפות וצדדיות'.</w:t>
      </w:r>
    </w:p>
  </w:footnote>
  <w:footnote w:id="5">
    <w:p w14:paraId="769BBB2B" w14:textId="77777777" w:rsidR="009764A7" w:rsidRDefault="009764A7" w:rsidP="00FE2D2E">
      <w:pPr>
        <w:pStyle w:val="a3"/>
        <w:rPr>
          <w:rFonts w:hint="cs"/>
          <w:rtl/>
        </w:rPr>
      </w:pPr>
      <w:r>
        <w:rPr>
          <w:rStyle w:val="a5"/>
        </w:rPr>
        <w:footnoteRef/>
      </w:r>
      <w:r>
        <w:rPr>
          <w:rtl/>
        </w:rPr>
        <w:t xml:space="preserve"> </w:t>
      </w:r>
      <w:r>
        <w:rPr>
          <w:rFonts w:hint="cs"/>
          <w:rtl/>
        </w:rPr>
        <w:t>ומה אח"כ? איך נסדר את הישראלים שעולים לתורה משלישי ואילך? נושא זה עלה כבר בגמרא גיטין נט ע"ב:</w:t>
      </w:r>
      <w:r w:rsidRPr="00793A16">
        <w:rPr>
          <w:rtl/>
        </w:rPr>
        <w:t xml:space="preserve"> </w:t>
      </w:r>
      <w:r>
        <w:rPr>
          <w:rFonts w:hint="cs"/>
          <w:rtl/>
        </w:rPr>
        <w:t>"</w:t>
      </w:r>
      <w:r>
        <w:rPr>
          <w:rtl/>
        </w:rPr>
        <w:t>שלחו ליה בני גלילא לרבי חלבו: אחריהן מי קוראין? לא הוה בידיה. אתא ושייליה לרבי יצחק נפחא, א</w:t>
      </w:r>
      <w:r>
        <w:rPr>
          <w:rFonts w:hint="cs"/>
          <w:rtl/>
        </w:rPr>
        <w:t>מר לו</w:t>
      </w:r>
      <w:r>
        <w:rPr>
          <w:rtl/>
        </w:rPr>
        <w:t>: אחריהן קוראין ת</w:t>
      </w:r>
      <w:r>
        <w:rPr>
          <w:rFonts w:hint="cs"/>
          <w:rtl/>
        </w:rPr>
        <w:t xml:space="preserve">למידי חכמים </w:t>
      </w:r>
      <w:r>
        <w:rPr>
          <w:rtl/>
        </w:rPr>
        <w:t>הממונין פרנסים על הצבור</w:t>
      </w:r>
      <w:r>
        <w:rPr>
          <w:rFonts w:hint="cs"/>
          <w:rtl/>
        </w:rPr>
        <w:t>.</w:t>
      </w:r>
      <w:r>
        <w:rPr>
          <w:rtl/>
        </w:rPr>
        <w:t xml:space="preserve"> ואחריהן ת</w:t>
      </w:r>
      <w:r>
        <w:rPr>
          <w:rFonts w:hint="cs"/>
          <w:rtl/>
        </w:rPr>
        <w:t>למידי חכמים</w:t>
      </w:r>
      <w:r>
        <w:rPr>
          <w:rtl/>
        </w:rPr>
        <w:t xml:space="preserve"> הראויין למנותם פרנסים על הציבור, ואחריהן בני ת</w:t>
      </w:r>
      <w:r>
        <w:rPr>
          <w:rFonts w:hint="cs"/>
          <w:rtl/>
        </w:rPr>
        <w:t xml:space="preserve">למידי חכמים </w:t>
      </w:r>
      <w:r>
        <w:rPr>
          <w:rtl/>
        </w:rPr>
        <w:t>שאבותיהן ממונים פרנסים על הצבור, ואחריהן ראשי כנסיות וכל אדם</w:t>
      </w:r>
      <w:r>
        <w:rPr>
          <w:rFonts w:hint="cs"/>
          <w:rtl/>
        </w:rPr>
        <w:t>"</w:t>
      </w:r>
      <w:r>
        <w:rPr>
          <w:rtl/>
        </w:rPr>
        <w:t xml:space="preserve">. </w:t>
      </w:r>
      <w:r>
        <w:rPr>
          <w:rFonts w:hint="cs"/>
          <w:rtl/>
        </w:rPr>
        <w:t xml:space="preserve">ראה גם </w:t>
      </w:r>
      <w:r>
        <w:rPr>
          <w:rtl/>
        </w:rPr>
        <w:t>רמב"ם הלכות תפילה ונשיאת כפים פרק יב</w:t>
      </w:r>
      <w:r>
        <w:rPr>
          <w:rFonts w:hint="cs"/>
          <w:rtl/>
        </w:rPr>
        <w:t xml:space="preserve"> </w:t>
      </w:r>
      <w:r>
        <w:rPr>
          <w:rtl/>
        </w:rPr>
        <w:t>הלכה יח</w:t>
      </w:r>
      <w:r>
        <w:rPr>
          <w:rFonts w:hint="cs"/>
          <w:rtl/>
        </w:rPr>
        <w:t>: "</w:t>
      </w:r>
      <w:r>
        <w:rPr>
          <w:rtl/>
        </w:rPr>
        <w:t>בכל קריאה וקריאה מאלו</w:t>
      </w:r>
      <w:r>
        <w:rPr>
          <w:rFonts w:hint="cs"/>
          <w:rtl/>
        </w:rPr>
        <w:t>,</w:t>
      </w:r>
      <w:r>
        <w:rPr>
          <w:rtl/>
        </w:rPr>
        <w:t xml:space="preserve"> כהן קורא ראשון ואחריו לוי ואחריו ישראל</w:t>
      </w:r>
      <w:r>
        <w:rPr>
          <w:rFonts w:hint="cs"/>
          <w:rtl/>
        </w:rPr>
        <w:t>.</w:t>
      </w:r>
      <w:r>
        <w:rPr>
          <w:rtl/>
        </w:rPr>
        <w:t xml:space="preserve"> ומנהג פשוט הוא היום שאפילו כהן עם הארץ קודם לקרות לפני חכם גדול ישראל</w:t>
      </w:r>
      <w:r>
        <w:rPr>
          <w:rFonts w:hint="cs"/>
          <w:rtl/>
        </w:rPr>
        <w:t>.</w:t>
      </w:r>
      <w:r>
        <w:rPr>
          <w:rtl/>
        </w:rPr>
        <w:t xml:space="preserve"> וכל מי שהוא גדול מחברו בחכמה</w:t>
      </w:r>
      <w:r>
        <w:rPr>
          <w:rFonts w:hint="cs"/>
          <w:rtl/>
        </w:rPr>
        <w:t>,</w:t>
      </w:r>
      <w:r>
        <w:rPr>
          <w:rtl/>
        </w:rPr>
        <w:t xml:space="preserve"> קודם לקרות</w:t>
      </w:r>
      <w:r>
        <w:rPr>
          <w:rFonts w:hint="cs"/>
          <w:rtl/>
        </w:rPr>
        <w:t>.</w:t>
      </w:r>
      <w:r>
        <w:rPr>
          <w:rtl/>
        </w:rPr>
        <w:t xml:space="preserve"> והאחרון שגולל ספר תורה נוטל שכר כנגד הכל, לפיכך עולה ומשלים אפילו גדול שבציבור</w:t>
      </w:r>
      <w:r>
        <w:rPr>
          <w:rFonts w:hint="cs"/>
          <w:rtl/>
        </w:rPr>
        <w:t xml:space="preserve">". עכשיו מה נאמר? שמי שעלה קודם הוא גם תלמיד חכם גדול יותר? </w:t>
      </w:r>
      <w:r w:rsidR="00A24452">
        <w:rPr>
          <w:rFonts w:hint="cs"/>
          <w:rtl/>
        </w:rPr>
        <w:t xml:space="preserve">ומי יקבע מי חכם יותר ומי פחות? </w:t>
      </w:r>
      <w:r>
        <w:rPr>
          <w:rFonts w:hint="cs"/>
          <w:rtl/>
        </w:rPr>
        <w:t xml:space="preserve">ובמרוצת השנים שנוספו חיובי 'יארצייט' למיניהם! נראה אפוא, שבכגון אלה לא יסייעו כל ההלכות והתקנות 'מפני דרכי שלום', אם לא שיבואו מראש לבית הכנסת בדרכי שלום (ואז גם יזכו לצאת בדרכי שלום) </w:t>
      </w:r>
      <w:r>
        <w:rPr>
          <w:rtl/>
        </w:rPr>
        <w:t>.</w:t>
      </w:r>
    </w:p>
  </w:footnote>
  <w:footnote w:id="6">
    <w:p w14:paraId="4F684F24" w14:textId="77777777" w:rsidR="009764A7" w:rsidRDefault="009764A7" w:rsidP="0038793E">
      <w:pPr>
        <w:pStyle w:val="a3"/>
        <w:rPr>
          <w:rFonts w:hint="cs"/>
          <w:rtl/>
        </w:rPr>
      </w:pPr>
      <w:r>
        <w:rPr>
          <w:rStyle w:val="a5"/>
        </w:rPr>
        <w:footnoteRef/>
      </w:r>
      <w:r>
        <w:rPr>
          <w:rtl/>
        </w:rPr>
        <w:t xml:space="preserve"> </w:t>
      </w:r>
      <w:r>
        <w:rPr>
          <w:rFonts w:hint="cs"/>
          <w:rtl/>
        </w:rPr>
        <w:t>מדובר בעירובי חצרות שמניחים אוכל, שכל דיירי הבתים שבאותה חצר שותפים בו, בבית מסוים, והרי הוא כאילו כל החצר רשות יחיד אחת ומותר לטלטל מבית לבית באותה חצר. כאן מדובר שלא לשנות את מיקום הבית הקבוע ('בית ישן') שבו מניחים את העירוב, מפני דרכי שלום. בגמרא בבלי (גיטין ס ע"ב) נראה שהסיבה לכך היא 'משום חשד' שאולי אין שם עירוב (ראה פירוש קהתי על המשנה). אבל ב</w:t>
      </w:r>
      <w:r>
        <w:rPr>
          <w:rtl/>
        </w:rPr>
        <w:t>ירושלמי עירובין פרק ג</w:t>
      </w:r>
      <w:r>
        <w:rPr>
          <w:rFonts w:hint="cs"/>
          <w:rtl/>
        </w:rPr>
        <w:t xml:space="preserve"> הלכה ב משמע שכל הסיבה של עירוב חצירות הוא כדי להרבות יחסי שלום ורעות בין דיירי החצר: "</w:t>
      </w:r>
      <w:r>
        <w:rPr>
          <w:rtl/>
        </w:rPr>
        <w:t>א"ר יהושע</w:t>
      </w:r>
      <w:r>
        <w:rPr>
          <w:rFonts w:hint="cs"/>
          <w:rtl/>
        </w:rPr>
        <w:t>:</w:t>
      </w:r>
      <w:r>
        <w:rPr>
          <w:rtl/>
        </w:rPr>
        <w:t xml:space="preserve"> מפני מה מערבין בחצירות</w:t>
      </w:r>
      <w:r>
        <w:rPr>
          <w:rFonts w:hint="cs"/>
          <w:rtl/>
        </w:rPr>
        <w:t>?</w:t>
      </w:r>
      <w:r>
        <w:rPr>
          <w:rtl/>
        </w:rPr>
        <w:t xml:space="preserve"> מפני דרכי שלום</w:t>
      </w:r>
      <w:r>
        <w:rPr>
          <w:rFonts w:hint="cs"/>
          <w:rtl/>
        </w:rPr>
        <w:t>.</w:t>
      </w:r>
      <w:r>
        <w:rPr>
          <w:rtl/>
        </w:rPr>
        <w:t xml:space="preserve"> מעשה באשה אחת שהיתה </w:t>
      </w:r>
      <w:r>
        <w:rPr>
          <w:rFonts w:hint="cs"/>
          <w:rtl/>
        </w:rPr>
        <w:t xml:space="preserve">שונאת </w:t>
      </w:r>
      <w:r>
        <w:rPr>
          <w:rtl/>
        </w:rPr>
        <w:t xml:space="preserve">לחבירתה ושלחה עירובה גבי </w:t>
      </w:r>
      <w:r>
        <w:rPr>
          <w:rFonts w:hint="cs"/>
          <w:rtl/>
        </w:rPr>
        <w:t xml:space="preserve">בנה. לקחה וחבקתו ונשקתו (השכנה) והלך הבן וסיפר לפני אמו. אמרה (האם): </w:t>
      </w:r>
      <w:r>
        <w:rPr>
          <w:rtl/>
        </w:rPr>
        <w:t xml:space="preserve">כך </w:t>
      </w:r>
      <w:r>
        <w:rPr>
          <w:rFonts w:hint="cs"/>
          <w:rtl/>
        </w:rPr>
        <w:t xml:space="preserve">היא </w:t>
      </w:r>
      <w:r>
        <w:rPr>
          <w:rtl/>
        </w:rPr>
        <w:t>אוהבת אותי ואני לא ידעתי</w:t>
      </w:r>
      <w:r>
        <w:rPr>
          <w:rFonts w:hint="cs"/>
          <w:rtl/>
        </w:rPr>
        <w:t>!</w:t>
      </w:r>
      <w:r>
        <w:rPr>
          <w:rtl/>
        </w:rPr>
        <w:t xml:space="preserve"> </w:t>
      </w:r>
      <w:r>
        <w:rPr>
          <w:rFonts w:hint="cs"/>
          <w:rtl/>
        </w:rPr>
        <w:t>מתוך כך עשו שלום</w:t>
      </w:r>
      <w:r>
        <w:rPr>
          <w:rtl/>
        </w:rPr>
        <w:t>. הדא הוא דכתיב [משלי ג יז] דרכיה דרכי נועם וכל נתיבותיה שלום</w:t>
      </w:r>
      <w:r>
        <w:rPr>
          <w:rFonts w:hint="cs"/>
          <w:rtl/>
        </w:rPr>
        <w:t xml:space="preserve">". שוב הפסוק ממשלי והפעם חותם הדרשה. ראה גלגול מעשה זה במדרש תנחומא פרשת נח סימן טז.  </w:t>
      </w:r>
    </w:p>
  </w:footnote>
  <w:footnote w:id="7">
    <w:p w14:paraId="6FB0EEEB" w14:textId="77777777" w:rsidR="009764A7" w:rsidRDefault="009764A7" w:rsidP="00A24452">
      <w:pPr>
        <w:pStyle w:val="a3"/>
        <w:rPr>
          <w:rFonts w:hint="cs"/>
          <w:rtl/>
        </w:rPr>
      </w:pPr>
      <w:r>
        <w:rPr>
          <w:rStyle w:val="a5"/>
        </w:rPr>
        <w:footnoteRef/>
      </w:r>
      <w:r>
        <w:rPr>
          <w:rtl/>
        </w:rPr>
        <w:t xml:space="preserve"> </w:t>
      </w:r>
      <w:r>
        <w:rPr>
          <w:rFonts w:hint="cs"/>
          <w:rtl/>
        </w:rPr>
        <w:t xml:space="preserve">נראה שכאן הפתרון הוא טכני: הקרוב, קרוב קודם. אולי זה גם עניין היסטורי, שבתחילה היו שדות קרובים לנהר עם אמות מים קצרות ובהדרגה נוספו שדות רחוקים יותר. בגמרא בבלי גיטין שם יש דיון מורכב על "בני הנהר" מי משקה קודם את שדהו ומי אח"כ, דיון שממנו אפשר ללמוד על חקלאות בבל ושיטות </w:t>
      </w:r>
      <w:r w:rsidR="00A24452">
        <w:rPr>
          <w:rFonts w:hint="cs"/>
          <w:rtl/>
        </w:rPr>
        <w:t>ה</w:t>
      </w:r>
      <w:r>
        <w:rPr>
          <w:rFonts w:hint="cs"/>
          <w:rtl/>
        </w:rPr>
        <w:t>השקיה שם, ושהדברים לא היו פשוטים כלל וכלל (בפרט בשנים של מיעוט מים בנהרות), עד שהגמרא בשלב מסוים לא מוכנה לפסוק ואומרת: "כל דאלים גבר". "שיסתדרו בעצמם", מפרש שטיינזלץ על אתר. אולי גם זה "מפני דרכי שלום". שימצאו בני אותה עיר, ארץ, דור, את דרכי השלום שלהם ולא יסמכו רק על חז"ל. שירימו את עיניהם מהספרים לדקדק איפה כתוב "מפני דרכי שלום" ואיפה לא; יביטו איש בעיני רעהו, יחפשו וימצאו את דרכי השלום שלהם.</w:t>
      </w:r>
    </w:p>
  </w:footnote>
  <w:footnote w:id="8">
    <w:p w14:paraId="71CA9B37" w14:textId="77777777" w:rsidR="009764A7" w:rsidRDefault="009764A7" w:rsidP="00F57969">
      <w:pPr>
        <w:pStyle w:val="a3"/>
        <w:rPr>
          <w:rFonts w:hint="cs"/>
        </w:rPr>
      </w:pPr>
      <w:r>
        <w:rPr>
          <w:rStyle w:val="a5"/>
        </w:rPr>
        <w:footnoteRef/>
      </w:r>
      <w:r>
        <w:rPr>
          <w:rtl/>
        </w:rPr>
        <w:t xml:space="preserve"> </w:t>
      </w:r>
      <w:r>
        <w:rPr>
          <w:rFonts w:hint="cs"/>
          <w:rtl/>
        </w:rPr>
        <w:t>מדובר במצודות שרק עוצרות את בעלי החיים ולא צד</w:t>
      </w:r>
      <w:r w:rsidR="00F57969">
        <w:rPr>
          <w:rFonts w:hint="cs"/>
          <w:rtl/>
        </w:rPr>
        <w:t>ות</w:t>
      </w:r>
      <w:r>
        <w:rPr>
          <w:rFonts w:hint="cs"/>
          <w:rtl/>
        </w:rPr>
        <w:t xml:space="preserve"> או לוכד</w:t>
      </w:r>
      <w:r w:rsidR="00F57969">
        <w:rPr>
          <w:rFonts w:hint="cs"/>
          <w:rtl/>
        </w:rPr>
        <w:t>ות</w:t>
      </w:r>
      <w:r>
        <w:rPr>
          <w:rFonts w:hint="cs"/>
          <w:rtl/>
        </w:rPr>
        <w:t xml:space="preserve"> אותם ממש. ראה שם בגמרא. מה שמעניין בדין זה ובבאים אחריו הוא הלשון: "יש בהם גזל מפני דרכי שלום". יש "גזל" ויש "גזל מפני דרכי שלום"</w:t>
      </w:r>
      <w:r w:rsidR="00F57969">
        <w:rPr>
          <w:rFonts w:hint="cs"/>
          <w:rtl/>
        </w:rPr>
        <w:t>, היינו מפני דרכי שלום מוגדרת פעולה זו כגזל</w:t>
      </w:r>
      <w:r>
        <w:rPr>
          <w:rFonts w:hint="cs"/>
          <w:rtl/>
        </w:rPr>
        <w:t xml:space="preserve">. אולי בשל כך חולק ר' יוסי בכל שלושת המקרים שלהלן: אין דבר כזה "גזל מפני דרכי שלום". אם זה גזל, אז זה גזל! אגב מהמקורות הדנים בסוגיה זו משמע שזה גזל מדרבנן (מדברי סופרים) ולא מהתורה, אך ניתן להוציאו בבית דין. </w:t>
      </w:r>
    </w:p>
  </w:footnote>
  <w:footnote w:id="9">
    <w:p w14:paraId="04B171EA" w14:textId="77777777" w:rsidR="009764A7" w:rsidRDefault="009764A7" w:rsidP="00C7047E">
      <w:pPr>
        <w:pStyle w:val="a3"/>
        <w:rPr>
          <w:rFonts w:hint="cs"/>
          <w:rtl/>
        </w:rPr>
      </w:pPr>
      <w:r>
        <w:rPr>
          <w:rStyle w:val="a5"/>
        </w:rPr>
        <w:footnoteRef/>
      </w:r>
      <w:r>
        <w:rPr>
          <w:rtl/>
        </w:rPr>
        <w:t xml:space="preserve"> </w:t>
      </w:r>
      <w:r>
        <w:rPr>
          <w:rFonts w:hint="cs"/>
          <w:rtl/>
        </w:rPr>
        <w:t>לגבי ילדים קטנים, שאינם בני מצווה, אבל ברי דעת ומבינים מהו ניכוס של חפץ ("שלי"), מגיל שש ואילך, שיטת ר' יוסי מוסברת בירושלמי גיטין פרק חמישי: "</w:t>
      </w:r>
      <w:r>
        <w:rPr>
          <w:rtl/>
        </w:rPr>
        <w:t>בשיטת הפעוטות. דתנינן תמן</w:t>
      </w:r>
      <w:r>
        <w:rPr>
          <w:rFonts w:hint="cs"/>
          <w:rtl/>
        </w:rPr>
        <w:t>:</w:t>
      </w:r>
      <w:r>
        <w:rPr>
          <w:rtl/>
        </w:rPr>
        <w:t xml:space="preserve"> הפעוטות מקחן מקח וממכרן ממכר במטלטלין</w:t>
      </w:r>
      <w:r>
        <w:rPr>
          <w:rFonts w:hint="cs"/>
          <w:rtl/>
        </w:rPr>
        <w:t xml:space="preserve">". ראה </w:t>
      </w:r>
      <w:r>
        <w:rPr>
          <w:rtl/>
        </w:rPr>
        <w:t>רמב"ם הלכות מכירה פרק כט הלכה ו</w:t>
      </w:r>
      <w:r>
        <w:rPr>
          <w:rFonts w:hint="cs"/>
          <w:rtl/>
        </w:rPr>
        <w:t>: "</w:t>
      </w:r>
      <w:r>
        <w:rPr>
          <w:rtl/>
        </w:rPr>
        <w:t>קטן עד שש שנים אין הקנייתו לאחרים כלום, ומשש שנים עד שיגדיל אם יודע בטיב משא ומתן מקחו מקח וממכרו ממכר ומתנתו קיימת</w:t>
      </w:r>
      <w:r>
        <w:rPr>
          <w:rFonts w:hint="cs"/>
          <w:rtl/>
        </w:rPr>
        <w:t xml:space="preserve"> ...</w:t>
      </w:r>
      <w:r>
        <w:rPr>
          <w:rtl/>
        </w:rPr>
        <w:t xml:space="preserve"> ודבר זה מדברי חכמים</w:t>
      </w:r>
      <w:r>
        <w:rPr>
          <w:rFonts w:hint="cs"/>
          <w:rtl/>
        </w:rPr>
        <w:t xml:space="preserve"> ...</w:t>
      </w:r>
      <w:r>
        <w:rPr>
          <w:rtl/>
        </w:rPr>
        <w:t xml:space="preserve"> כדי שלא יבטל ולא ימצא מי שימכור לו ולא יקח ממנו</w:t>
      </w:r>
      <w:r>
        <w:rPr>
          <w:rFonts w:hint="cs"/>
          <w:rtl/>
        </w:rPr>
        <w:t>.</w:t>
      </w:r>
      <w:r>
        <w:rPr>
          <w:rtl/>
        </w:rPr>
        <w:t xml:space="preserve"> והכל במטלטלין אבל בקרקע אינו מוכר ולא נותן עד שיגדיל</w:t>
      </w:r>
      <w:r>
        <w:rPr>
          <w:rFonts w:hint="cs"/>
          <w:rtl/>
        </w:rPr>
        <w:t>". ולגבי שוטה, ראה אבחנה משולשת, שוב בירושלמי שם: "</w:t>
      </w:r>
      <w:r>
        <w:rPr>
          <w:rtl/>
        </w:rPr>
        <w:t>תמן אמרין בשם רב נחמן בר יעקב</w:t>
      </w:r>
      <w:r>
        <w:rPr>
          <w:rFonts w:hint="cs"/>
          <w:rtl/>
        </w:rPr>
        <w:t>:</w:t>
      </w:r>
      <w:r>
        <w:rPr>
          <w:rtl/>
        </w:rPr>
        <w:t xml:space="preserve"> כל שנותנין לו אגוז ומשליכו צרור ונוטלו</w:t>
      </w:r>
      <w:r>
        <w:rPr>
          <w:rFonts w:hint="cs"/>
          <w:rtl/>
        </w:rPr>
        <w:t xml:space="preserve"> -</w:t>
      </w:r>
      <w:r>
        <w:rPr>
          <w:rtl/>
        </w:rPr>
        <w:t xml:space="preserve"> המוציא בידו כמוציא לאשפה. אגוז ונוטלו צרור וזורקו </w:t>
      </w:r>
      <w:r>
        <w:rPr>
          <w:rFonts w:hint="cs"/>
          <w:rtl/>
        </w:rPr>
        <w:t xml:space="preserve">- </w:t>
      </w:r>
      <w:r>
        <w:rPr>
          <w:rtl/>
        </w:rPr>
        <w:t xml:space="preserve">גזילו גזל מפני דרכי שלום. אגוז וצרור נוטלן ומצניען ומביאן לאחר זמן </w:t>
      </w:r>
      <w:r>
        <w:rPr>
          <w:rFonts w:hint="cs"/>
          <w:rtl/>
        </w:rPr>
        <w:t xml:space="preserve">- </w:t>
      </w:r>
      <w:r>
        <w:rPr>
          <w:rtl/>
        </w:rPr>
        <w:t>גזילו גזל גמור</w:t>
      </w:r>
      <w:r>
        <w:rPr>
          <w:rFonts w:hint="cs"/>
          <w:rtl/>
        </w:rPr>
        <w:t>"</w:t>
      </w:r>
      <w:r>
        <w:rPr>
          <w:rtl/>
        </w:rPr>
        <w:t>.</w:t>
      </w:r>
    </w:p>
  </w:footnote>
  <w:footnote w:id="10">
    <w:p w14:paraId="266BC4E6" w14:textId="77777777" w:rsidR="009764A7" w:rsidRDefault="009764A7" w:rsidP="007A35BB">
      <w:pPr>
        <w:pStyle w:val="a3"/>
        <w:rPr>
          <w:rFonts w:hint="cs"/>
        </w:rPr>
      </w:pPr>
      <w:r>
        <w:rPr>
          <w:rStyle w:val="a5"/>
        </w:rPr>
        <w:footnoteRef/>
      </w:r>
      <w:r>
        <w:rPr>
          <w:rtl/>
        </w:rPr>
        <w:t xml:space="preserve"> </w:t>
      </w:r>
      <w:r>
        <w:rPr>
          <w:rFonts w:hint="cs"/>
          <w:rtl/>
        </w:rPr>
        <w:t xml:space="preserve">שהעני שטרח לעלות בעץ וללקט את הפאה או הלקט והשכחה שנותרו שם </w:t>
      </w:r>
      <w:r>
        <w:rPr>
          <w:rtl/>
        </w:rPr>
        <w:t>–</w:t>
      </w:r>
      <w:r>
        <w:rPr>
          <w:rFonts w:hint="cs"/>
          <w:rtl/>
        </w:rPr>
        <w:t xml:space="preserve"> זכה בהם. שוב, ר' יוסי אינו מסכים שזה רק "גזל מפני דרכי שלום". ראה בגמרא שם (גיטין סא) שרב כהנא ליקט מתמרים שעני טרח להשליך מראש העץ ונזף בו העני וקיבל רב כהנא את תוכחתו. ואף שיבח אותו שהוא מעירו של ר' יאשיה שהוא "</w:t>
      </w:r>
      <w:r>
        <w:rPr>
          <w:rtl/>
        </w:rPr>
        <w:t>צדיק יסוד עולם</w:t>
      </w:r>
      <w:r>
        <w:rPr>
          <w:rFonts w:hint="cs"/>
          <w:rtl/>
        </w:rPr>
        <w:t>" שהלכותיו נשמרות גם אחרי מותו.</w:t>
      </w:r>
    </w:p>
  </w:footnote>
  <w:footnote w:id="11">
    <w:p w14:paraId="0F6D6973" w14:textId="77777777" w:rsidR="009764A7" w:rsidRDefault="009764A7" w:rsidP="00343F57">
      <w:pPr>
        <w:pStyle w:val="a3"/>
        <w:rPr>
          <w:rFonts w:hint="cs"/>
          <w:rtl/>
        </w:rPr>
      </w:pPr>
      <w:r>
        <w:rPr>
          <w:rStyle w:val="a5"/>
        </w:rPr>
        <w:footnoteRef/>
      </w:r>
      <w:r>
        <w:rPr>
          <w:rtl/>
        </w:rPr>
        <w:t xml:space="preserve"> </w:t>
      </w:r>
      <w:r>
        <w:rPr>
          <w:rFonts w:hint="cs"/>
          <w:rtl/>
        </w:rPr>
        <w:t xml:space="preserve">האם רות המואביה היא הדגם של עניי גויים שיכולים ללקט בשדות ישראל? אפשר. ראה תהליך הגיור המתואר בגמרא יבמות </w:t>
      </w:r>
      <w:r>
        <w:rPr>
          <w:rtl/>
        </w:rPr>
        <w:t>מז ע</w:t>
      </w:r>
      <w:r>
        <w:rPr>
          <w:rFonts w:hint="cs"/>
          <w:rtl/>
        </w:rPr>
        <w:t xml:space="preserve">"א: " ... </w:t>
      </w:r>
      <w:r>
        <w:rPr>
          <w:rtl/>
        </w:rPr>
        <w:t>ומודיעין אותו מקצת מצות קלות ומקצת מצות חמורות, ומודיעין אותו עון לקט שכחה ופאה ומעשר עני</w:t>
      </w:r>
      <w:r>
        <w:rPr>
          <w:rFonts w:hint="cs"/>
          <w:rtl/>
        </w:rPr>
        <w:t xml:space="preserve">". הבחירה במצוות לקט שכחה ופאה דווקא, כהודעה לגר מיד בתחילת דרכו, היא מסר חשוב שבגדרי המצוות יש גם מרכיב של "מפני דרכי שלום". שיש בתורה גם מרכיב של לפנים משורת הדין. ולמחר כשיבואו גויים בשדותיו, לא ימנע הוא מהם ללקוט. על "דרכי שלום" לגויים ונכרים נראה עוד להלן. בינתיים נעיר שמשנה זו במסכת גיטין מצוטטת במקורות רבים כבסיס למוטיב "מפני דרכי שלום". ראה ציטוטה למשל במשנת </w:t>
      </w:r>
      <w:r>
        <w:rPr>
          <w:rtl/>
        </w:rPr>
        <w:t>רבי אליעזר פרשה ד</w:t>
      </w:r>
      <w:r>
        <w:rPr>
          <w:rFonts w:hint="cs"/>
          <w:rtl/>
        </w:rPr>
        <w:t>: "</w:t>
      </w:r>
      <w:r>
        <w:rPr>
          <w:rtl/>
        </w:rPr>
        <w:t>ואלו דברים אמרו מפני דרכי שלום. כהן קורא ראשון, ואחריו לוי, ואחריו ישראל, מפני דרכי שלום</w:t>
      </w:r>
      <w:r>
        <w:rPr>
          <w:rFonts w:hint="cs"/>
          <w:rtl/>
        </w:rPr>
        <w:t xml:space="preserve"> </w:t>
      </w:r>
      <w:r>
        <w:rPr>
          <w:rtl/>
        </w:rPr>
        <w:t>..</w:t>
      </w:r>
      <w:r>
        <w:rPr>
          <w:rFonts w:hint="cs"/>
          <w:rtl/>
        </w:rPr>
        <w:t>.</w:t>
      </w:r>
      <w:r>
        <w:rPr>
          <w:rtl/>
        </w:rPr>
        <w:t xml:space="preserve"> ישראל שהוציא לקט שכחה ופאה לתת לעניי ישראל, ויש שם עניי גוים, והן באין ונוטלין עמם, אין ממחין בידם, מפני דרכי שלום. שואלין בשלום גוים, אפי</w:t>
      </w:r>
      <w:r>
        <w:rPr>
          <w:rFonts w:hint="cs"/>
          <w:rtl/>
        </w:rPr>
        <w:t>לו</w:t>
      </w:r>
      <w:r>
        <w:rPr>
          <w:rtl/>
        </w:rPr>
        <w:t xml:space="preserve"> ביום אידם, מפני דרכי שלום. שכל מצותיה של תורה שלום, שנ</w:t>
      </w:r>
      <w:r>
        <w:rPr>
          <w:rFonts w:hint="cs"/>
          <w:rtl/>
        </w:rPr>
        <w:t xml:space="preserve">אמר: דרכיה דרכי נעם </w:t>
      </w:r>
      <w:r>
        <w:rPr>
          <w:rtl/>
        </w:rPr>
        <w:t>וכל נתיבותיה שלום</w:t>
      </w:r>
      <w:r>
        <w:rPr>
          <w:rFonts w:hint="cs"/>
          <w:rtl/>
        </w:rPr>
        <w:t>"</w:t>
      </w:r>
      <w:r>
        <w:rPr>
          <w:rtl/>
        </w:rPr>
        <w:t>.</w:t>
      </w:r>
      <w:r w:rsidRPr="00DF0965">
        <w:rPr>
          <w:rFonts w:hint="cs"/>
          <w:rtl/>
          <w:lang w:eastAsia="en-US"/>
        </w:rPr>
        <w:t xml:space="preserve"> </w:t>
      </w:r>
      <w:r>
        <w:rPr>
          <w:rFonts w:hint="cs"/>
          <w:rtl/>
          <w:lang w:eastAsia="en-US"/>
        </w:rPr>
        <w:t>כפי שהערנו לעיל, הפסוק במשלי הוא הבסיס לביטוי "דרכי שלום" - לא השלום עצמו, אלא דרכי השלום - הדרכים המביאות לשלום והדרכים המסתעפות ממנו.</w:t>
      </w:r>
    </w:p>
  </w:footnote>
  <w:footnote w:id="12">
    <w:p w14:paraId="73731599" w14:textId="77777777" w:rsidR="009764A7" w:rsidRDefault="009764A7" w:rsidP="00B172E3">
      <w:pPr>
        <w:pStyle w:val="a3"/>
        <w:rPr>
          <w:rFonts w:hint="cs"/>
          <w:rtl/>
        </w:rPr>
      </w:pPr>
      <w:r>
        <w:rPr>
          <w:rStyle w:val="a5"/>
        </w:rPr>
        <w:footnoteRef/>
      </w:r>
      <w:r>
        <w:rPr>
          <w:rtl/>
        </w:rPr>
        <w:t xml:space="preserve"> </w:t>
      </w:r>
      <w:r>
        <w:rPr>
          <w:rFonts w:hint="cs"/>
          <w:rtl/>
        </w:rPr>
        <w:t>על המשנה הנ"ל שמאפשרים לעניי גויים ללקט מתנות עניים, מוסיפה הגמרא ברייתא שמציינת גם: חלוקת צדקה, ביקור חולים וקבורת נכרים מפני דרכי שלום.</w:t>
      </w:r>
      <w:r w:rsidRPr="00314E89">
        <w:rPr>
          <w:rtl/>
        </w:rPr>
        <w:t xml:space="preserve"> </w:t>
      </w:r>
      <w:r>
        <w:rPr>
          <w:rFonts w:hint="cs"/>
          <w:rtl/>
        </w:rPr>
        <w:t xml:space="preserve">ראה </w:t>
      </w:r>
      <w:r>
        <w:rPr>
          <w:rtl/>
        </w:rPr>
        <w:t>תוספתא גיטין פרק ג</w:t>
      </w:r>
      <w:r>
        <w:rPr>
          <w:rFonts w:hint="cs"/>
          <w:rtl/>
        </w:rPr>
        <w:t xml:space="preserve"> </w:t>
      </w:r>
      <w:r>
        <w:rPr>
          <w:rtl/>
        </w:rPr>
        <w:t>הלכ</w:t>
      </w:r>
      <w:r w:rsidR="00B172E3">
        <w:rPr>
          <w:rFonts w:hint="cs"/>
          <w:rtl/>
        </w:rPr>
        <w:t>ות</w:t>
      </w:r>
      <w:r>
        <w:rPr>
          <w:rtl/>
        </w:rPr>
        <w:t xml:space="preserve"> יג</w:t>
      </w:r>
      <w:r>
        <w:rPr>
          <w:rFonts w:hint="cs"/>
          <w:rtl/>
        </w:rPr>
        <w:t>-יד המתייחסת לעיר שבה גויים ויהודים חיים בצוותא (קיסריה?): "</w:t>
      </w:r>
      <w:r>
        <w:rPr>
          <w:rtl/>
        </w:rPr>
        <w:t>עיר שיש בה ישראל וגוים</w:t>
      </w:r>
      <w:r w:rsidR="00F57969">
        <w:rPr>
          <w:rFonts w:hint="cs"/>
          <w:rtl/>
        </w:rPr>
        <w:t>,</w:t>
      </w:r>
      <w:r>
        <w:rPr>
          <w:rtl/>
        </w:rPr>
        <w:t xml:space="preserve"> הפרנסין גובין מישראל ומגוים מפני דרכי שלום</w:t>
      </w:r>
      <w:r>
        <w:rPr>
          <w:rFonts w:hint="cs"/>
          <w:rtl/>
        </w:rPr>
        <w:t>.</w:t>
      </w:r>
      <w:r>
        <w:rPr>
          <w:rtl/>
        </w:rPr>
        <w:t xml:space="preserve"> מפרנסין עניי גוים עם עניי ישראל מפני דרכי שלום</w:t>
      </w:r>
      <w:r>
        <w:rPr>
          <w:rFonts w:hint="cs"/>
          <w:rtl/>
        </w:rPr>
        <w:t xml:space="preserve">. </w:t>
      </w:r>
      <w:r>
        <w:rPr>
          <w:rtl/>
        </w:rPr>
        <w:t>מספידין וקוברין מיתי גוים מפני דרכי שלום</w:t>
      </w:r>
      <w:r>
        <w:rPr>
          <w:rFonts w:hint="cs"/>
          <w:rtl/>
        </w:rPr>
        <w:t>.</w:t>
      </w:r>
      <w:r>
        <w:rPr>
          <w:rtl/>
        </w:rPr>
        <w:t xml:space="preserve"> מנחמין אבילי גוים מפני דרכי שלום</w:t>
      </w:r>
      <w:r>
        <w:rPr>
          <w:rFonts w:hint="cs"/>
          <w:rtl/>
        </w:rPr>
        <w:t xml:space="preserve">". מעניינת במיוחד היא גביית הכסף וניהול כספי צדקה באופן משותף, מה שמחייב הקמת ועד צדקה </w:t>
      </w:r>
      <w:r w:rsidR="00B172E3">
        <w:rPr>
          <w:rFonts w:hint="cs"/>
          <w:rtl/>
        </w:rPr>
        <w:t xml:space="preserve">משותף </w:t>
      </w:r>
      <w:r>
        <w:rPr>
          <w:rFonts w:hint="cs"/>
          <w:rtl/>
        </w:rPr>
        <w:t>בנאמנות, לא סתם מתן צדקה לגוי עני באופן אישי מ</w:t>
      </w:r>
      <w:r w:rsidR="00B172E3">
        <w:rPr>
          <w:rFonts w:hint="cs"/>
          <w:rtl/>
        </w:rPr>
        <w:t xml:space="preserve">קרן </w:t>
      </w:r>
      <w:r>
        <w:rPr>
          <w:rFonts w:hint="cs"/>
          <w:rtl/>
        </w:rPr>
        <w:t>צדקה יהודי</w:t>
      </w:r>
      <w:r w:rsidR="00B172E3">
        <w:rPr>
          <w:rFonts w:hint="cs"/>
          <w:rtl/>
        </w:rPr>
        <w:t>ת</w:t>
      </w:r>
      <w:r>
        <w:rPr>
          <w:rFonts w:hint="cs"/>
          <w:rtl/>
        </w:rPr>
        <w:t xml:space="preserve">. ראה </w:t>
      </w:r>
      <w:r w:rsidR="00B172E3">
        <w:rPr>
          <w:rFonts w:hint="cs"/>
          <w:rtl/>
        </w:rPr>
        <w:t xml:space="preserve">תיאור </w:t>
      </w:r>
      <w:r>
        <w:rPr>
          <w:rFonts w:hint="cs"/>
          <w:rtl/>
        </w:rPr>
        <w:t>חיים משותפים כאלה גם ב</w:t>
      </w:r>
      <w:r>
        <w:rPr>
          <w:rtl/>
        </w:rPr>
        <w:t>ירושלמי גיטין פרק ה</w:t>
      </w:r>
      <w:r>
        <w:rPr>
          <w:rFonts w:hint="cs"/>
          <w:rtl/>
        </w:rPr>
        <w:t xml:space="preserve"> הלכה ט: "</w:t>
      </w:r>
      <w:r>
        <w:rPr>
          <w:rtl/>
        </w:rPr>
        <w:t>תני</w:t>
      </w:r>
      <w:r>
        <w:rPr>
          <w:rFonts w:hint="cs"/>
          <w:rtl/>
        </w:rPr>
        <w:t>:</w:t>
      </w:r>
      <w:r>
        <w:rPr>
          <w:rtl/>
        </w:rPr>
        <w:t xml:space="preserve"> עיר שיש בה גוים וישראל</w:t>
      </w:r>
      <w:r>
        <w:rPr>
          <w:rFonts w:hint="cs"/>
          <w:rtl/>
        </w:rPr>
        <w:t>,</w:t>
      </w:r>
      <w:r>
        <w:rPr>
          <w:rtl/>
        </w:rPr>
        <w:t xml:space="preserve"> מעמידין גבאי גוים וגבאי ישראל וגובין משל גוים ומשל ישראל</w:t>
      </w:r>
      <w:r>
        <w:rPr>
          <w:rFonts w:hint="cs"/>
          <w:rtl/>
        </w:rPr>
        <w:t>.</w:t>
      </w:r>
      <w:r>
        <w:rPr>
          <w:rtl/>
        </w:rPr>
        <w:t xml:space="preserve"> ומפרנסין עניי גוים ועניי ישראל</w:t>
      </w:r>
      <w:r>
        <w:rPr>
          <w:rFonts w:hint="cs"/>
          <w:rtl/>
        </w:rPr>
        <w:t>,</w:t>
      </w:r>
      <w:r>
        <w:rPr>
          <w:rtl/>
        </w:rPr>
        <w:t xml:space="preserve"> ומבקרין חולי גוים וחולי ישראל</w:t>
      </w:r>
      <w:r>
        <w:rPr>
          <w:rFonts w:hint="cs"/>
          <w:rtl/>
        </w:rPr>
        <w:t>,</w:t>
      </w:r>
      <w:r>
        <w:rPr>
          <w:rtl/>
        </w:rPr>
        <w:t xml:space="preserve"> וקוברין מתי גוים ומתי ישראל</w:t>
      </w:r>
      <w:r>
        <w:rPr>
          <w:rFonts w:hint="cs"/>
          <w:rtl/>
        </w:rPr>
        <w:t>,</w:t>
      </w:r>
      <w:r>
        <w:rPr>
          <w:rtl/>
        </w:rPr>
        <w:t xml:space="preserve"> ומנחמין אבילי גוים ואבילי ישראל</w:t>
      </w:r>
      <w:r>
        <w:rPr>
          <w:rFonts w:hint="cs"/>
          <w:rtl/>
        </w:rPr>
        <w:t>,</w:t>
      </w:r>
      <w:r>
        <w:rPr>
          <w:rtl/>
        </w:rPr>
        <w:t xml:space="preserve"> ומכבסין כלי גוים וכלי ישראל מפני דרכי שלום</w:t>
      </w:r>
      <w:r>
        <w:rPr>
          <w:rFonts w:hint="cs"/>
          <w:rtl/>
        </w:rPr>
        <w:t>"</w:t>
      </w:r>
      <w:r>
        <w:rPr>
          <w:rtl/>
        </w:rPr>
        <w:t>.</w:t>
      </w:r>
      <w:r>
        <w:rPr>
          <w:rFonts w:hint="cs"/>
          <w:rtl/>
        </w:rPr>
        <w:t xml:space="preserve"> כל כך, עד שראו צורך לשים לשותפות זו גבולות, כגון בימי המשתה שלהם שאין לקחת בהם חלק, ראה שם בהמשך דברי </w:t>
      </w:r>
      <w:r>
        <w:rPr>
          <w:rtl/>
        </w:rPr>
        <w:t>ר' אימי</w:t>
      </w:r>
      <w:r>
        <w:rPr>
          <w:rFonts w:hint="cs"/>
          <w:rtl/>
        </w:rPr>
        <w:t>:</w:t>
      </w:r>
      <w:r>
        <w:rPr>
          <w:rtl/>
        </w:rPr>
        <w:t xml:space="preserve"> </w:t>
      </w:r>
      <w:r>
        <w:rPr>
          <w:rFonts w:hint="cs"/>
          <w:rtl/>
        </w:rPr>
        <w:t>"</w:t>
      </w:r>
      <w:r>
        <w:rPr>
          <w:rtl/>
        </w:rPr>
        <w:t>אילמלא ר' אבא</w:t>
      </w:r>
      <w:r>
        <w:rPr>
          <w:rFonts w:hint="cs"/>
          <w:rtl/>
        </w:rPr>
        <w:t>,</w:t>
      </w:r>
      <w:r>
        <w:rPr>
          <w:rtl/>
        </w:rPr>
        <w:t xml:space="preserve"> כבר היינו באין להתיר ע</w:t>
      </w:r>
      <w:r>
        <w:rPr>
          <w:rFonts w:hint="cs"/>
          <w:rtl/>
        </w:rPr>
        <w:t xml:space="preserve">בודה זרה </w:t>
      </w:r>
      <w:r>
        <w:rPr>
          <w:rtl/>
        </w:rPr>
        <w:t>שלהן וברוך שהבדילנו מהן</w:t>
      </w:r>
      <w:r>
        <w:rPr>
          <w:rFonts w:hint="cs"/>
          <w:rtl/>
        </w:rPr>
        <w:t>".</w:t>
      </w:r>
      <w:r w:rsidR="00B172E3">
        <w:rPr>
          <w:rFonts w:hint="cs"/>
          <w:rtl/>
        </w:rPr>
        <w:t xml:space="preserve"> עדות מעניינת על החיים בארץ ישראל בעת ההיא.</w:t>
      </w:r>
    </w:p>
  </w:footnote>
  <w:footnote w:id="13">
    <w:p w14:paraId="211090F6" w14:textId="77777777" w:rsidR="00D52E28" w:rsidRDefault="00D52E28" w:rsidP="00E003F5">
      <w:pPr>
        <w:pStyle w:val="a3"/>
        <w:rPr>
          <w:rFonts w:hint="cs"/>
          <w:rtl/>
        </w:rPr>
      </w:pPr>
      <w:r>
        <w:rPr>
          <w:rStyle w:val="a5"/>
        </w:rPr>
        <w:footnoteRef/>
      </w:r>
      <w:r>
        <w:rPr>
          <w:rtl/>
        </w:rPr>
        <w:t xml:space="preserve"> </w:t>
      </w:r>
      <w:r w:rsidR="00F57969">
        <w:rPr>
          <w:rFonts w:hint="cs"/>
          <w:rtl/>
        </w:rPr>
        <w:t xml:space="preserve">בתפר בין המקור הקודם ומקור זה, מן הראוי להזכיר את המשניות במסכת עבודה זרה שמרחיקות מאד קשרים כלכליים בין יהודים לנכרים מחשש שהגוי מודה לאלוהיו, לא תחנם ועוד. </w:t>
      </w:r>
      <w:r w:rsidR="00E003F5">
        <w:rPr>
          <w:rFonts w:hint="cs"/>
          <w:rtl/>
        </w:rPr>
        <w:t xml:space="preserve">וכאן, רושם אחר. </w:t>
      </w:r>
      <w:r>
        <w:rPr>
          <w:rFonts w:hint="cs"/>
          <w:rtl/>
        </w:rPr>
        <w:t>אמירת שלום לגוי, אפילו הקדמת שלום ואפילו בימי אידיהם (ימי חגיהם, שאז יש חשש כאילו היהודי מכיר בחשיבות יום זה), כבר נזכרת במשנה (גיטין ושביעית): "</w:t>
      </w:r>
      <w:r>
        <w:rPr>
          <w:rtl/>
        </w:rPr>
        <w:t>ושואלין בשלומן מפני דרכי שלום</w:t>
      </w:r>
      <w:r>
        <w:rPr>
          <w:rFonts w:hint="cs"/>
          <w:rtl/>
        </w:rPr>
        <w:t xml:space="preserve">". </w:t>
      </w:r>
      <w:r w:rsidR="00E003F5">
        <w:rPr>
          <w:rFonts w:hint="cs"/>
          <w:rtl/>
        </w:rPr>
        <w:t xml:space="preserve">כך גם </w:t>
      </w:r>
      <w:r>
        <w:rPr>
          <w:rFonts w:hint="cs"/>
          <w:rtl/>
        </w:rPr>
        <w:t>ב</w:t>
      </w:r>
      <w:r>
        <w:rPr>
          <w:rtl/>
        </w:rPr>
        <w:t>תוספתא עבודה זרה פרק א</w:t>
      </w:r>
      <w:r>
        <w:rPr>
          <w:rFonts w:hint="cs"/>
          <w:rtl/>
        </w:rPr>
        <w:t xml:space="preserve"> </w:t>
      </w:r>
      <w:r>
        <w:rPr>
          <w:rtl/>
        </w:rPr>
        <w:t>הלכה ג</w:t>
      </w:r>
      <w:r>
        <w:rPr>
          <w:rFonts w:hint="cs"/>
          <w:rtl/>
        </w:rPr>
        <w:t xml:space="preserve">, </w:t>
      </w:r>
      <w:r w:rsidR="00E003F5">
        <w:rPr>
          <w:rFonts w:hint="cs"/>
          <w:rtl/>
        </w:rPr>
        <w:t>ש</w:t>
      </w:r>
      <w:r>
        <w:rPr>
          <w:rFonts w:hint="cs"/>
          <w:rtl/>
        </w:rPr>
        <w:t xml:space="preserve">לאחר הפתיחה (כמו במשנה) על כל האיסורים בימי אידיהם גם שלושה ימים קודם, </w:t>
      </w:r>
      <w:r w:rsidR="00E003F5">
        <w:rPr>
          <w:rFonts w:hint="cs"/>
          <w:rtl/>
        </w:rPr>
        <w:t xml:space="preserve">קובעת </w:t>
      </w:r>
      <w:r w:rsidR="00B172E3">
        <w:rPr>
          <w:rFonts w:hint="cs"/>
          <w:rtl/>
        </w:rPr>
        <w:t xml:space="preserve">באופן </w:t>
      </w:r>
      <w:r>
        <w:rPr>
          <w:rFonts w:hint="cs"/>
          <w:rtl/>
        </w:rPr>
        <w:t>ברור: "</w:t>
      </w:r>
      <w:r>
        <w:rPr>
          <w:rtl/>
        </w:rPr>
        <w:t>שואלין בשלום הגוים באידיהן מפני דרכי שלום</w:t>
      </w:r>
      <w:r>
        <w:rPr>
          <w:rFonts w:hint="cs"/>
          <w:rtl/>
        </w:rPr>
        <w:t>". וכך גם להלכה ב</w:t>
      </w:r>
      <w:r>
        <w:rPr>
          <w:rtl/>
        </w:rPr>
        <w:t>רמב"ם הלכות עבודה זרה פרק י</w:t>
      </w:r>
      <w:r>
        <w:rPr>
          <w:rFonts w:hint="cs"/>
          <w:rtl/>
        </w:rPr>
        <w:t xml:space="preserve"> הלכה ה: "</w:t>
      </w:r>
      <w:r>
        <w:rPr>
          <w:rtl/>
        </w:rPr>
        <w:t>ושואלים בשלומם ואפילו ביום חגם מפני דרכי שלום</w:t>
      </w:r>
      <w:r>
        <w:rPr>
          <w:rFonts w:hint="cs"/>
          <w:rtl/>
        </w:rPr>
        <w:t xml:space="preserve">". </w:t>
      </w:r>
      <w:r w:rsidR="00E003F5">
        <w:rPr>
          <w:rFonts w:hint="cs"/>
          <w:rtl/>
        </w:rPr>
        <w:t xml:space="preserve">ראה איך </w:t>
      </w:r>
      <w:r>
        <w:rPr>
          <w:rFonts w:hint="cs"/>
          <w:rtl/>
        </w:rPr>
        <w:t xml:space="preserve">מחבר בעל המדרש </w:t>
      </w:r>
      <w:r w:rsidR="00E003F5">
        <w:rPr>
          <w:rFonts w:hint="cs"/>
          <w:rtl/>
        </w:rPr>
        <w:t xml:space="preserve">לעיל </w:t>
      </w:r>
      <w:r>
        <w:rPr>
          <w:rFonts w:hint="cs"/>
          <w:rtl/>
        </w:rPr>
        <w:t xml:space="preserve">את </w:t>
      </w:r>
      <w:r w:rsidR="00E003F5">
        <w:rPr>
          <w:rFonts w:hint="cs"/>
          <w:rtl/>
        </w:rPr>
        <w:t xml:space="preserve">ההלכה שדורשין בשלומם ביום יום ואפילו בימי חגיהם עם </w:t>
      </w:r>
      <w:r>
        <w:rPr>
          <w:rFonts w:hint="cs"/>
          <w:rtl/>
        </w:rPr>
        <w:t xml:space="preserve">הקריאה לשלום במלחמה שבפרשת שופטים (דברים כ י). ציווי התורה לקרוא לשלום בשעת מלחמה, הוא המקור להקדמת שלום לגוי בימי שלום, הוא האסמכתא שמצאו חכמים בתורה אולי לכל ההלכות של "מפני דרכי שלום" הקשורות לגוי (ראה </w:t>
      </w:r>
      <w:r>
        <w:rPr>
          <w:rtl/>
        </w:rPr>
        <w:t>רמב"ם הלכות גזלה ואבדה פרק יא</w:t>
      </w:r>
      <w:r>
        <w:rPr>
          <w:rFonts w:hint="cs"/>
          <w:rtl/>
        </w:rPr>
        <w:t xml:space="preserve"> הלכה ג לגבי אבידת גוי ושמירת רכושו מפני הגנבים, נושא שלא הזכרנו עד עתה). ראה דברינו </w:t>
      </w:r>
      <w:hyperlink r:id="rId2" w:history="1">
        <w:r w:rsidRPr="00D52E28">
          <w:rPr>
            <w:rStyle w:val="Hyperlink"/>
            <w:rFonts w:hint="cs"/>
            <w:rtl/>
          </w:rPr>
          <w:t>וקראת לשלום</w:t>
        </w:r>
      </w:hyperlink>
      <w:r w:rsidRPr="00D52E28">
        <w:rPr>
          <w:rFonts w:hint="cs"/>
          <w:rtl/>
        </w:rPr>
        <w:t xml:space="preserve"> בפרשת שופטים.</w:t>
      </w:r>
    </w:p>
  </w:footnote>
  <w:footnote w:id="14">
    <w:p w14:paraId="1395E2F2" w14:textId="77777777" w:rsidR="009764A7" w:rsidRDefault="009764A7" w:rsidP="00343F57">
      <w:pPr>
        <w:pStyle w:val="a3"/>
        <w:rPr>
          <w:rFonts w:hint="cs"/>
          <w:rtl/>
        </w:rPr>
      </w:pPr>
      <w:r>
        <w:rPr>
          <w:rStyle w:val="a5"/>
        </w:rPr>
        <w:footnoteRef/>
      </w:r>
      <w:r>
        <w:rPr>
          <w:rtl/>
        </w:rPr>
        <w:t xml:space="preserve"> </w:t>
      </w:r>
      <w:r>
        <w:rPr>
          <w:rFonts w:hint="cs"/>
          <w:rtl/>
        </w:rPr>
        <w:t>נסביר: אדם ה</w:t>
      </w:r>
      <w:r>
        <w:rPr>
          <w:rFonts w:hint="eastAsia"/>
          <w:rtl/>
        </w:rPr>
        <w:t>ֵ</w:t>
      </w:r>
      <w:r>
        <w:rPr>
          <w:rFonts w:hint="cs"/>
          <w:rtl/>
        </w:rPr>
        <w:t>ד</w:t>
      </w:r>
      <w:r>
        <w:rPr>
          <w:rFonts w:hint="eastAsia"/>
          <w:rtl/>
        </w:rPr>
        <w:t>ִ</w:t>
      </w:r>
      <w:r>
        <w:rPr>
          <w:rFonts w:hint="cs"/>
          <w:rtl/>
        </w:rPr>
        <w:t>יר את חברו שיאכל אצלו, כגון שאמר: "קונם כל אשר לי עליך, אם לא תבוא לסעוד אצלי" (סוג של הזמנה קצת בוטה, יש לומר. אולי הכוונה גם למי שמפציר מאד בחברו), מותר לאכול אצלו, גם אם אין המזמין (המדיר) נאמן על המעשרות. כל זה רק בשבת הראשונה ובתנאי שהמזמין אומר לו שהפירות מעושרים. ראה משנה זו במסכת דמאי פרק ד משנה ב.</w:t>
      </w:r>
    </w:p>
  </w:footnote>
  <w:footnote w:id="15">
    <w:p w14:paraId="78300C84" w14:textId="77777777" w:rsidR="009764A7" w:rsidRDefault="009764A7" w:rsidP="005B79AC">
      <w:pPr>
        <w:pStyle w:val="a3"/>
        <w:rPr>
          <w:rFonts w:hint="cs"/>
          <w:rtl/>
        </w:rPr>
      </w:pPr>
      <w:r>
        <w:rPr>
          <w:rStyle w:val="a5"/>
        </w:rPr>
        <w:footnoteRef/>
      </w:r>
      <w:r>
        <w:rPr>
          <w:rtl/>
        </w:rPr>
        <w:t xml:space="preserve"> </w:t>
      </w:r>
      <w:r>
        <w:rPr>
          <w:rFonts w:hint="cs"/>
          <w:rtl/>
        </w:rPr>
        <w:t xml:space="preserve">שבת של </w:t>
      </w:r>
      <w:r>
        <w:rPr>
          <w:rtl/>
        </w:rPr>
        <w:t>פְּרוֹטֶגֶמְיָיא</w:t>
      </w:r>
      <w:r>
        <w:rPr>
          <w:rFonts w:hint="cs"/>
          <w:rtl/>
        </w:rPr>
        <w:t xml:space="preserve"> או פ</w:t>
      </w:r>
      <w:r>
        <w:rPr>
          <w:rFonts w:hint="eastAsia"/>
          <w:rtl/>
        </w:rPr>
        <w:t>ְּ</w:t>
      </w:r>
      <w:r>
        <w:rPr>
          <w:rFonts w:hint="cs"/>
          <w:rtl/>
        </w:rPr>
        <w:t>רו</w:t>
      </w:r>
      <w:r>
        <w:rPr>
          <w:rFonts w:hint="eastAsia"/>
          <w:rtl/>
        </w:rPr>
        <w:t>ֹ</w:t>
      </w:r>
      <w:r>
        <w:rPr>
          <w:rFonts w:hint="cs"/>
          <w:rtl/>
        </w:rPr>
        <w:t>טו</w:t>
      </w:r>
      <w:r>
        <w:rPr>
          <w:rFonts w:hint="eastAsia"/>
          <w:rtl/>
        </w:rPr>
        <w:t>ֹ</w:t>
      </w:r>
      <w:r>
        <w:rPr>
          <w:rFonts w:hint="cs"/>
          <w:rtl/>
        </w:rPr>
        <w:t>ג</w:t>
      </w:r>
      <w:r>
        <w:rPr>
          <w:rFonts w:hint="eastAsia"/>
          <w:rtl/>
        </w:rPr>
        <w:t>ַ</w:t>
      </w:r>
      <w:r>
        <w:rPr>
          <w:rFonts w:hint="cs"/>
          <w:rtl/>
        </w:rPr>
        <w:t>מ</w:t>
      </w:r>
      <w:r>
        <w:rPr>
          <w:rFonts w:hint="eastAsia"/>
          <w:rtl/>
        </w:rPr>
        <w:t>ְּ</w:t>
      </w:r>
      <w:r>
        <w:rPr>
          <w:rFonts w:hint="cs"/>
          <w:rtl/>
        </w:rPr>
        <w:t>י</w:t>
      </w:r>
      <w:r>
        <w:rPr>
          <w:rFonts w:hint="eastAsia"/>
          <w:rtl/>
        </w:rPr>
        <w:t>ָ</w:t>
      </w:r>
      <w:r>
        <w:rPr>
          <w:rFonts w:hint="cs"/>
          <w:rtl/>
        </w:rPr>
        <w:t xml:space="preserve">א היא שבת חתן, היינו שבת ראשונה שלאחר החתונה והיא בתוך שבע הברכות. </w:t>
      </w:r>
    </w:p>
  </w:footnote>
  <w:footnote w:id="16">
    <w:p w14:paraId="665D2367" w14:textId="77777777" w:rsidR="009764A7" w:rsidRDefault="009764A7" w:rsidP="00B540AF">
      <w:pPr>
        <w:pStyle w:val="a3"/>
        <w:rPr>
          <w:rFonts w:hint="cs"/>
        </w:rPr>
      </w:pPr>
      <w:r>
        <w:rPr>
          <w:rStyle w:val="a5"/>
        </w:rPr>
        <w:footnoteRef/>
      </w:r>
      <w:r>
        <w:rPr>
          <w:rtl/>
        </w:rPr>
        <w:t xml:space="preserve"> </w:t>
      </w:r>
      <w:r>
        <w:rPr>
          <w:rFonts w:hint="cs"/>
          <w:rtl/>
        </w:rPr>
        <w:t>אם במשנה לא הייתה סיבת ההיתר ברורה, באה הגמרא ומסבירה שהיתר זה הוא "משום איבה" או "משום דרכי שלום" (וגם זה במגבלות כמוזכר במשנה עצמה ובהמשך הירושלמי שם, ראה בהמשך שם מסקנת רב חסדא: "אסור לחבר שיאכל בסעודה שאין לה ש</w:t>
      </w:r>
      <w:r>
        <w:rPr>
          <w:rFonts w:hint="eastAsia"/>
          <w:rtl/>
        </w:rPr>
        <w:t>ֵׁ</w:t>
      </w:r>
      <w:r>
        <w:rPr>
          <w:rFonts w:hint="cs"/>
          <w:rtl/>
        </w:rPr>
        <w:t>ם"). הירושלמי גם מחדש לנו את הביטוי "משום איבה" שבפשטות הוא מקביל לביטוי "מפני דרכי שלום" ואפשר שיש הבדלים דקים עליהם עמדו הפרשנים. ראה לשון פירוש המשנה לרמב"ם על המשנה שם: "</w:t>
      </w:r>
      <w:r>
        <w:rPr>
          <w:rtl/>
        </w:rPr>
        <w:t>והתרנו לו את זה מפני דרכי שלום</w:t>
      </w:r>
      <w:r>
        <w:rPr>
          <w:rFonts w:hint="cs"/>
          <w:rtl/>
        </w:rPr>
        <w:t xml:space="preserve"> ... </w:t>
      </w:r>
      <w:r>
        <w:rPr>
          <w:rtl/>
        </w:rPr>
        <w:t>שזה מורה על חומרת המצב והתחלת האיבה אם לא יאכל אצלו</w:t>
      </w:r>
      <w:r>
        <w:rPr>
          <w:rFonts w:hint="cs"/>
          <w:rtl/>
        </w:rPr>
        <w:t xml:space="preserve"> וכו' ". ראה גם לשון </w:t>
      </w:r>
      <w:r>
        <w:rPr>
          <w:rtl/>
        </w:rPr>
        <w:t>ספר כפתור ופרח פרק לט</w:t>
      </w:r>
      <w:r>
        <w:rPr>
          <w:rFonts w:hint="cs"/>
          <w:rtl/>
        </w:rPr>
        <w:t xml:space="preserve"> על משנה זו: "</w:t>
      </w:r>
      <w:r>
        <w:rPr>
          <w:rtl/>
        </w:rPr>
        <w:t>שצריך לו לעשות כן לחזק החברה ולהרחיק האיבה שתפול ביניהם אם לא יאכל עמו</w:t>
      </w:r>
      <w:r>
        <w:rPr>
          <w:rFonts w:hint="cs"/>
          <w:rtl/>
        </w:rPr>
        <w:t>".</w:t>
      </w:r>
      <w:r>
        <w:rPr>
          <w:rtl/>
        </w:rPr>
        <w:t xml:space="preserve"> </w:t>
      </w:r>
      <w:r>
        <w:rPr>
          <w:rFonts w:hint="cs"/>
          <w:rtl/>
        </w:rPr>
        <w:t>מעבר לפרטי הדינים והמגבלות כאמור בנושא רגיש זה (שלא נוכל להיכנס אליהם), די לנו בכך שהכלל "מפני דרכי שלום" איננו רק ביחסים עם הגויים והנכרים, אולי גם מפחד איך יגיבו, אלא גם ובעיקר ביחסים פנימיים בתוך עם ישראל. בכך נתמקד בהמשך דברינו.</w:t>
      </w:r>
    </w:p>
  </w:footnote>
  <w:footnote w:id="17">
    <w:p w14:paraId="1E242593" w14:textId="77777777" w:rsidR="009764A7" w:rsidRDefault="009764A7">
      <w:pPr>
        <w:pStyle w:val="a3"/>
        <w:rPr>
          <w:rFonts w:hint="cs"/>
          <w:rtl/>
        </w:rPr>
      </w:pPr>
      <w:r>
        <w:rPr>
          <w:rStyle w:val="a5"/>
        </w:rPr>
        <w:footnoteRef/>
      </w:r>
      <w:r>
        <w:rPr>
          <w:rtl/>
        </w:rPr>
        <w:t xml:space="preserve"> </w:t>
      </w:r>
      <w:r>
        <w:rPr>
          <w:rFonts w:hint="cs"/>
          <w:rtl/>
        </w:rPr>
        <w:t xml:space="preserve">חזרנו במשנה ובתלמוד מסכת דמאי, משנה אחת אחורה, הצמודה למשנה ולתלמוד הקודמים. </w:t>
      </w:r>
    </w:p>
  </w:footnote>
  <w:footnote w:id="18">
    <w:p w14:paraId="6BC2353E" w14:textId="77777777" w:rsidR="009764A7" w:rsidRDefault="009764A7" w:rsidP="00921C60">
      <w:pPr>
        <w:pStyle w:val="a3"/>
        <w:rPr>
          <w:rFonts w:hint="cs"/>
          <w:rtl/>
        </w:rPr>
      </w:pPr>
      <w:r>
        <w:rPr>
          <w:rStyle w:val="a5"/>
        </w:rPr>
        <w:footnoteRef/>
      </w:r>
      <w:r>
        <w:rPr>
          <w:rtl/>
        </w:rPr>
        <w:t xml:space="preserve"> </w:t>
      </w:r>
      <w:r>
        <w:rPr>
          <w:rFonts w:hint="cs"/>
          <w:rtl/>
        </w:rPr>
        <w:t xml:space="preserve">כאן אין דין של "מפני דרכי שלום", אבל דין דומה ומעניין, ולא יכולנו להתעלם מצמד זה של משניות ותלמוד ירושלמי שעליהן. </w:t>
      </w:r>
      <w:r w:rsidR="007706A3">
        <w:rPr>
          <w:rFonts w:hint="cs"/>
          <w:rtl/>
        </w:rPr>
        <w:t xml:space="preserve">גם </w:t>
      </w:r>
      <w:r>
        <w:rPr>
          <w:rFonts w:hint="cs"/>
          <w:rtl/>
        </w:rPr>
        <w:t xml:space="preserve">כאן מאמינים למי שאינו נאמן על המעשרות (מדובר בדין דמאי היינו טבל מדרבנן, בשל הכלל: "רוב עמי ארצות </w:t>
      </w:r>
      <w:r>
        <w:rPr>
          <w:rtl/>
        </w:rPr>
        <w:t>–</w:t>
      </w:r>
      <w:r>
        <w:rPr>
          <w:rFonts w:hint="cs"/>
          <w:rtl/>
        </w:rPr>
        <w:t xml:space="preserve"> מעשרים הם", שבת יג א, ביצה לה ב, כתובות כד א ועוד), אבל מסיבה אחרת: אימת השבת על עמי הארצות ואין הם משקרים בשבת. נראה לנו ששתי המשניות האלה מתחילת פרק ד במסכת דמאי (והתלמוד שעליהם)</w:t>
      </w:r>
      <w:r w:rsidR="00921C60">
        <w:rPr>
          <w:rFonts w:hint="cs"/>
          <w:rtl/>
        </w:rPr>
        <w:t>,</w:t>
      </w:r>
      <w:r>
        <w:rPr>
          <w:rFonts w:hint="cs"/>
          <w:rtl/>
        </w:rPr>
        <w:t xml:space="preserve"> משלימות זו את זו. מאמינים בשבת גם למי שאינו נאמן בד"כ, אם משום שפחד השבת עלי</w:t>
      </w:r>
      <w:r w:rsidR="00921C60">
        <w:rPr>
          <w:rFonts w:hint="cs"/>
          <w:rtl/>
        </w:rPr>
        <w:t>ו</w:t>
      </w:r>
      <w:r>
        <w:rPr>
          <w:rFonts w:hint="cs"/>
          <w:rtl/>
        </w:rPr>
        <w:t xml:space="preserve"> ואם משום "דרכי שלום" </w:t>
      </w:r>
      <w:r w:rsidR="00921C60">
        <w:rPr>
          <w:rFonts w:hint="cs"/>
          <w:rtl/>
        </w:rPr>
        <w:t xml:space="preserve">- </w:t>
      </w:r>
      <w:r>
        <w:rPr>
          <w:rFonts w:hint="cs"/>
          <w:rtl/>
        </w:rPr>
        <w:t xml:space="preserve">ובשבת דווקא. צמד משניות אלה נותן לברכה "שבת שלום" </w:t>
      </w:r>
      <w:r w:rsidR="00921C60">
        <w:rPr>
          <w:rFonts w:hint="cs"/>
          <w:rtl/>
        </w:rPr>
        <w:t xml:space="preserve">שאנו רגילים בה, </w:t>
      </w:r>
      <w:r>
        <w:rPr>
          <w:rFonts w:hint="cs"/>
          <w:rtl/>
        </w:rPr>
        <w:t xml:space="preserve">משמעות חדשה (ישנה? מקורית?): שבת </w:t>
      </w:r>
      <w:r>
        <w:rPr>
          <w:rtl/>
        </w:rPr>
        <w:t>–</w:t>
      </w:r>
      <w:r>
        <w:rPr>
          <w:rFonts w:hint="cs"/>
          <w:rtl/>
        </w:rPr>
        <w:t xml:space="preserve"> שלום. שבת היום - שלום היום. אימת קדושת היום על הכל, מאמינים זה לזה הכל, סועדים זה אצל זה הכל ואין מדקדקים.</w:t>
      </w:r>
      <w:r w:rsidR="00921C60">
        <w:rPr>
          <w:rFonts w:hint="cs"/>
          <w:rtl/>
        </w:rPr>
        <w:t xml:space="preserve"> לפיכך,</w:t>
      </w:r>
      <w:r>
        <w:rPr>
          <w:rFonts w:hint="cs"/>
          <w:rtl/>
        </w:rPr>
        <w:t xml:space="preserve"> שבת ושלום היום - שני מוטיבים </w:t>
      </w:r>
      <w:r w:rsidR="00921C60">
        <w:rPr>
          <w:rFonts w:hint="cs"/>
          <w:rtl/>
        </w:rPr>
        <w:t>מתחברים ו</w:t>
      </w:r>
      <w:r>
        <w:rPr>
          <w:rFonts w:hint="cs"/>
          <w:rtl/>
        </w:rPr>
        <w:t>משלימים.</w:t>
      </w:r>
    </w:p>
  </w:footnote>
  <w:footnote w:id="19">
    <w:p w14:paraId="1481783F" w14:textId="77777777" w:rsidR="009764A7" w:rsidRDefault="009764A7" w:rsidP="000C2E7C">
      <w:pPr>
        <w:pStyle w:val="a3"/>
        <w:rPr>
          <w:rFonts w:hint="cs"/>
          <w:rtl/>
        </w:rPr>
      </w:pPr>
      <w:r>
        <w:rPr>
          <w:rStyle w:val="a5"/>
        </w:rPr>
        <w:footnoteRef/>
      </w:r>
      <w:r>
        <w:rPr>
          <w:rtl/>
        </w:rPr>
        <w:t xml:space="preserve"> </w:t>
      </w:r>
      <w:r>
        <w:rPr>
          <w:rFonts w:hint="cs"/>
          <w:rtl/>
        </w:rPr>
        <w:t>חזרנו למשנה במסכת גיטין, משנה אחת אחרי זו שהבאנו בתחילת דברינו לעיל. משנה זו לקוחה, כך נראה ממסכת שביעית (פרק ה משנה ט) ומובאת במסכת גיטין, אגב המשנה הקודמת.</w:t>
      </w:r>
    </w:p>
  </w:footnote>
  <w:footnote w:id="20">
    <w:p w14:paraId="45EED1F1" w14:textId="77777777" w:rsidR="009764A7" w:rsidRDefault="009764A7" w:rsidP="00921C60">
      <w:pPr>
        <w:pStyle w:val="a3"/>
        <w:rPr>
          <w:rFonts w:hint="cs"/>
          <w:rtl/>
        </w:rPr>
      </w:pPr>
      <w:r>
        <w:rPr>
          <w:rStyle w:val="a5"/>
        </w:rPr>
        <w:footnoteRef/>
      </w:r>
      <w:r>
        <w:rPr>
          <w:rtl/>
        </w:rPr>
        <w:t xml:space="preserve"> </w:t>
      </w:r>
      <w:r>
        <w:rPr>
          <w:rFonts w:hint="cs"/>
          <w:rtl/>
        </w:rPr>
        <w:t>חזרנו לדרכי שלום שבין חלקים שונים בעם, בפרט חברים (המקפידים על דיני טומאה וטהרה), תלמידי חכמים ועמי הארצות. גם כאן, יש מגבלות לדרכי השלום, למשל בשלבי הכנת העיסה ללחם, כאשר הוספת המים מכשירה את העיסה לדין חלה ונמצא שאשת החבר מסייעת לאשת עם הארץ להפריש חלה בטומאה. הבעיה היא לא בטומאת הכלים, את אלה ניתן תמיד להכשיר אח"כ, אלה נדחים מפני דרכי שלום</w:t>
      </w:r>
      <w:r w:rsidR="00921C60">
        <w:rPr>
          <w:rFonts w:hint="cs"/>
          <w:rtl/>
        </w:rPr>
        <w:t xml:space="preserve">. הבעיה היא </w:t>
      </w:r>
      <w:r>
        <w:rPr>
          <w:rFonts w:hint="cs"/>
          <w:rtl/>
        </w:rPr>
        <w:t>בסיוע לעוברי עבירה. במשנה זו גם למדנו את הביטוי: "... אלא מפני דרכי שלום". האם "אלא" זה בא להמעיט בערך "דרכי השלום" או להעצים ולחזק אותו</w:t>
      </w:r>
      <w:r w:rsidR="00921C60">
        <w:rPr>
          <w:rFonts w:hint="cs"/>
          <w:rtl/>
        </w:rPr>
        <w:t>?</w:t>
      </w:r>
      <w:r>
        <w:rPr>
          <w:rFonts w:hint="cs"/>
          <w:rtl/>
        </w:rPr>
        <w:t xml:space="preserve"> כאן, נשמע הביטוי כהמעטה, כאילו בא לומר: ואת כל זה לא התרנו אלא בשביל דרכי שלום ולמנוע איבה. </w:t>
      </w:r>
      <w:r w:rsidR="00921C60">
        <w:rPr>
          <w:rFonts w:hint="cs"/>
          <w:rtl/>
        </w:rPr>
        <w:t>ו</w:t>
      </w:r>
      <w:r>
        <w:rPr>
          <w:rFonts w:hint="cs"/>
          <w:rtl/>
        </w:rPr>
        <w:t>אם יכולה אשת החבר להתחמק מהעניין, עדיף.</w:t>
      </w:r>
    </w:p>
  </w:footnote>
  <w:footnote w:id="21">
    <w:p w14:paraId="75F8E835" w14:textId="77777777" w:rsidR="009764A7" w:rsidRDefault="009764A7" w:rsidP="00921C60">
      <w:pPr>
        <w:pStyle w:val="a3"/>
        <w:rPr>
          <w:rFonts w:hint="cs"/>
          <w:rtl/>
        </w:rPr>
      </w:pPr>
      <w:r>
        <w:rPr>
          <w:rStyle w:val="a5"/>
        </w:rPr>
        <w:footnoteRef/>
      </w:r>
      <w:r>
        <w:rPr>
          <w:rtl/>
        </w:rPr>
        <w:t xml:space="preserve"> </w:t>
      </w:r>
      <w:r>
        <w:rPr>
          <w:rFonts w:hint="cs"/>
          <w:rtl/>
        </w:rPr>
        <w:t xml:space="preserve">חזרנו גם לנושא </w:t>
      </w:r>
      <w:r w:rsidR="00B172E3">
        <w:rPr>
          <w:rFonts w:hint="cs"/>
          <w:rtl/>
        </w:rPr>
        <w:t xml:space="preserve">של </w:t>
      </w:r>
      <w:r>
        <w:rPr>
          <w:rFonts w:hint="cs"/>
          <w:rtl/>
        </w:rPr>
        <w:t>מי שהדיר את חברו וכאן הדברים ברורים וחדים יותר. ראובן אסר על שמעון בנדר או שבועה ליהנות מכל דבר שיש לו, או ששמעון נדר או נשבע שלא יהיה לו כל עניין עם ראובן</w:t>
      </w:r>
      <w:r w:rsidR="00921C60">
        <w:rPr>
          <w:rFonts w:hint="cs"/>
          <w:rtl/>
        </w:rPr>
        <w:t xml:space="preserve"> והנאה ממנו. </w:t>
      </w:r>
      <w:r>
        <w:rPr>
          <w:rFonts w:hint="cs"/>
          <w:rtl/>
        </w:rPr>
        <w:t xml:space="preserve">כעת ראובן מת </w:t>
      </w:r>
      <w:r>
        <w:rPr>
          <w:rtl/>
        </w:rPr>
        <w:t>–</w:t>
      </w:r>
      <w:r>
        <w:rPr>
          <w:rFonts w:hint="cs"/>
          <w:rtl/>
        </w:rPr>
        <w:t xml:space="preserve"> מותר לשמעון להשתתף בצרכי </w:t>
      </w:r>
      <w:r w:rsidR="00921C60">
        <w:rPr>
          <w:rFonts w:hint="cs"/>
          <w:rtl/>
        </w:rPr>
        <w:t>לוויית</w:t>
      </w:r>
      <w:r w:rsidR="00921C60">
        <w:rPr>
          <w:rFonts w:hint="eastAsia"/>
          <w:rtl/>
        </w:rPr>
        <w:t>ו</w:t>
      </w:r>
      <w:r>
        <w:rPr>
          <w:rFonts w:hint="cs"/>
          <w:rtl/>
        </w:rPr>
        <w:t xml:space="preserve"> וקבורתו של ראובן והאבל אחרי מותו. ואם תאמר שזה משום שאין הנאה למתים, או שלאחר המיתה פג הנדר, הרי </w:t>
      </w:r>
      <w:r w:rsidR="00B172E3">
        <w:rPr>
          <w:rFonts w:hint="cs"/>
          <w:rtl/>
        </w:rPr>
        <w:t xml:space="preserve">בא </w:t>
      </w:r>
      <w:r>
        <w:rPr>
          <w:rFonts w:hint="cs"/>
          <w:rtl/>
        </w:rPr>
        <w:t>הדין שמותר לשמעון גם לבקר את ראובן בחוליו, להעיד לטובתו בדיני ממונות או נפשות, ואף לרחוץ עמו ולישון איתו במיטה! וכל זה מפני דרכי שלום. ראה דין זה ברמב"ם הלכות נדרים פרק ו וכן ב</w:t>
      </w:r>
      <w:r>
        <w:rPr>
          <w:rtl/>
        </w:rPr>
        <w:t>שולחן ערוך יורה דעה הלכות נדרים סימן רכא</w:t>
      </w:r>
      <w:r>
        <w:rPr>
          <w:rFonts w:hint="cs"/>
          <w:rtl/>
        </w:rPr>
        <w:t>. אבל בשניהם, אין אזכור של הסיבה "מפני דרכי שלום" משום מה.</w:t>
      </w:r>
    </w:p>
  </w:footnote>
  <w:footnote w:id="22">
    <w:p w14:paraId="68F13B67" w14:textId="77777777" w:rsidR="009764A7" w:rsidRDefault="009764A7">
      <w:pPr>
        <w:pStyle w:val="a3"/>
        <w:rPr>
          <w:rFonts w:hint="cs"/>
          <w:rtl/>
        </w:rPr>
      </w:pPr>
      <w:r>
        <w:rPr>
          <w:rStyle w:val="a5"/>
        </w:rPr>
        <w:footnoteRef/>
      </w:r>
      <w:r>
        <w:rPr>
          <w:rtl/>
        </w:rPr>
        <w:t xml:space="preserve"> </w:t>
      </w:r>
      <w:r>
        <w:rPr>
          <w:rFonts w:hint="cs"/>
          <w:rtl/>
        </w:rPr>
        <w:t>מכילתא דרבי שמעון היא כידוע מדרש שהגיע לידינו עם שיבושים וקיטועים רבים. עריכת המדרש ופיסוקו להלן היא באחריותנו.</w:t>
      </w:r>
    </w:p>
  </w:footnote>
  <w:footnote w:id="23">
    <w:p w14:paraId="0980CBE4" w14:textId="77777777" w:rsidR="009764A7" w:rsidRDefault="009764A7" w:rsidP="00986005">
      <w:pPr>
        <w:pStyle w:val="a3"/>
        <w:rPr>
          <w:rFonts w:hint="cs"/>
        </w:rPr>
      </w:pPr>
      <w:r>
        <w:rPr>
          <w:rStyle w:val="a5"/>
        </w:rPr>
        <w:footnoteRef/>
      </w:r>
      <w:r>
        <w:rPr>
          <w:rtl/>
        </w:rPr>
        <w:t xml:space="preserve"> </w:t>
      </w:r>
      <w:r>
        <w:rPr>
          <w:rFonts w:hint="cs"/>
          <w:rtl/>
        </w:rPr>
        <w:t>הפסוק שאותו דורשים כאן הוא בציווי של פסח בפרשת בא (שמות יב ד): "</w:t>
      </w:r>
      <w:r>
        <w:rPr>
          <w:rtl/>
        </w:rPr>
        <w:t>וְאִם יִמְעַט הַבַּיִת מִהְיוֹת מִשֶּׂה וְלָקַח הוּא וּשְׁכֵנוֹ הַקָּרֹב אֶל בֵּיתוֹ בְּמִכְסַת נְפָשֹׁת אִישׁ לְפִי אָכְלוֹ תָּכֹסּוּ עַל הַשֶּׂה</w:t>
      </w:r>
      <w:r>
        <w:rPr>
          <w:rFonts w:hint="cs"/>
          <w:rtl/>
        </w:rPr>
        <w:t>". הדרשן נדרש לנושא מי הוא "שכנו".</w:t>
      </w:r>
    </w:p>
  </w:footnote>
  <w:footnote w:id="24">
    <w:p w14:paraId="2D1AABC4" w14:textId="77777777" w:rsidR="009764A7" w:rsidRDefault="009764A7">
      <w:pPr>
        <w:pStyle w:val="a3"/>
        <w:rPr>
          <w:rFonts w:hint="cs"/>
        </w:rPr>
      </w:pPr>
      <w:r>
        <w:rPr>
          <w:rStyle w:val="a5"/>
        </w:rPr>
        <w:footnoteRef/>
      </w:r>
      <w:r>
        <w:rPr>
          <w:rtl/>
        </w:rPr>
        <w:t xml:space="preserve"> </w:t>
      </w:r>
      <w:r>
        <w:rPr>
          <w:rFonts w:hint="cs"/>
          <w:rtl/>
        </w:rPr>
        <w:t>כאן נראה לנו להוסיף את הוא"ו: "ושכנו", ככתוב בתורה. ומייתור וא"ו זו לומדים דין שכן שבגגות.</w:t>
      </w:r>
    </w:p>
  </w:footnote>
  <w:footnote w:id="25">
    <w:p w14:paraId="733C520C" w14:textId="77777777" w:rsidR="009764A7" w:rsidRDefault="009764A7">
      <w:pPr>
        <w:pStyle w:val="a3"/>
        <w:rPr>
          <w:rFonts w:hint="cs"/>
        </w:rPr>
      </w:pPr>
      <w:r>
        <w:rPr>
          <w:rStyle w:val="a5"/>
        </w:rPr>
        <w:footnoteRef/>
      </w:r>
      <w:r>
        <w:rPr>
          <w:rtl/>
        </w:rPr>
        <w:t xml:space="preserve"> </w:t>
      </w:r>
      <w:r>
        <w:rPr>
          <w:rFonts w:hint="cs"/>
          <w:rtl/>
        </w:rPr>
        <w:t>שרק בפסח מצרים נהג דין "שכנו הקרוב אליו".</w:t>
      </w:r>
    </w:p>
  </w:footnote>
  <w:footnote w:id="26">
    <w:p w14:paraId="6C247A03" w14:textId="77777777" w:rsidR="009764A7" w:rsidRDefault="009764A7" w:rsidP="00F56BE1">
      <w:pPr>
        <w:pStyle w:val="a3"/>
        <w:rPr>
          <w:rFonts w:hint="cs"/>
          <w:rtl/>
        </w:rPr>
      </w:pPr>
      <w:r>
        <w:rPr>
          <w:rStyle w:val="a5"/>
        </w:rPr>
        <w:footnoteRef/>
      </w:r>
      <w:r>
        <w:rPr>
          <w:rtl/>
        </w:rPr>
        <w:t xml:space="preserve"> </w:t>
      </w:r>
      <w:r>
        <w:rPr>
          <w:rFonts w:hint="cs"/>
          <w:rtl/>
        </w:rPr>
        <w:t>"אלא" כאן, נשמע כהעצמה ולא כצמצום או המעטה (ראה הער</w:t>
      </w:r>
      <w:r w:rsidR="00B172E3">
        <w:rPr>
          <w:rFonts w:hint="cs"/>
          <w:rtl/>
        </w:rPr>
        <w:t xml:space="preserve">ה </w:t>
      </w:r>
      <w:r w:rsidR="00F56BE1">
        <w:rPr>
          <w:rFonts w:hint="cs"/>
          <w:rtl/>
        </w:rPr>
        <w:t>20</w:t>
      </w:r>
      <w:r w:rsidR="00B172E3">
        <w:rPr>
          <w:rFonts w:hint="cs"/>
          <w:rtl/>
        </w:rPr>
        <w:t xml:space="preserve"> </w:t>
      </w:r>
      <w:r>
        <w:rPr>
          <w:rFonts w:hint="cs"/>
          <w:rtl/>
        </w:rPr>
        <w:t xml:space="preserve">לעיל לגבי אשת החבר ואשת עם הארץ). כאילו בא לומר: וודאי ששכנו הקרוב אליו עדיף, שהרי התורה כולה אינה אלא דרכי שלום. כך נראה גם בדיני עירוב חצרות שהזכרנו לעיל, בלשון </w:t>
      </w:r>
      <w:r>
        <w:rPr>
          <w:rtl/>
        </w:rPr>
        <w:t>מדרש תנחומא (בובר) פרשת נח</w:t>
      </w:r>
      <w:r>
        <w:rPr>
          <w:rFonts w:hint="cs"/>
          <w:rtl/>
        </w:rPr>
        <w:t>: "</w:t>
      </w:r>
      <w:r>
        <w:rPr>
          <w:rtl/>
        </w:rPr>
        <w:t>אמר ר' יהושע בן לוי</w:t>
      </w:r>
      <w:r>
        <w:rPr>
          <w:rFonts w:hint="cs"/>
          <w:rtl/>
        </w:rPr>
        <w:t>:</w:t>
      </w:r>
      <w:r>
        <w:rPr>
          <w:rtl/>
        </w:rPr>
        <w:t xml:space="preserve"> לא התקינו עירובי חצירות</w:t>
      </w:r>
      <w:r>
        <w:rPr>
          <w:rFonts w:hint="cs"/>
          <w:rtl/>
        </w:rPr>
        <w:t>,</w:t>
      </w:r>
      <w:r>
        <w:rPr>
          <w:rtl/>
        </w:rPr>
        <w:t xml:space="preserve"> אלא מפני דרכי שלום</w:t>
      </w:r>
      <w:r>
        <w:rPr>
          <w:rFonts w:hint="cs"/>
          <w:rtl/>
        </w:rPr>
        <w:t xml:space="preserve">". בוודאי שכך </w:t>
      </w:r>
      <w:r w:rsidR="00F56BE1">
        <w:rPr>
          <w:rFonts w:hint="cs"/>
          <w:rtl/>
          <w:lang w:eastAsia="en-US"/>
        </w:rPr>
        <w:t xml:space="preserve">גם </w:t>
      </w:r>
      <w:r w:rsidRPr="00607B01">
        <w:rPr>
          <w:rtl/>
          <w:lang w:eastAsia="en-US"/>
        </w:rPr>
        <w:t>ב</w:t>
      </w:r>
      <w:r>
        <w:rPr>
          <w:rFonts w:hint="cs"/>
          <w:rtl/>
          <w:lang w:eastAsia="en-US"/>
        </w:rPr>
        <w:t xml:space="preserve">מדרש </w:t>
      </w:r>
      <w:r w:rsidRPr="00607B01">
        <w:rPr>
          <w:rtl/>
          <w:lang w:eastAsia="en-US"/>
        </w:rPr>
        <w:t xml:space="preserve">מדבר רבה </w:t>
      </w:r>
      <w:r>
        <w:rPr>
          <w:rFonts w:hint="cs"/>
          <w:rtl/>
          <w:lang w:eastAsia="en-US"/>
        </w:rPr>
        <w:t>בו פתחנו: "</w:t>
      </w:r>
      <w:r w:rsidRPr="00607B01">
        <w:rPr>
          <w:rtl/>
          <w:lang w:eastAsia="en-US"/>
        </w:rPr>
        <w:t>אין העולם מתנהג אלא בשלום</w:t>
      </w:r>
      <w:r>
        <w:rPr>
          <w:rFonts w:hint="cs"/>
          <w:rtl/>
          <w:lang w:eastAsia="en-US"/>
        </w:rPr>
        <w:t>",</w:t>
      </w:r>
      <w:r w:rsidRPr="00607B01">
        <w:rPr>
          <w:rtl/>
          <w:lang w:eastAsia="en-US"/>
        </w:rPr>
        <w:t xml:space="preserve"> </w:t>
      </w:r>
      <w:r>
        <w:rPr>
          <w:rFonts w:hint="cs"/>
          <w:rtl/>
          <w:lang w:eastAsia="en-US"/>
        </w:rPr>
        <w:t>"</w:t>
      </w:r>
      <w:r w:rsidRPr="00607B01">
        <w:rPr>
          <w:rtl/>
          <w:lang w:eastAsia="en-US"/>
        </w:rPr>
        <w:t>אין כלי מחזיק ברכה אלא שלום</w:t>
      </w:r>
      <w:r>
        <w:rPr>
          <w:rFonts w:hint="cs"/>
          <w:rtl/>
          <w:lang w:eastAsia="en-US"/>
        </w:rPr>
        <w:t>".</w:t>
      </w:r>
      <w:r>
        <w:rPr>
          <w:rFonts w:hint="cs"/>
          <w:rtl/>
        </w:rPr>
        <w:t xml:space="preserve"> אבל שם "שלום", לא "דרכי שלום".</w:t>
      </w:r>
    </w:p>
  </w:footnote>
  <w:footnote w:id="27">
    <w:p w14:paraId="4E69B568" w14:textId="77777777" w:rsidR="009764A7" w:rsidRDefault="009764A7" w:rsidP="00A87C9D">
      <w:pPr>
        <w:pStyle w:val="a3"/>
        <w:rPr>
          <w:rFonts w:hint="cs"/>
        </w:rPr>
      </w:pPr>
      <w:r>
        <w:rPr>
          <w:rStyle w:val="a5"/>
        </w:rPr>
        <w:footnoteRef/>
      </w:r>
      <w:r>
        <w:rPr>
          <w:rtl/>
        </w:rPr>
        <w:t xml:space="preserve"> </w:t>
      </w:r>
      <w:r>
        <w:rPr>
          <w:rFonts w:hint="cs"/>
          <w:rtl/>
        </w:rPr>
        <w:t xml:space="preserve">מדרש זה נשען על </w:t>
      </w:r>
      <w:r>
        <w:rPr>
          <w:rtl/>
        </w:rPr>
        <w:t>תוספתא מסכת פסחים (ליברמן) פרק ח</w:t>
      </w:r>
      <w:r>
        <w:rPr>
          <w:rFonts w:hint="cs"/>
          <w:rtl/>
        </w:rPr>
        <w:t>: "</w:t>
      </w:r>
      <w:r>
        <w:rPr>
          <w:rtl/>
        </w:rPr>
        <w:t xml:space="preserve">אילו דברים שבין פסח מצרים לפסח דורות </w:t>
      </w:r>
      <w:r>
        <w:rPr>
          <w:rFonts w:hint="cs"/>
          <w:rtl/>
        </w:rPr>
        <w:t xml:space="preserve">... </w:t>
      </w:r>
      <w:r>
        <w:rPr>
          <w:rtl/>
        </w:rPr>
        <w:t>פסח מצרים נאמ</w:t>
      </w:r>
      <w:r>
        <w:rPr>
          <w:rFonts w:hint="cs"/>
          <w:rtl/>
        </w:rPr>
        <w:t>ר</w:t>
      </w:r>
      <w:r>
        <w:rPr>
          <w:rtl/>
        </w:rPr>
        <w:t xml:space="preserve"> בו ולקח הוא ושכנו וגו' מה שאין כן בפסח דורות</w:t>
      </w:r>
      <w:r>
        <w:rPr>
          <w:rFonts w:hint="cs"/>
          <w:rtl/>
        </w:rPr>
        <w:t xml:space="preserve">. </w:t>
      </w:r>
      <w:r>
        <w:rPr>
          <w:rtl/>
        </w:rPr>
        <w:t>ר' שמעון או</w:t>
      </w:r>
      <w:r>
        <w:rPr>
          <w:rFonts w:hint="cs"/>
          <w:rtl/>
        </w:rPr>
        <w:t xml:space="preserve">מר: אומר </w:t>
      </w:r>
      <w:r>
        <w:rPr>
          <w:rtl/>
        </w:rPr>
        <w:t>אני אף בפסח דורות נאמ</w:t>
      </w:r>
      <w:r>
        <w:rPr>
          <w:rFonts w:hint="cs"/>
          <w:rtl/>
        </w:rPr>
        <w:t>ר</w:t>
      </w:r>
      <w:r>
        <w:rPr>
          <w:rtl/>
        </w:rPr>
        <w:t xml:space="preserve"> כן</w:t>
      </w:r>
      <w:r>
        <w:rPr>
          <w:rFonts w:hint="cs"/>
          <w:rtl/>
        </w:rPr>
        <w:t>.</w:t>
      </w:r>
      <w:r>
        <w:rPr>
          <w:rtl/>
        </w:rPr>
        <w:t xml:space="preserve"> וכל כך למה</w:t>
      </w:r>
      <w:r>
        <w:rPr>
          <w:rFonts w:hint="cs"/>
          <w:rtl/>
        </w:rPr>
        <w:t>?</w:t>
      </w:r>
      <w:r>
        <w:rPr>
          <w:rtl/>
        </w:rPr>
        <w:t xml:space="preserve"> כדי שלא יניח אדם שכנו הקרוב אל ביתו וילך ויעשה פסחו אצל חברו</w:t>
      </w:r>
      <w:r>
        <w:rPr>
          <w:rFonts w:hint="cs"/>
          <w:rtl/>
        </w:rPr>
        <w:t>.</w:t>
      </w:r>
      <w:r>
        <w:rPr>
          <w:rtl/>
        </w:rPr>
        <w:t xml:space="preserve"> לקיים מה שנ</w:t>
      </w:r>
      <w:r>
        <w:rPr>
          <w:rFonts w:hint="cs"/>
          <w:rtl/>
        </w:rPr>
        <w:t>אמר:</w:t>
      </w:r>
      <w:r>
        <w:rPr>
          <w:rtl/>
        </w:rPr>
        <w:t xml:space="preserve"> טוב שכן קרוב מאח רחוק</w:t>
      </w:r>
      <w:r>
        <w:rPr>
          <w:rFonts w:hint="cs"/>
          <w:rtl/>
        </w:rPr>
        <w:t xml:space="preserve">". בפסח מצרים נצטוו לשתף את "שכנו הקרוב אליו" </w:t>
      </w:r>
      <w:r>
        <w:rPr>
          <w:rtl/>
        </w:rPr>
        <w:t>–</w:t>
      </w:r>
      <w:r>
        <w:rPr>
          <w:rFonts w:hint="cs"/>
          <w:rtl/>
        </w:rPr>
        <w:t xml:space="preserve"> זה שכנו לשעבוד וצרה, לסבל ועבודת פרך: "</w:t>
      </w:r>
      <w:r>
        <w:rPr>
          <w:rtl/>
        </w:rPr>
        <w:t>בְּחֹמֶר וּבִלְבֵנִים וּבְכָל עֲבֹדָה בַּשָּׂדֶה אֵת כָּל עֲבֹדָתָם אֲשֶׁר עָבְדוּ בָהֶם בְּפָרֶךְ</w:t>
      </w:r>
      <w:r>
        <w:rPr>
          <w:rFonts w:hint="cs"/>
          <w:rtl/>
        </w:rPr>
        <w:t>" (שמות א יד). מה כעת בפסח דורות הנוהג בחירות וברווחה? שמא בעת רווחה כבר אין דין של "שכנו הקרוב אליו"? בא ר' שמעון ואומר: לא ולא! אין זה "דרכי שלום". גם בפסח דורות יש ויש "שכנו הקרוב אליו", שלעתים עדיף על פני איזה "אח רחוק" שפעם בשנה נזכרים בקיומו. אלה הם דרכי שלום ושכנות טובה-קרובה</w:t>
      </w:r>
      <w:r w:rsidR="00A87C9D">
        <w:rPr>
          <w:rFonts w:hint="cs"/>
          <w:rtl/>
        </w:rPr>
        <w:t xml:space="preserve"> ושוב הסתמכות על פסוק מספר משלי</w:t>
      </w:r>
      <w:r>
        <w:rPr>
          <w:rFonts w:hint="cs"/>
          <w:rtl/>
        </w:rPr>
        <w:t>. אנחנו נוהגים דגש רב על פסח המשפחתי ויש לכך יסודות רבים, כגון מצוות "והגדת לבנך". אבל ראוי מדרש זה לשמש 'משקל מאזן'</w:t>
      </w:r>
      <w:r w:rsidR="00A87C9D">
        <w:rPr>
          <w:rFonts w:hint="cs"/>
          <w:rtl/>
        </w:rPr>
        <w:t xml:space="preserve">, </w:t>
      </w:r>
      <w:r>
        <w:rPr>
          <w:rFonts w:hint="cs"/>
          <w:rtl/>
        </w:rPr>
        <w:t>בוודאי צידוק ראוי</w:t>
      </w:r>
      <w:r w:rsidR="00A87C9D">
        <w:rPr>
          <w:rFonts w:hint="cs"/>
          <w:rtl/>
        </w:rPr>
        <w:t>,</w:t>
      </w:r>
      <w:r>
        <w:rPr>
          <w:rFonts w:hint="cs"/>
          <w:rtl/>
        </w:rPr>
        <w:t xml:space="preserve"> למי ש</w:t>
      </w:r>
      <w:r w:rsidR="00A87C9D">
        <w:rPr>
          <w:rFonts w:hint="cs"/>
          <w:rtl/>
        </w:rPr>
        <w:t xml:space="preserve">לעיתים </w:t>
      </w:r>
      <w:r>
        <w:rPr>
          <w:rFonts w:hint="cs"/>
          <w:rtl/>
        </w:rPr>
        <w:t>רואה לנכון לקיים את מצוות ליל הסדר בחברותא של כל השנה ובאחוות שכנים טובים וקרובים.</w:t>
      </w:r>
    </w:p>
  </w:footnote>
  <w:footnote w:id="28">
    <w:p w14:paraId="48613B69" w14:textId="77777777" w:rsidR="00D36584" w:rsidRDefault="00D36584" w:rsidP="00B172E3">
      <w:pPr>
        <w:pStyle w:val="a3"/>
        <w:rPr>
          <w:rFonts w:hint="cs"/>
          <w:rtl/>
        </w:rPr>
      </w:pPr>
      <w:r>
        <w:rPr>
          <w:rStyle w:val="a5"/>
        </w:rPr>
        <w:footnoteRef/>
      </w:r>
      <w:r>
        <w:rPr>
          <w:rtl/>
        </w:rPr>
        <w:t xml:space="preserve"> </w:t>
      </w:r>
      <w:r>
        <w:rPr>
          <w:rFonts w:hint="cs"/>
          <w:rtl/>
        </w:rPr>
        <w:t xml:space="preserve">מחניפים לרשעים ולבעלי השררה מפני דרכי שלום </w:t>
      </w:r>
      <w:r>
        <w:rPr>
          <w:rtl/>
        </w:rPr>
        <w:t>–</w:t>
      </w:r>
      <w:r>
        <w:rPr>
          <w:rFonts w:hint="cs"/>
          <w:rtl/>
        </w:rPr>
        <w:t xml:space="preserve"> מפני הצורך לשרוד ולהמשיך לחיות בשלום אמיתי או "בשלום" זמני. האם חזרנו לנושא "מפני דרכי שלום" כלפי הגויים בו פתחנו? לאו דווקא. ראה המשך המדרש שם: "</w:t>
      </w:r>
      <w:r>
        <w:rPr>
          <w:rtl/>
        </w:rPr>
        <w:t>כה אמר עבדך יעקב</w:t>
      </w:r>
      <w:r w:rsidR="00B172E3">
        <w:rPr>
          <w:rFonts w:hint="cs"/>
          <w:rtl/>
        </w:rPr>
        <w:t xml:space="preserve"> -</w:t>
      </w:r>
      <w:r>
        <w:rPr>
          <w:rtl/>
        </w:rPr>
        <w:t xml:space="preserve"> ל</w:t>
      </w:r>
      <w:r w:rsidR="00B172E3">
        <w:rPr>
          <w:rFonts w:hint="cs"/>
          <w:rtl/>
        </w:rPr>
        <w:t>י</w:t>
      </w:r>
      <w:r>
        <w:rPr>
          <w:rtl/>
        </w:rPr>
        <w:t>מדה תורה דרך ארץ לחלוק כבוד למלכות. ר</w:t>
      </w:r>
      <w:r>
        <w:rPr>
          <w:rFonts w:hint="cs"/>
          <w:rtl/>
        </w:rPr>
        <w:t>בי</w:t>
      </w:r>
      <w:r>
        <w:rPr>
          <w:rtl/>
        </w:rPr>
        <w:t xml:space="preserve"> היה כותב לאנטונינוס: יהודה עבדך שואל בשלומך, לחלוק כבוד למלכות כאשר עשה יעקב לעשו</w:t>
      </w:r>
      <w:r>
        <w:rPr>
          <w:rFonts w:hint="cs"/>
          <w:rtl/>
        </w:rPr>
        <w:t xml:space="preserve">", נושא עליו הארכנו לדון בדברינו </w:t>
      </w:r>
      <w:hyperlink r:id="rId3" w:history="1">
        <w:r w:rsidRPr="00D36584">
          <w:rPr>
            <w:rStyle w:val="Hyperlink"/>
            <w:rFonts w:hint="cs"/>
            <w:rtl/>
          </w:rPr>
          <w:t>אדוני עשו עבדך יעקב</w:t>
        </w:r>
      </w:hyperlink>
      <w:r>
        <w:rPr>
          <w:rFonts w:hint="cs"/>
          <w:rtl/>
        </w:rPr>
        <w:t xml:space="preserve"> בפרשת וישלח. המשך זה</w:t>
      </w:r>
      <w:r w:rsidR="00B172E3">
        <w:rPr>
          <w:rFonts w:hint="cs"/>
          <w:rtl/>
        </w:rPr>
        <w:t xml:space="preserve"> של המדרש</w:t>
      </w:r>
      <w:r>
        <w:rPr>
          <w:rFonts w:hint="cs"/>
          <w:rtl/>
        </w:rPr>
        <w:t>, מוציא את החנופה לרשעים מפני דרכי שלום, לנושא הרחב יותר שמשנים ולא אומרים את האמת המוחלטת מפני השלום. לרשעים ולא רק לרשעים.</w:t>
      </w:r>
    </w:p>
  </w:footnote>
  <w:footnote w:id="29">
    <w:p w14:paraId="553102CF" w14:textId="77777777" w:rsidR="007706A3" w:rsidRDefault="007706A3" w:rsidP="00D849C2">
      <w:pPr>
        <w:pStyle w:val="a3"/>
        <w:rPr>
          <w:rFonts w:hint="cs"/>
          <w:rtl/>
        </w:rPr>
      </w:pPr>
      <w:r>
        <w:rPr>
          <w:rStyle w:val="a5"/>
        </w:rPr>
        <w:footnoteRef/>
      </w:r>
      <w:r>
        <w:rPr>
          <w:rtl/>
        </w:rPr>
        <w:t xml:space="preserve"> </w:t>
      </w:r>
      <w:r>
        <w:rPr>
          <w:rFonts w:hint="cs"/>
          <w:rtl/>
        </w:rPr>
        <w:t>וכך גם ב</w:t>
      </w:r>
      <w:r>
        <w:rPr>
          <w:rtl/>
        </w:rPr>
        <w:t>דברים רבה</w:t>
      </w:r>
      <w:r>
        <w:rPr>
          <w:rFonts w:hint="cs"/>
          <w:rtl/>
        </w:rPr>
        <w:t xml:space="preserve"> ה טו: "</w:t>
      </w:r>
      <w:r>
        <w:rPr>
          <w:rtl/>
        </w:rPr>
        <w:t>ומה אמרו לו</w:t>
      </w:r>
      <w:r>
        <w:rPr>
          <w:rFonts w:hint="cs"/>
          <w:rtl/>
        </w:rPr>
        <w:t xml:space="preserve">? </w:t>
      </w:r>
      <w:r>
        <w:rPr>
          <w:rtl/>
        </w:rPr>
        <w:t>אביך צוה לפני מותו לאמר כה תאמרו ליוסף</w:t>
      </w:r>
      <w:r>
        <w:rPr>
          <w:rFonts w:hint="cs"/>
          <w:rtl/>
        </w:rPr>
        <w:t>.</w:t>
      </w:r>
      <w:r>
        <w:rPr>
          <w:rtl/>
        </w:rPr>
        <w:t xml:space="preserve"> ואין אנו מוצאים שצוה יעקב אבינו אלא אמרו הכתובים דברי בדאי מפני דרכי שלום</w:t>
      </w:r>
      <w:r>
        <w:rPr>
          <w:rFonts w:hint="cs"/>
          <w:rtl/>
        </w:rPr>
        <w:t>". וב</w:t>
      </w:r>
      <w:r>
        <w:rPr>
          <w:rtl/>
        </w:rPr>
        <w:t xml:space="preserve">פסיקתא זוטרתא (לקח טוב) </w:t>
      </w:r>
      <w:r>
        <w:rPr>
          <w:rFonts w:hint="cs"/>
          <w:rtl/>
        </w:rPr>
        <w:t>על דברי האחים ליוסף: "</w:t>
      </w:r>
      <w:r>
        <w:rPr>
          <w:rtl/>
        </w:rPr>
        <w:t>אביך צוה לפני מותו</w:t>
      </w:r>
      <w:r>
        <w:rPr>
          <w:rFonts w:hint="cs"/>
          <w:rtl/>
        </w:rPr>
        <w:t xml:space="preserve"> -</w:t>
      </w:r>
      <w:r>
        <w:rPr>
          <w:rtl/>
        </w:rPr>
        <w:t xml:space="preserve"> מותר לשנות מפני דרכי שלום</w:t>
      </w:r>
      <w:r>
        <w:rPr>
          <w:rFonts w:hint="cs"/>
          <w:rtl/>
        </w:rPr>
        <w:t xml:space="preserve">". </w:t>
      </w:r>
      <w:r w:rsidR="00D849C2">
        <w:rPr>
          <w:rFonts w:hint="cs"/>
          <w:rtl/>
        </w:rPr>
        <w:t xml:space="preserve">ראה דברינו </w:t>
      </w:r>
      <w:hyperlink r:id="rId4" w:history="1">
        <w:r w:rsidR="00D849C2" w:rsidRPr="00D849C2">
          <w:rPr>
            <w:rStyle w:val="Hyperlink"/>
            <w:rFonts w:hint="cs"/>
            <w:rtl/>
          </w:rPr>
          <w:t>לו ישטמנו יוסף</w:t>
        </w:r>
      </w:hyperlink>
      <w:r w:rsidR="00D849C2">
        <w:rPr>
          <w:rFonts w:hint="cs"/>
          <w:rtl/>
        </w:rPr>
        <w:t xml:space="preserve"> בפרשת ויחי. אך </w:t>
      </w:r>
      <w:r>
        <w:rPr>
          <w:rFonts w:hint="cs"/>
          <w:rtl/>
        </w:rPr>
        <w:t xml:space="preserve">אם האחים למדו שמותר לשנות מפני השלום מיעקב אביהם (לא רק בדברי החנופה לעשו כנ"ל, אלא גם כשאמר: "עד אשר אבוא אל אדוני שעירה"), ממי למד יעקב? מסבתא שרה. ראה מדרש </w:t>
      </w:r>
      <w:r>
        <w:rPr>
          <w:rtl/>
        </w:rPr>
        <w:t>שכל טוב (בובר) פרשת תולדות פרק כז</w:t>
      </w:r>
      <w:r>
        <w:rPr>
          <w:rFonts w:hint="cs"/>
          <w:rtl/>
        </w:rPr>
        <w:t>: "</w:t>
      </w:r>
      <w:r>
        <w:rPr>
          <w:rtl/>
        </w:rPr>
        <w:t>ומבוראו למד לשנות מפני דרכי שלום, כמו שמצינו בשרה שאמרה ואדוני זקן (בראשית יח יב)</w:t>
      </w:r>
      <w:r>
        <w:rPr>
          <w:rFonts w:hint="cs"/>
          <w:rtl/>
        </w:rPr>
        <w:t xml:space="preserve">". (והקב"ה שינה את דבריה "ואני זקנתי" מפני השלום, במדבר רבה יא ז). גם רחל שינתה מפני השלום כשאמרה לאביה "כי דרך נשים לי", ראה שוב מדרש </w:t>
      </w:r>
      <w:r>
        <w:rPr>
          <w:rtl/>
        </w:rPr>
        <w:t>שכל טוב (בובר) פרשת ויצא פרק לא</w:t>
      </w:r>
      <w:r>
        <w:rPr>
          <w:rFonts w:hint="cs"/>
          <w:rtl/>
        </w:rPr>
        <w:t>: "</w:t>
      </w:r>
      <w:r>
        <w:rPr>
          <w:rtl/>
        </w:rPr>
        <w:t>כי דרך נשים לי. כי כיזבה לו מפני דרכי שלום</w:t>
      </w:r>
      <w:r>
        <w:rPr>
          <w:rFonts w:hint="cs"/>
          <w:rtl/>
        </w:rPr>
        <w:t xml:space="preserve">" (מה גם שהייתה כבר בהריון עם בנימין!). גם המלאך שדיבר עם מנוח אחרת משדיבר עם אשתו (במדבר רבה יא ז). </w:t>
      </w:r>
      <w:r w:rsidR="00797444">
        <w:rPr>
          <w:rFonts w:hint="cs"/>
          <w:rtl/>
        </w:rPr>
        <w:t xml:space="preserve">גם חכמים היו משנים בדיבורם מסיבות שונות. ראה בבא מציעא כג ע"ב (למטה), </w:t>
      </w:r>
      <w:r>
        <w:rPr>
          <w:rFonts w:hint="cs"/>
          <w:rtl/>
        </w:rPr>
        <w:t>ועוד ועוד רבים כאלה.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DB87" w14:textId="77777777" w:rsidR="009764A7" w:rsidRDefault="009764A7" w:rsidP="00E74648">
    <w:pPr>
      <w:pStyle w:val="1"/>
      <w:tabs>
        <w:tab w:val="clear" w:pos="9469"/>
        <w:tab w:val="right" w:pos="9299"/>
      </w:tabs>
      <w:rPr>
        <w:rFonts w:hint="cs"/>
        <w:rtl/>
      </w:rPr>
    </w:pPr>
    <w:r>
      <w:rPr>
        <w:rtl/>
      </w:rPr>
      <w:t>פרשת</w:t>
    </w:r>
    <w:r>
      <w:rPr>
        <w:rFonts w:hint="cs"/>
        <w:rtl/>
      </w:rPr>
      <w:t xml:space="preserve"> פנחס</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תשע"ז</w:t>
    </w:r>
  </w:p>
  <w:p w14:paraId="6BD29F75" w14:textId="77777777" w:rsidR="009764A7" w:rsidRDefault="009764A7">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ysjA0NDCzNDQzNzRS0lEKTi0uzszPAykwqgUAMmZIpywAAAA="/>
  </w:docVars>
  <w:rsids>
    <w:rsidRoot w:val="000F66FB"/>
    <w:rsid w:val="00000C36"/>
    <w:rsid w:val="000101F3"/>
    <w:rsid w:val="000145AA"/>
    <w:rsid w:val="00015194"/>
    <w:rsid w:val="000525F7"/>
    <w:rsid w:val="0006135E"/>
    <w:rsid w:val="00065FAC"/>
    <w:rsid w:val="0008310C"/>
    <w:rsid w:val="000A082E"/>
    <w:rsid w:val="000A1506"/>
    <w:rsid w:val="000C2E7C"/>
    <w:rsid w:val="000E42B2"/>
    <w:rsid w:val="000E4966"/>
    <w:rsid w:val="000F66FB"/>
    <w:rsid w:val="001008BA"/>
    <w:rsid w:val="00105604"/>
    <w:rsid w:val="001077B8"/>
    <w:rsid w:val="001300F3"/>
    <w:rsid w:val="00130BE4"/>
    <w:rsid w:val="001342AC"/>
    <w:rsid w:val="0014147B"/>
    <w:rsid w:val="001425DA"/>
    <w:rsid w:val="0014779A"/>
    <w:rsid w:val="00154599"/>
    <w:rsid w:val="00164093"/>
    <w:rsid w:val="00185E67"/>
    <w:rsid w:val="001C2878"/>
    <w:rsid w:val="001C72DB"/>
    <w:rsid w:val="001E02F6"/>
    <w:rsid w:val="001E19D7"/>
    <w:rsid w:val="001E7AE7"/>
    <w:rsid w:val="00215215"/>
    <w:rsid w:val="00221159"/>
    <w:rsid w:val="00227B04"/>
    <w:rsid w:val="00234147"/>
    <w:rsid w:val="00236D04"/>
    <w:rsid w:val="00246CD6"/>
    <w:rsid w:val="00261C3E"/>
    <w:rsid w:val="00291311"/>
    <w:rsid w:val="00293883"/>
    <w:rsid w:val="002A2922"/>
    <w:rsid w:val="002A3DAF"/>
    <w:rsid w:val="002B4D8C"/>
    <w:rsid w:val="002D4F2C"/>
    <w:rsid w:val="002D72E8"/>
    <w:rsid w:val="002E0143"/>
    <w:rsid w:val="002F1014"/>
    <w:rsid w:val="002F38DF"/>
    <w:rsid w:val="00314E89"/>
    <w:rsid w:val="00317F37"/>
    <w:rsid w:val="003408D5"/>
    <w:rsid w:val="00343F57"/>
    <w:rsid w:val="0035752E"/>
    <w:rsid w:val="00357FE3"/>
    <w:rsid w:val="003762CB"/>
    <w:rsid w:val="003814F8"/>
    <w:rsid w:val="0038793E"/>
    <w:rsid w:val="00387F1C"/>
    <w:rsid w:val="00393863"/>
    <w:rsid w:val="003D54FC"/>
    <w:rsid w:val="003E1972"/>
    <w:rsid w:val="00401784"/>
    <w:rsid w:val="0040333B"/>
    <w:rsid w:val="00447831"/>
    <w:rsid w:val="004629B6"/>
    <w:rsid w:val="00484BA7"/>
    <w:rsid w:val="00490125"/>
    <w:rsid w:val="00490C62"/>
    <w:rsid w:val="00496A99"/>
    <w:rsid w:val="004A1C2C"/>
    <w:rsid w:val="004B2406"/>
    <w:rsid w:val="004C022C"/>
    <w:rsid w:val="004C1B09"/>
    <w:rsid w:val="004C586F"/>
    <w:rsid w:val="004C6127"/>
    <w:rsid w:val="004D145B"/>
    <w:rsid w:val="004D3D8F"/>
    <w:rsid w:val="004E3340"/>
    <w:rsid w:val="0051129B"/>
    <w:rsid w:val="005266A1"/>
    <w:rsid w:val="0055592A"/>
    <w:rsid w:val="00560E41"/>
    <w:rsid w:val="00562748"/>
    <w:rsid w:val="00584933"/>
    <w:rsid w:val="00591E8A"/>
    <w:rsid w:val="005B79AC"/>
    <w:rsid w:val="005C6EC6"/>
    <w:rsid w:val="005D0778"/>
    <w:rsid w:val="005D4526"/>
    <w:rsid w:val="005F4EC8"/>
    <w:rsid w:val="00607B01"/>
    <w:rsid w:val="00625344"/>
    <w:rsid w:val="00630F20"/>
    <w:rsid w:val="00637DB7"/>
    <w:rsid w:val="00653EA0"/>
    <w:rsid w:val="00676E1F"/>
    <w:rsid w:val="0068349A"/>
    <w:rsid w:val="0068360F"/>
    <w:rsid w:val="00684DF0"/>
    <w:rsid w:val="006908A3"/>
    <w:rsid w:val="006950BB"/>
    <w:rsid w:val="00695358"/>
    <w:rsid w:val="006A55F4"/>
    <w:rsid w:val="006B2E56"/>
    <w:rsid w:val="006B3635"/>
    <w:rsid w:val="006C1DAF"/>
    <w:rsid w:val="006C30FE"/>
    <w:rsid w:val="006E2831"/>
    <w:rsid w:val="006E64D6"/>
    <w:rsid w:val="00705253"/>
    <w:rsid w:val="00722400"/>
    <w:rsid w:val="00723FF9"/>
    <w:rsid w:val="00735C8B"/>
    <w:rsid w:val="00753065"/>
    <w:rsid w:val="00764A14"/>
    <w:rsid w:val="007706A3"/>
    <w:rsid w:val="007901C4"/>
    <w:rsid w:val="00790D6E"/>
    <w:rsid w:val="00793A16"/>
    <w:rsid w:val="00797444"/>
    <w:rsid w:val="007A0D2F"/>
    <w:rsid w:val="007A35BB"/>
    <w:rsid w:val="007C15FD"/>
    <w:rsid w:val="007D4DC8"/>
    <w:rsid w:val="007E7FE9"/>
    <w:rsid w:val="008310E7"/>
    <w:rsid w:val="008506E5"/>
    <w:rsid w:val="00886DDD"/>
    <w:rsid w:val="00894D67"/>
    <w:rsid w:val="008B0765"/>
    <w:rsid w:val="008C1B30"/>
    <w:rsid w:val="008D2C70"/>
    <w:rsid w:val="008D42C5"/>
    <w:rsid w:val="008E2725"/>
    <w:rsid w:val="008F5E5D"/>
    <w:rsid w:val="009160CC"/>
    <w:rsid w:val="00921C60"/>
    <w:rsid w:val="00927B34"/>
    <w:rsid w:val="0093392C"/>
    <w:rsid w:val="009479EB"/>
    <w:rsid w:val="00963980"/>
    <w:rsid w:val="009663EB"/>
    <w:rsid w:val="009764A7"/>
    <w:rsid w:val="00986005"/>
    <w:rsid w:val="009A0527"/>
    <w:rsid w:val="009A217F"/>
    <w:rsid w:val="009A3FF6"/>
    <w:rsid w:val="009B67F8"/>
    <w:rsid w:val="009C222D"/>
    <w:rsid w:val="009C5928"/>
    <w:rsid w:val="009D7E12"/>
    <w:rsid w:val="009E5C08"/>
    <w:rsid w:val="009E7107"/>
    <w:rsid w:val="00A24452"/>
    <w:rsid w:val="00A300B3"/>
    <w:rsid w:val="00A30B2B"/>
    <w:rsid w:val="00A35FAF"/>
    <w:rsid w:val="00A44B9A"/>
    <w:rsid w:val="00A80B11"/>
    <w:rsid w:val="00A8577C"/>
    <w:rsid w:val="00A87C9D"/>
    <w:rsid w:val="00A90569"/>
    <w:rsid w:val="00AA25E6"/>
    <w:rsid w:val="00AA522C"/>
    <w:rsid w:val="00AA5658"/>
    <w:rsid w:val="00AE582E"/>
    <w:rsid w:val="00AF79F7"/>
    <w:rsid w:val="00B10D30"/>
    <w:rsid w:val="00B14E78"/>
    <w:rsid w:val="00B16198"/>
    <w:rsid w:val="00B16354"/>
    <w:rsid w:val="00B172E3"/>
    <w:rsid w:val="00B23C18"/>
    <w:rsid w:val="00B261CE"/>
    <w:rsid w:val="00B540AF"/>
    <w:rsid w:val="00B66E7F"/>
    <w:rsid w:val="00B744D3"/>
    <w:rsid w:val="00B81390"/>
    <w:rsid w:val="00B83410"/>
    <w:rsid w:val="00BA7EE0"/>
    <w:rsid w:val="00BB196C"/>
    <w:rsid w:val="00BC06C5"/>
    <w:rsid w:val="00BE2C22"/>
    <w:rsid w:val="00BF6370"/>
    <w:rsid w:val="00C005E1"/>
    <w:rsid w:val="00C0136A"/>
    <w:rsid w:val="00C127D3"/>
    <w:rsid w:val="00C21C79"/>
    <w:rsid w:val="00C30B33"/>
    <w:rsid w:val="00C31158"/>
    <w:rsid w:val="00C32257"/>
    <w:rsid w:val="00C4364D"/>
    <w:rsid w:val="00C45253"/>
    <w:rsid w:val="00C56FB2"/>
    <w:rsid w:val="00C7047E"/>
    <w:rsid w:val="00C757A6"/>
    <w:rsid w:val="00C8158C"/>
    <w:rsid w:val="00C83552"/>
    <w:rsid w:val="00CA12BF"/>
    <w:rsid w:val="00CA1F6B"/>
    <w:rsid w:val="00CD4CED"/>
    <w:rsid w:val="00CD66C2"/>
    <w:rsid w:val="00CE20B4"/>
    <w:rsid w:val="00D03059"/>
    <w:rsid w:val="00D0427A"/>
    <w:rsid w:val="00D06E07"/>
    <w:rsid w:val="00D343AA"/>
    <w:rsid w:val="00D36584"/>
    <w:rsid w:val="00D4196D"/>
    <w:rsid w:val="00D52E28"/>
    <w:rsid w:val="00D73630"/>
    <w:rsid w:val="00D849C2"/>
    <w:rsid w:val="00D86B7B"/>
    <w:rsid w:val="00DA38EE"/>
    <w:rsid w:val="00DA723C"/>
    <w:rsid w:val="00DB214B"/>
    <w:rsid w:val="00DB2CC7"/>
    <w:rsid w:val="00DC25E1"/>
    <w:rsid w:val="00DC5D62"/>
    <w:rsid w:val="00DF0965"/>
    <w:rsid w:val="00E003F5"/>
    <w:rsid w:val="00E07CCE"/>
    <w:rsid w:val="00E168D9"/>
    <w:rsid w:val="00E20E7C"/>
    <w:rsid w:val="00E2525B"/>
    <w:rsid w:val="00E2796F"/>
    <w:rsid w:val="00E40082"/>
    <w:rsid w:val="00E41469"/>
    <w:rsid w:val="00E63C82"/>
    <w:rsid w:val="00E74648"/>
    <w:rsid w:val="00E74FBC"/>
    <w:rsid w:val="00EB7B4C"/>
    <w:rsid w:val="00ED35C7"/>
    <w:rsid w:val="00ED3BE8"/>
    <w:rsid w:val="00F1473C"/>
    <w:rsid w:val="00F31EB4"/>
    <w:rsid w:val="00F54282"/>
    <w:rsid w:val="00F56BE1"/>
    <w:rsid w:val="00F57969"/>
    <w:rsid w:val="00F713F1"/>
    <w:rsid w:val="00F76001"/>
    <w:rsid w:val="00F92C88"/>
    <w:rsid w:val="00FB4C68"/>
    <w:rsid w:val="00FD0707"/>
    <w:rsid w:val="00FE2D2E"/>
    <w:rsid w:val="00FF6A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161EA4"/>
  <w15:chartTrackingRefBased/>
  <w15:docId w15:val="{03B06135-4FC8-4893-A975-0D51A041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4D67"/>
    <w:pPr>
      <w:bidi/>
    </w:pPr>
    <w:rPr>
      <w:rFonts w:cs="Narkisim"/>
      <w:sz w:val="22"/>
      <w:szCs w:val="22"/>
      <w:lang w:eastAsia="he-IL"/>
    </w:rPr>
  </w:style>
  <w:style w:type="paragraph" w:styleId="1">
    <w:name w:val="heading 1"/>
    <w:basedOn w:val="a"/>
    <w:next w:val="a"/>
    <w:link w:val="10"/>
    <w:qFormat/>
    <w:rsid w:val="00894D67"/>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894D6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94D67"/>
  </w:style>
  <w:style w:type="paragraph" w:styleId="a3">
    <w:name w:val="footnote text"/>
    <w:basedOn w:val="a"/>
    <w:link w:val="a4"/>
    <w:rsid w:val="00894D67"/>
    <w:pPr>
      <w:ind w:left="170" w:hanging="170"/>
      <w:jc w:val="both"/>
    </w:pPr>
    <w:rPr>
      <w:sz w:val="20"/>
      <w:szCs w:val="20"/>
    </w:rPr>
  </w:style>
  <w:style w:type="character" w:styleId="a5">
    <w:name w:val="footnote reference"/>
    <w:semiHidden/>
    <w:rsid w:val="00894D67"/>
    <w:rPr>
      <w:vertAlign w:val="superscript"/>
    </w:rPr>
  </w:style>
  <w:style w:type="paragraph" w:styleId="a6">
    <w:name w:val="header"/>
    <w:basedOn w:val="a"/>
    <w:link w:val="a7"/>
    <w:rsid w:val="00894D67"/>
    <w:pPr>
      <w:tabs>
        <w:tab w:val="center" w:pos="4153"/>
        <w:tab w:val="right" w:pos="8306"/>
      </w:tabs>
    </w:pPr>
  </w:style>
  <w:style w:type="paragraph" w:styleId="a8">
    <w:name w:val="footer"/>
    <w:basedOn w:val="a"/>
    <w:link w:val="a9"/>
    <w:rsid w:val="00894D67"/>
    <w:pPr>
      <w:tabs>
        <w:tab w:val="center" w:pos="4153"/>
        <w:tab w:val="right" w:pos="8306"/>
      </w:tabs>
    </w:pPr>
  </w:style>
  <w:style w:type="paragraph" w:customStyle="1" w:styleId="aa">
    <w:name w:val="כותרת"/>
    <w:basedOn w:val="a"/>
    <w:rsid w:val="00894D67"/>
    <w:pPr>
      <w:spacing w:before="240" w:line="320" w:lineRule="atLeast"/>
      <w:jc w:val="center"/>
    </w:pPr>
    <w:rPr>
      <w:rFonts w:cs="David"/>
      <w:b/>
      <w:bCs/>
      <w:spacing w:val="20"/>
      <w:szCs w:val="32"/>
    </w:rPr>
  </w:style>
  <w:style w:type="paragraph" w:customStyle="1" w:styleId="ab">
    <w:name w:val="כותרת קטע"/>
    <w:basedOn w:val="a"/>
    <w:rsid w:val="00894D67"/>
    <w:pPr>
      <w:spacing w:before="240" w:line="300" w:lineRule="atLeast"/>
    </w:pPr>
    <w:rPr>
      <w:rFonts w:cs="Arial"/>
      <w:b/>
      <w:bCs/>
      <w:szCs w:val="24"/>
    </w:rPr>
  </w:style>
  <w:style w:type="paragraph" w:customStyle="1" w:styleId="ac">
    <w:name w:val="מקור"/>
    <w:basedOn w:val="a"/>
    <w:rsid w:val="00894D67"/>
    <w:pPr>
      <w:spacing w:line="320" w:lineRule="atLeast"/>
      <w:jc w:val="both"/>
    </w:pPr>
    <w:rPr>
      <w:rFonts w:cs="David"/>
      <w:szCs w:val="24"/>
    </w:rPr>
  </w:style>
  <w:style w:type="paragraph" w:customStyle="1" w:styleId="ad">
    <w:name w:val="מחלקי המים"/>
    <w:basedOn w:val="a"/>
    <w:rsid w:val="00894D67"/>
    <w:pPr>
      <w:spacing w:line="320" w:lineRule="atLeast"/>
      <w:jc w:val="both"/>
    </w:pPr>
    <w:rPr>
      <w:b/>
      <w:bCs/>
      <w:szCs w:val="24"/>
    </w:rPr>
  </w:style>
  <w:style w:type="character" w:styleId="Hyperlink">
    <w:name w:val="Hyperlink"/>
    <w:rsid w:val="00894D67"/>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894D67"/>
    <w:rPr>
      <w:rFonts w:cs="Narkisim"/>
      <w:lang w:eastAsia="he-IL"/>
    </w:rPr>
  </w:style>
  <w:style w:type="character" w:customStyle="1" w:styleId="10">
    <w:name w:val="כותרת 1 תו"/>
    <w:link w:val="1"/>
    <w:rsid w:val="00894D67"/>
    <w:rPr>
      <w:rFonts w:cs="David"/>
      <w:b/>
      <w:bCs/>
      <w:sz w:val="22"/>
      <w:szCs w:val="28"/>
      <w:lang w:eastAsia="he-IL"/>
    </w:rPr>
  </w:style>
  <w:style w:type="character" w:customStyle="1" w:styleId="a7">
    <w:name w:val="כותרת עליונה תו"/>
    <w:link w:val="a6"/>
    <w:rsid w:val="00894D67"/>
    <w:rPr>
      <w:rFonts w:cs="Narkisim"/>
      <w:sz w:val="22"/>
      <w:szCs w:val="22"/>
      <w:lang w:eastAsia="he-IL"/>
    </w:rPr>
  </w:style>
  <w:style w:type="character" w:customStyle="1" w:styleId="a9">
    <w:name w:val="כותרת תחתונה תו"/>
    <w:link w:val="a8"/>
    <w:rsid w:val="00894D67"/>
    <w:rPr>
      <w:rFonts w:cs="Narkisim"/>
      <w:sz w:val="22"/>
      <w:szCs w:val="22"/>
      <w:lang w:eastAsia="he-IL"/>
    </w:rPr>
  </w:style>
  <w:style w:type="character" w:styleId="ae">
    <w:name w:val="page number"/>
    <w:rsid w:val="003D54FC"/>
  </w:style>
  <w:style w:type="paragraph" w:styleId="af">
    <w:name w:val="Balloon Text"/>
    <w:basedOn w:val="a"/>
    <w:link w:val="af0"/>
    <w:uiPriority w:val="99"/>
    <w:unhideWhenUsed/>
    <w:rsid w:val="00894D67"/>
    <w:rPr>
      <w:rFonts w:ascii="Tahoma" w:hAnsi="Tahoma" w:cs="Tahoma"/>
      <w:sz w:val="16"/>
      <w:szCs w:val="16"/>
    </w:rPr>
  </w:style>
  <w:style w:type="character" w:customStyle="1" w:styleId="af0">
    <w:name w:val="טקסט בלונים תו"/>
    <w:link w:val="af"/>
    <w:uiPriority w:val="99"/>
    <w:rsid w:val="00894D6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1%D7%A8%D7%99%D7%AA-%D7%97%D7%99%D7%99%D7%9D-%D7%95%D7%A9%D7%9C%D7%95%D7%9D" TargetMode="External"/><Relationship Id="rId13" Type="http://schemas.openxmlformats.org/officeDocument/2006/relationships/hyperlink" Target="https://www.mayim.org.il/?parasha=%D7%A6%D7%A2%D7%A8-%D7%91%D7%A2%D7%9C%D7%99-%D7%97%D7%99%D7%99%D7%9D" TargetMode="External"/><Relationship Id="rId3" Type="http://schemas.openxmlformats.org/officeDocument/2006/relationships/settings" Target="settings.xml"/><Relationship Id="rId7" Type="http://schemas.openxmlformats.org/officeDocument/2006/relationships/hyperlink" Target="http://www.mayim.org.il/?parasha=%D7%91%D7%A8%D7%99%D7%AA-%D7%A9%D7%9C%D7%95%D7%9D" TargetMode="External"/><Relationship Id="rId12" Type="http://schemas.openxmlformats.org/officeDocument/2006/relationships/hyperlink" Target="https://www.mayim.org.il/?parasha=%D7%90%D7%91%D7%9C-%D7%A9%D7%91%D7%A2%D7%AA-%D7%99%D7%9E%D7%99%D7%9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yim.org.il/?parasha=%D7%A9%D7%9C%D7%95%D7%9D-%D7%91%D7%99%D7%9F-%D7%90%D7%99%D7%A9-%D7%95%D7%90%D7%A9%D7%AA%D7%9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yim.org.il/?parasha=%D7%A9%D7%9C%D7%9E%D7%99%D7%9D-%D7%94%D7%9D-%D7%A9%D7%9C%D7%95%D7%9D" TargetMode="External"/><Relationship Id="rId4" Type="http://schemas.openxmlformats.org/officeDocument/2006/relationships/webSettings" Target="webSettings.xml"/><Relationship Id="rId9" Type="http://schemas.openxmlformats.org/officeDocument/2006/relationships/hyperlink" Target="http://www.mayim.org.il/?parasha=%D7%95%D7%A7%D7%A8%D7%90%D7%AA-%D7%9C%D7%A9%D7%9C%D7%95%D7%9D"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3%D7%95%D7%A0%D7%99-%D7%A2%D7%A9%D7%95-%D7%A2%D7%91%D7%93%D7%9A-%D7%99%D7%A2%D7%A7%D7%911" TargetMode="External"/><Relationship Id="rId2" Type="http://schemas.openxmlformats.org/officeDocument/2006/relationships/hyperlink" Target="http://www.mayim.org.il/?parasha=%D7%95%D7%A7%D7%A8%D7%90%D7%AA-%D7%9C%D7%A9%D7%9C%D7%95%D7%9D" TargetMode="External"/><Relationship Id="rId1" Type="http://schemas.openxmlformats.org/officeDocument/2006/relationships/hyperlink" Target="https://www.mayim.org.il/?parasha=%D7%91%D7%A8%D7%9B%D7%AA-%D7%9B%D7%94%D7%A0%D7%99%D7%9D" TargetMode="External"/><Relationship Id="rId4" Type="http://schemas.openxmlformats.org/officeDocument/2006/relationships/hyperlink" Target="https://www.mayim.org.il/?parasha=%D7%9C%D7%95-%D7%99%D7%A9%D7%98%D7%9E%D7%A0%D7%95-%D7%99%D7%95%D7%A1%D7%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25DAC-E55B-4EE1-8C12-C4A2ADAD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1002</Words>
  <Characters>5010</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חורב</vt:lpstr>
      <vt:lpstr>הפטרת השבת - אליהו בהר חורב</vt:lpstr>
    </vt:vector>
  </TitlesOfParts>
  <Company>Microsoft</Company>
  <LinksUpToDate>false</LinksUpToDate>
  <CharactersWithSpaces>6001</CharactersWithSpaces>
  <SharedDoc>false</SharedDoc>
  <HLinks>
    <vt:vector size="66" baseType="variant">
      <vt:variant>
        <vt:i4>7274592</vt:i4>
      </vt:variant>
      <vt:variant>
        <vt:i4>18</vt:i4>
      </vt:variant>
      <vt:variant>
        <vt:i4>0</vt:i4>
      </vt:variant>
      <vt:variant>
        <vt:i4>5</vt:i4>
      </vt:variant>
      <vt:variant>
        <vt:lpwstr>https://www.mayim.org.il/?parasha=%D7%A6%D7%A2%D7%A8-%D7%91%D7%A2%D7%9C%D7%99-%D7%97%D7%99%D7%99%D7%9D</vt:lpwstr>
      </vt:variant>
      <vt:variant>
        <vt:lpwstr/>
      </vt:variant>
      <vt:variant>
        <vt:i4>6488122</vt:i4>
      </vt:variant>
      <vt:variant>
        <vt:i4>15</vt:i4>
      </vt:variant>
      <vt:variant>
        <vt:i4>0</vt:i4>
      </vt:variant>
      <vt:variant>
        <vt:i4>5</vt:i4>
      </vt:variant>
      <vt:variant>
        <vt:lpwstr>https://www.mayim.org.il/?parasha=%D7%90%D7%91%D7%9C-%D7%A9%D7%91%D7%A2%D7%AA-%D7%99%D7%9E%D7%99%D7%9D</vt:lpwstr>
      </vt:variant>
      <vt:variant>
        <vt:lpwstr/>
      </vt:variant>
      <vt:variant>
        <vt:i4>2162811</vt:i4>
      </vt:variant>
      <vt:variant>
        <vt:i4>12</vt:i4>
      </vt:variant>
      <vt:variant>
        <vt:i4>0</vt:i4>
      </vt:variant>
      <vt:variant>
        <vt:i4>5</vt:i4>
      </vt:variant>
      <vt:variant>
        <vt:lpwstr>http://www.mayim.org.il/?parasha=%D7%A9%D7%9C%D7%95%D7%9D-%D7%91%D7%99%D7%9F-%D7%90%D7%99%D7%A9-%D7%95%D7%90%D7%A9%D7%AA%D7%95</vt:lpwstr>
      </vt:variant>
      <vt:variant>
        <vt:lpwstr/>
      </vt:variant>
      <vt:variant>
        <vt:i4>5898317</vt:i4>
      </vt:variant>
      <vt:variant>
        <vt:i4>9</vt:i4>
      </vt:variant>
      <vt:variant>
        <vt:i4>0</vt:i4>
      </vt:variant>
      <vt:variant>
        <vt:i4>5</vt:i4>
      </vt:variant>
      <vt:variant>
        <vt:lpwstr>http://www.mayim.org.il/?parasha=%D7%A9%D7%9C%D7%9E%D7%99%D7%9D-%D7%94%D7%9D-%D7%A9%D7%9C%D7%95%D7%9D</vt:lpwstr>
      </vt:variant>
      <vt:variant>
        <vt:lpwstr/>
      </vt:variant>
      <vt:variant>
        <vt:i4>8061045</vt:i4>
      </vt:variant>
      <vt:variant>
        <vt:i4>6</vt:i4>
      </vt:variant>
      <vt:variant>
        <vt:i4>0</vt:i4>
      </vt:variant>
      <vt:variant>
        <vt:i4>5</vt:i4>
      </vt:variant>
      <vt:variant>
        <vt:lpwstr>http://www.mayim.org.il/?parasha=%D7%95%D7%A7%D7%A8%D7%90%D7%AA-%D7%9C%D7%A9%D7%9C%D7%95%D7%9D</vt:lpwstr>
      </vt:variant>
      <vt:variant>
        <vt:lpwstr/>
      </vt:variant>
      <vt:variant>
        <vt:i4>65611</vt:i4>
      </vt:variant>
      <vt:variant>
        <vt:i4>3</vt:i4>
      </vt:variant>
      <vt:variant>
        <vt:i4>0</vt:i4>
      </vt:variant>
      <vt:variant>
        <vt:i4>5</vt:i4>
      </vt:variant>
      <vt:variant>
        <vt:lpwstr>http://www.mayim.org.il/?parasha=%D7%91%D7%A8%D7%99%D7%AA-%D7%97%D7%99%D7%99%D7%9D-%D7%95%D7%A9%D7%9C%D7%95%D7%9D</vt:lpwstr>
      </vt:variant>
      <vt:variant>
        <vt:lpwstr/>
      </vt:variant>
      <vt:variant>
        <vt:i4>2752549</vt:i4>
      </vt:variant>
      <vt:variant>
        <vt:i4>0</vt:i4>
      </vt:variant>
      <vt:variant>
        <vt:i4>0</vt:i4>
      </vt:variant>
      <vt:variant>
        <vt:i4>5</vt:i4>
      </vt:variant>
      <vt:variant>
        <vt:lpwstr>http://www.mayim.org.il/?parasha=%D7%91%D7%A8%D7%99%D7%AA-%D7%A9%D7%9C%D7%95%D7%9D</vt:lpwstr>
      </vt:variant>
      <vt:variant>
        <vt:lpwstr/>
      </vt:variant>
      <vt:variant>
        <vt:i4>4259858</vt:i4>
      </vt:variant>
      <vt:variant>
        <vt:i4>9</vt:i4>
      </vt:variant>
      <vt:variant>
        <vt:i4>0</vt:i4>
      </vt:variant>
      <vt:variant>
        <vt:i4>5</vt:i4>
      </vt:variant>
      <vt:variant>
        <vt:lpwstr>https://www.mayim.org.il/?parasha=%D7%9C%D7%95-%D7%99%D7%A9%D7%98%D7%9E%D7%A0%D7%95-%D7%99%D7%95%D7%A1%D7%A3</vt:lpwstr>
      </vt:variant>
      <vt:variant>
        <vt:lpwstr/>
      </vt:variant>
      <vt:variant>
        <vt:i4>5570565</vt:i4>
      </vt:variant>
      <vt:variant>
        <vt:i4>6</vt:i4>
      </vt:variant>
      <vt:variant>
        <vt:i4>0</vt:i4>
      </vt:variant>
      <vt:variant>
        <vt:i4>5</vt:i4>
      </vt:variant>
      <vt:variant>
        <vt:lpwstr>http://www.mayim.org.il/?parasha=%D7%90%D7%93%D7%95%D7%A0%D7%99-%D7%A2%D7%A9%D7%95-%D7%A2%D7%91%D7%93%D7%9A-%D7%99%D7%A2%D7%A7%D7%911</vt:lpwstr>
      </vt:variant>
      <vt:variant>
        <vt:lpwstr/>
      </vt:variant>
      <vt:variant>
        <vt:i4>8061045</vt:i4>
      </vt:variant>
      <vt:variant>
        <vt:i4>3</vt:i4>
      </vt:variant>
      <vt:variant>
        <vt:i4>0</vt:i4>
      </vt:variant>
      <vt:variant>
        <vt:i4>5</vt:i4>
      </vt:variant>
      <vt:variant>
        <vt:lpwstr>http://www.mayim.org.il/?parasha=%D7%95%D7%A7%D7%A8%D7%90%D7%AA-%D7%9C%D7%A9%D7%9C%D7%95%D7%9D</vt:lpwstr>
      </vt:variant>
      <vt:variant>
        <vt:lpwstr/>
      </vt:variant>
      <vt:variant>
        <vt:i4>5046356</vt:i4>
      </vt:variant>
      <vt:variant>
        <vt:i4>0</vt:i4>
      </vt:variant>
      <vt:variant>
        <vt:i4>0</vt:i4>
      </vt:variant>
      <vt:variant>
        <vt:i4>5</vt:i4>
      </vt:variant>
      <vt:variant>
        <vt:lpwstr>https://www.mayim.org.il/?parasha=%D7%91%D7%A8%D7%9B%D7%AA-%D7%9B%D7%94%D7%A0%D7%99%D7%9D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אליהו בהר חורב</dc:title>
  <dc:subject/>
  <dc:creator>אשר יובל</dc:creator>
  <cp:keywords/>
  <cp:lastModifiedBy>שמעון אפק</cp:lastModifiedBy>
  <cp:revision>2</cp:revision>
  <cp:lastPrinted>2020-07-08T08:53:00Z</cp:lastPrinted>
  <dcterms:created xsi:type="dcterms:W3CDTF">2020-07-09T05:07:00Z</dcterms:created>
  <dcterms:modified xsi:type="dcterms:W3CDTF">2020-07-09T05:07:00Z</dcterms:modified>
</cp:coreProperties>
</file>