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434B6" w14:textId="77777777" w:rsidR="005D2A7F" w:rsidRDefault="002019D7">
      <w:pPr>
        <w:pStyle w:val="aa"/>
        <w:spacing w:line="360" w:lineRule="auto"/>
        <w:rPr>
          <w:rFonts w:hint="cs"/>
          <w:rtl/>
        </w:rPr>
      </w:pPr>
      <w:r>
        <w:rPr>
          <w:rFonts w:hint="cs"/>
          <w:rtl/>
        </w:rPr>
        <w:t>איש כי ידור נדר לה'</w:t>
      </w:r>
    </w:p>
    <w:p w14:paraId="720727EB" w14:textId="77777777" w:rsidR="00DA4683" w:rsidRPr="00DA4683" w:rsidRDefault="00DA4683" w:rsidP="007B3743">
      <w:pPr>
        <w:pStyle w:val="ac"/>
        <w:spacing w:before="240"/>
        <w:rPr>
          <w:rFonts w:cs="Narkisim"/>
          <w:szCs w:val="22"/>
          <w:rtl/>
        </w:rPr>
      </w:pPr>
      <w:r w:rsidRPr="0051587B">
        <w:rPr>
          <w:rFonts w:cs="Narkisim" w:hint="cs"/>
          <w:b/>
          <w:bCs/>
          <w:szCs w:val="22"/>
          <w:rtl/>
        </w:rPr>
        <w:t>מים ראשונים:</w:t>
      </w:r>
      <w:r w:rsidRPr="00DA4683">
        <w:rPr>
          <w:rFonts w:cs="Narkisim" w:hint="cs"/>
          <w:szCs w:val="22"/>
          <w:rtl/>
        </w:rPr>
        <w:t xml:space="preserve"> דף זה הוא מהראשונים שכתבנו בעת שהתחלנו את מפעל מחלקי המים. בינתיים, התייחסנו לנושא של נדר, אם הוא דבר רצוי או לא, אם אנשים שנדרו עשו כהוגן או לא, במספר מקומות. ראה דברינו </w:t>
      </w:r>
      <w:hyperlink r:id="rId7" w:history="1">
        <w:r w:rsidRPr="0051587B">
          <w:rPr>
            <w:rStyle w:val="Hyperlink"/>
            <w:rFonts w:cs="Narkisim" w:hint="cs"/>
            <w:szCs w:val="22"/>
            <w:rtl/>
          </w:rPr>
          <w:t>בת יפתח בפרשת בחוקותי</w:t>
        </w:r>
      </w:hyperlink>
      <w:r w:rsidR="0051587B">
        <w:rPr>
          <w:rFonts w:cs="Narkisim" w:hint="cs"/>
          <w:szCs w:val="22"/>
          <w:rtl/>
        </w:rPr>
        <w:t xml:space="preserve"> בנדר של יפתח</w:t>
      </w:r>
      <w:r w:rsidRPr="00DA4683">
        <w:rPr>
          <w:rFonts w:cs="Narkisim" w:hint="cs"/>
          <w:szCs w:val="22"/>
          <w:rtl/>
        </w:rPr>
        <w:t xml:space="preserve">, </w:t>
      </w:r>
      <w:hyperlink r:id="rId8" w:history="1">
        <w:r w:rsidRPr="0051587B">
          <w:rPr>
            <w:rStyle w:val="Hyperlink"/>
            <w:rFonts w:cs="Narkisim" w:hint="cs"/>
            <w:szCs w:val="22"/>
            <w:rtl/>
          </w:rPr>
          <w:t>נחש אליעזר</w:t>
        </w:r>
      </w:hyperlink>
      <w:r w:rsidRPr="00DA4683">
        <w:rPr>
          <w:rFonts w:cs="Narkisim" w:hint="cs"/>
          <w:szCs w:val="22"/>
          <w:rtl/>
        </w:rPr>
        <w:t xml:space="preserve"> ו</w:t>
      </w:r>
      <w:hyperlink r:id="rId9" w:history="1">
        <w:r w:rsidRPr="0051587B">
          <w:rPr>
            <w:rStyle w:val="Hyperlink"/>
            <w:rFonts w:cs="Narkisim" w:hint="cs"/>
            <w:szCs w:val="22"/>
            <w:rtl/>
          </w:rPr>
          <w:t>הקרה נא לפני</w:t>
        </w:r>
      </w:hyperlink>
      <w:r w:rsidRPr="00DA4683">
        <w:rPr>
          <w:rFonts w:cs="Narkisim" w:hint="cs"/>
          <w:szCs w:val="22"/>
          <w:rtl/>
        </w:rPr>
        <w:t xml:space="preserve"> בפרשת חיי שרה</w:t>
      </w:r>
      <w:r w:rsidR="0051587B">
        <w:rPr>
          <w:rFonts w:cs="Narkisim" w:hint="cs"/>
          <w:szCs w:val="22"/>
          <w:rtl/>
        </w:rPr>
        <w:t xml:space="preserve"> במעשה עבד אברהם (אליעזר)</w:t>
      </w:r>
      <w:r w:rsidR="00D10AB8">
        <w:rPr>
          <w:rFonts w:cs="Narkisim" w:hint="cs"/>
          <w:szCs w:val="22"/>
          <w:rtl/>
        </w:rPr>
        <w:t>;</w:t>
      </w:r>
      <w:r w:rsidR="0051587B">
        <w:rPr>
          <w:rFonts w:cs="Narkisim" w:hint="cs"/>
          <w:szCs w:val="22"/>
          <w:rtl/>
        </w:rPr>
        <w:t xml:space="preserve"> וכמו כן </w:t>
      </w:r>
      <w:hyperlink r:id="rId10" w:history="1">
        <w:r w:rsidR="0051587B" w:rsidRPr="0051587B">
          <w:rPr>
            <w:rStyle w:val="Hyperlink"/>
            <w:rFonts w:cs="Narkisim" w:hint="cs"/>
            <w:szCs w:val="22"/>
            <w:rtl/>
          </w:rPr>
          <w:t>אין הבטחה לצדיק בעולם הזה</w:t>
        </w:r>
      </w:hyperlink>
      <w:r w:rsidR="0051587B">
        <w:rPr>
          <w:rFonts w:cs="Narkisim" w:hint="cs"/>
          <w:szCs w:val="22"/>
          <w:rtl/>
        </w:rPr>
        <w:t xml:space="preserve"> בנדר של יעקב בראש פרשת ויצא. השארנו את דברינו שלהלן כמות שהם</w:t>
      </w:r>
      <w:r w:rsidR="00B97C36">
        <w:rPr>
          <w:rFonts w:cs="Narkisim" w:hint="cs"/>
          <w:szCs w:val="22"/>
          <w:rtl/>
        </w:rPr>
        <w:t xml:space="preserve"> (פחות או יותר)</w:t>
      </w:r>
      <w:r w:rsidR="0051587B">
        <w:rPr>
          <w:rFonts w:cs="Narkisim" w:hint="cs"/>
          <w:szCs w:val="22"/>
          <w:rtl/>
        </w:rPr>
        <w:t>, הגם שחולקו מאז מים רבים ויש הרבה מה לשפר ולהרחיב.</w:t>
      </w:r>
    </w:p>
    <w:p w14:paraId="179361AD" w14:textId="77777777" w:rsidR="00DA4683" w:rsidRPr="00DA4683" w:rsidRDefault="00DA4683" w:rsidP="00DA4683">
      <w:pPr>
        <w:pStyle w:val="ac"/>
        <w:spacing w:before="240"/>
        <w:rPr>
          <w:rFonts w:cs="Narkisim"/>
          <w:szCs w:val="22"/>
          <w:rtl/>
        </w:rPr>
      </w:pPr>
      <w:r w:rsidRPr="00DA4683">
        <w:rPr>
          <w:b/>
          <w:bCs/>
          <w:rtl/>
        </w:rPr>
        <w:t>אִישׁ כִּי־יִדֹּר נֶדֶר לַ</w:t>
      </w:r>
      <w:r>
        <w:rPr>
          <w:rFonts w:hint="cs"/>
          <w:b/>
          <w:bCs/>
          <w:rtl/>
        </w:rPr>
        <w:t>ה'</w:t>
      </w:r>
      <w:r w:rsidRPr="00DA4683">
        <w:rPr>
          <w:b/>
          <w:bCs/>
          <w:rtl/>
        </w:rPr>
        <w:t xml:space="preserve"> אוֹ־הִשָּׁבַע שְׁבֻעָה לֶאְסֹר אִסָּר עַל־נַפְשׁוֹ לֹא יַחֵל דְּבָרוֹ כְּכָל־הַיֹּצֵא מִפִּיו יַעֲשֶׂה:</w:t>
      </w:r>
      <w:r>
        <w:rPr>
          <w:rFonts w:hint="cs"/>
          <w:b/>
          <w:bCs/>
          <w:rtl/>
        </w:rPr>
        <w:t xml:space="preserve"> </w:t>
      </w:r>
      <w:r>
        <w:rPr>
          <w:rFonts w:cs="Narkisim" w:hint="cs"/>
          <w:szCs w:val="22"/>
          <w:rtl/>
        </w:rPr>
        <w:t>(</w:t>
      </w:r>
      <w:r w:rsidRPr="00DA4683">
        <w:rPr>
          <w:rFonts w:cs="Narkisim"/>
          <w:szCs w:val="22"/>
          <w:rtl/>
        </w:rPr>
        <w:t>במדבר ל ג</w:t>
      </w:r>
      <w:r>
        <w:rPr>
          <w:rFonts w:cs="Narkisim" w:hint="cs"/>
          <w:szCs w:val="22"/>
          <w:rtl/>
        </w:rPr>
        <w:t>).</w:t>
      </w:r>
      <w:r w:rsidR="00C118F7">
        <w:rPr>
          <w:rStyle w:val="a5"/>
          <w:rFonts w:cs="Narkisim"/>
          <w:szCs w:val="22"/>
          <w:rtl/>
        </w:rPr>
        <w:footnoteReference w:id="1"/>
      </w:r>
      <w:r w:rsidRPr="00DA4683">
        <w:rPr>
          <w:rFonts w:cs="Narkisim"/>
          <w:szCs w:val="22"/>
          <w:rtl/>
        </w:rPr>
        <w:t xml:space="preserve"> </w:t>
      </w:r>
    </w:p>
    <w:p w14:paraId="0C16F4B4" w14:textId="77777777" w:rsidR="002019D7" w:rsidRDefault="002019D7" w:rsidP="002019D7">
      <w:pPr>
        <w:spacing w:before="240" w:line="300" w:lineRule="atLeast"/>
        <w:rPr>
          <w:rFonts w:cs="Arial"/>
          <w:b/>
          <w:bCs/>
          <w:szCs w:val="24"/>
          <w:rtl/>
        </w:rPr>
      </w:pPr>
      <w:r>
        <w:rPr>
          <w:rFonts w:cs="Arial"/>
          <w:b/>
          <w:bCs/>
          <w:szCs w:val="24"/>
          <w:rtl/>
        </w:rPr>
        <w:t>מדרש תנחומא (בובר) פרשת מטות סימן א</w:t>
      </w:r>
    </w:p>
    <w:p w14:paraId="67B66279" w14:textId="77777777" w:rsidR="002019D7" w:rsidRDefault="002019D7" w:rsidP="00206E9C">
      <w:pPr>
        <w:spacing w:line="320" w:lineRule="atLeast"/>
        <w:jc w:val="both"/>
        <w:rPr>
          <w:rFonts w:cs="David"/>
          <w:szCs w:val="24"/>
          <w:rtl/>
        </w:rPr>
      </w:pPr>
      <w:r>
        <w:rPr>
          <w:rFonts w:cs="David"/>
          <w:szCs w:val="24"/>
          <w:rtl/>
        </w:rPr>
        <w:t>אמר להן הקב"ה לישראל: הוו זהירין בנדרים, ואל תפרצו בהן. שכל הפורץ בנדרים, סופו למעול בשבועות. והמועל בשבועות כופר בי ואין לו מחילה לעולם</w:t>
      </w:r>
      <w:r w:rsidR="007B3743">
        <w:rPr>
          <w:rFonts w:cs="David" w:hint="cs"/>
          <w:szCs w:val="24"/>
          <w:rtl/>
        </w:rPr>
        <w:t>,</w:t>
      </w:r>
      <w:r>
        <w:rPr>
          <w:rFonts w:cs="David"/>
          <w:szCs w:val="24"/>
          <w:rtl/>
        </w:rPr>
        <w:t xml:space="preserve"> שנאמר: "כי לא ינקה ה' את אשר ישא את שמו לשוא". וכתוב אחד אומר: "ונשבעת חי ה' באמת במשפט ובצדקה" (ירמיה ד ב) - אמר להם הקב"ה לישראל: לא תהיו סבורים שמותר לכם להישבע בשמי. אפילו באמת אין אתם רשאין לישבע בשמי, אלא אם יהיה בך כל המידות האלו: "את ה' </w:t>
      </w:r>
      <w:r w:rsidR="007B3743">
        <w:rPr>
          <w:rFonts w:cs="David"/>
          <w:szCs w:val="24"/>
          <w:rtl/>
        </w:rPr>
        <w:t>אל</w:t>
      </w:r>
      <w:r>
        <w:rPr>
          <w:rFonts w:cs="David"/>
          <w:szCs w:val="24"/>
          <w:rtl/>
        </w:rPr>
        <w:t>היך תירא, אותו תעבוד ובו תדבק ובשמו תשבע" (דברים י כ) - שתהא כשל</w:t>
      </w:r>
      <w:r w:rsidR="007B3743">
        <w:rPr>
          <w:rFonts w:cs="David" w:hint="cs"/>
          <w:szCs w:val="24"/>
          <w:rtl/>
        </w:rPr>
        <w:t>ו</w:t>
      </w:r>
      <w:r>
        <w:rPr>
          <w:rFonts w:cs="David"/>
          <w:szCs w:val="24"/>
          <w:rtl/>
        </w:rPr>
        <w:t xml:space="preserve">שה אלו שנקראו יראי </w:t>
      </w:r>
      <w:r w:rsidR="007B3743">
        <w:rPr>
          <w:rFonts w:cs="David"/>
          <w:szCs w:val="24"/>
          <w:rtl/>
        </w:rPr>
        <w:t>אל</w:t>
      </w:r>
      <w:r>
        <w:rPr>
          <w:rFonts w:cs="David"/>
          <w:szCs w:val="24"/>
          <w:rtl/>
        </w:rPr>
        <w:t>הים: אברהם איוב ויוסף... אם יש בך כל המידות הללו</w:t>
      </w:r>
      <w:r w:rsidR="007B3743">
        <w:rPr>
          <w:rFonts w:cs="David" w:hint="cs"/>
          <w:szCs w:val="24"/>
          <w:rtl/>
        </w:rPr>
        <w:t>,</w:t>
      </w:r>
      <w:r>
        <w:rPr>
          <w:rFonts w:cs="David"/>
          <w:szCs w:val="24"/>
          <w:rtl/>
        </w:rPr>
        <w:t xml:space="preserve"> אתה יכול להישבע</w:t>
      </w:r>
      <w:r w:rsidR="007B3743">
        <w:rPr>
          <w:rFonts w:cs="David" w:hint="cs"/>
          <w:szCs w:val="24"/>
          <w:rtl/>
        </w:rPr>
        <w:t>.</w:t>
      </w:r>
      <w:r>
        <w:rPr>
          <w:rFonts w:cs="David"/>
          <w:szCs w:val="24"/>
          <w:rtl/>
        </w:rPr>
        <w:t xml:space="preserve"> ואם לאו</w:t>
      </w:r>
      <w:r w:rsidR="007B3743">
        <w:rPr>
          <w:rFonts w:cs="David" w:hint="cs"/>
          <w:szCs w:val="24"/>
          <w:rtl/>
        </w:rPr>
        <w:t>,</w:t>
      </w:r>
      <w:r>
        <w:rPr>
          <w:rFonts w:cs="David"/>
          <w:szCs w:val="24"/>
          <w:rtl/>
        </w:rPr>
        <w:t xml:space="preserve"> אין אתה רשאי להישבע. מעשה בינאי המלך שהיו לו שני אלפים עיירות בהר המלך וכולן נחרבו על שבועת אמת ...</w:t>
      </w:r>
      <w:r w:rsidR="00206E9C">
        <w:rPr>
          <w:rStyle w:val="a5"/>
          <w:rFonts w:cs="David"/>
          <w:szCs w:val="24"/>
          <w:rtl/>
        </w:rPr>
        <w:footnoteReference w:id="2"/>
      </w:r>
    </w:p>
    <w:p w14:paraId="5AECA7ED" w14:textId="77777777" w:rsidR="002019D7" w:rsidRDefault="002019D7" w:rsidP="002019D7">
      <w:pPr>
        <w:spacing w:before="240" w:line="300" w:lineRule="atLeast"/>
        <w:rPr>
          <w:rFonts w:cs="Arial"/>
          <w:b/>
          <w:bCs/>
          <w:szCs w:val="24"/>
          <w:rtl/>
        </w:rPr>
      </w:pPr>
      <w:r>
        <w:rPr>
          <w:rFonts w:cs="Arial"/>
          <w:b/>
          <w:bCs/>
          <w:szCs w:val="24"/>
          <w:rtl/>
        </w:rPr>
        <w:t>בבלי מסכת נדרים דף ט עמוד א</w:t>
      </w:r>
    </w:p>
    <w:p w14:paraId="43F3257C" w14:textId="77777777" w:rsidR="002019D7" w:rsidRDefault="002019D7" w:rsidP="00206E9C">
      <w:pPr>
        <w:spacing w:line="320" w:lineRule="atLeast"/>
        <w:jc w:val="both"/>
        <w:rPr>
          <w:rFonts w:cs="David"/>
          <w:szCs w:val="24"/>
          <w:rtl/>
        </w:rPr>
      </w:pPr>
      <w:r>
        <w:rPr>
          <w:rFonts w:cs="David"/>
          <w:szCs w:val="24"/>
          <w:rtl/>
        </w:rPr>
        <w:t>תניא: "טוב אשר לא תדור משתדור ולא תשלם"  (קהלת פרק ה פסוק ד) - טוב מזה ומזה שאינו נודר כל עיקר, דברי ר' מאיר. רבי יהודה אומר: טוב מזה ומזה נודר ומשלם!</w:t>
      </w:r>
      <w:r w:rsidR="00206E9C">
        <w:rPr>
          <w:rStyle w:val="a5"/>
          <w:rFonts w:cs="David"/>
          <w:szCs w:val="24"/>
          <w:rtl/>
        </w:rPr>
        <w:footnoteReference w:id="3"/>
      </w:r>
    </w:p>
    <w:p w14:paraId="61F1DF96" w14:textId="77777777" w:rsidR="002019D7" w:rsidRDefault="002019D7" w:rsidP="00206E9C">
      <w:pPr>
        <w:spacing w:before="240" w:line="300" w:lineRule="atLeast"/>
        <w:rPr>
          <w:rFonts w:cs="Arial"/>
          <w:b/>
          <w:bCs/>
          <w:szCs w:val="24"/>
          <w:rtl/>
        </w:rPr>
      </w:pPr>
      <w:r>
        <w:rPr>
          <w:rFonts w:cs="Arial"/>
          <w:b/>
          <w:bCs/>
          <w:szCs w:val="24"/>
          <w:rtl/>
        </w:rPr>
        <w:t xml:space="preserve">ירושלמי מסכת נדרים פרק א </w:t>
      </w:r>
      <w:r w:rsidR="00206E9C">
        <w:rPr>
          <w:rFonts w:cs="Arial" w:hint="cs"/>
          <w:b/>
          <w:bCs/>
          <w:szCs w:val="24"/>
          <w:rtl/>
        </w:rPr>
        <w:t>הלכה א</w:t>
      </w:r>
    </w:p>
    <w:p w14:paraId="171B59A8" w14:textId="77777777" w:rsidR="002019D7" w:rsidRDefault="002019D7" w:rsidP="00206E9C">
      <w:pPr>
        <w:spacing w:line="320" w:lineRule="atLeast"/>
        <w:jc w:val="both"/>
        <w:rPr>
          <w:rFonts w:cs="David"/>
          <w:szCs w:val="24"/>
          <w:rtl/>
        </w:rPr>
      </w:pPr>
      <w:r>
        <w:rPr>
          <w:rFonts w:cs="David"/>
          <w:szCs w:val="24"/>
          <w:rtl/>
        </w:rPr>
        <w:t xml:space="preserve">תני בשם ר' יודן: "טוב אשר לא תדור משתדור ולא תשלם" - טוב מזה ומזה שלא תדור. רבי מאיר אומר ... - טוב מזה ומזה נודר ומשלם. וכן הוא אומר: "נדרו ושלמו לה' </w:t>
      </w:r>
      <w:r w:rsidR="007B3743">
        <w:rPr>
          <w:rFonts w:cs="David"/>
          <w:szCs w:val="24"/>
          <w:rtl/>
        </w:rPr>
        <w:t>אל</w:t>
      </w:r>
      <w:r>
        <w:rPr>
          <w:rFonts w:cs="David"/>
          <w:szCs w:val="24"/>
          <w:rtl/>
        </w:rPr>
        <w:t>היכם" (תהלים עו יב).</w:t>
      </w:r>
      <w:r w:rsidR="00206E9C">
        <w:rPr>
          <w:rStyle w:val="a5"/>
          <w:rFonts w:cs="David"/>
          <w:szCs w:val="24"/>
          <w:rtl/>
        </w:rPr>
        <w:footnoteReference w:id="4"/>
      </w:r>
    </w:p>
    <w:p w14:paraId="0F4B458C" w14:textId="77777777" w:rsidR="002019D7" w:rsidRDefault="002019D7" w:rsidP="002019D7">
      <w:pPr>
        <w:spacing w:before="240" w:line="300" w:lineRule="atLeast"/>
        <w:rPr>
          <w:rFonts w:cs="Arial"/>
          <w:b/>
          <w:bCs/>
          <w:szCs w:val="24"/>
          <w:rtl/>
        </w:rPr>
      </w:pPr>
      <w:r>
        <w:rPr>
          <w:rFonts w:cs="Arial"/>
          <w:b/>
          <w:bCs/>
          <w:szCs w:val="24"/>
          <w:rtl/>
        </w:rPr>
        <w:t>מדרש תנחומא פרשת וישלח סימן ח</w:t>
      </w:r>
    </w:p>
    <w:p w14:paraId="55B7B239" w14:textId="77777777" w:rsidR="002019D7" w:rsidRDefault="002019D7" w:rsidP="00C158C7">
      <w:pPr>
        <w:spacing w:line="320" w:lineRule="atLeast"/>
        <w:jc w:val="both"/>
        <w:rPr>
          <w:rFonts w:cs="David"/>
          <w:szCs w:val="24"/>
          <w:rtl/>
        </w:rPr>
      </w:pPr>
      <w:r>
        <w:rPr>
          <w:rFonts w:cs="David"/>
          <w:szCs w:val="24"/>
          <w:rtl/>
        </w:rPr>
        <w:lastRenderedPageBreak/>
        <w:t>רבי מאיר אומר</w:t>
      </w:r>
      <w:r w:rsidR="007B3743">
        <w:rPr>
          <w:rFonts w:cs="David" w:hint="cs"/>
          <w:szCs w:val="24"/>
          <w:rtl/>
        </w:rPr>
        <w:t>:</w:t>
      </w:r>
      <w:r>
        <w:rPr>
          <w:rFonts w:cs="David"/>
          <w:szCs w:val="24"/>
          <w:rtl/>
        </w:rPr>
        <w:t xml:space="preserve"> טוב משניהם שאינו נודר כל עיקר</w:t>
      </w:r>
      <w:r w:rsidR="007B3743">
        <w:rPr>
          <w:rFonts w:cs="David" w:hint="cs"/>
          <w:szCs w:val="24"/>
          <w:rtl/>
        </w:rPr>
        <w:t>,</w:t>
      </w:r>
      <w:r>
        <w:rPr>
          <w:rFonts w:cs="David"/>
          <w:szCs w:val="24"/>
          <w:rtl/>
        </w:rPr>
        <w:t xml:space="preserve"> אלא מביא אדם כבשתו לעזרה ושוחטה. רבי יהודה אומר</w:t>
      </w:r>
      <w:r w:rsidR="007B3743">
        <w:rPr>
          <w:rFonts w:cs="David" w:hint="cs"/>
          <w:szCs w:val="24"/>
          <w:rtl/>
        </w:rPr>
        <w:t>:</w:t>
      </w:r>
      <w:r>
        <w:rPr>
          <w:rFonts w:cs="David"/>
          <w:szCs w:val="24"/>
          <w:rtl/>
        </w:rPr>
        <w:t xml:space="preserve"> טוב משניהם שנודר ומשלם</w:t>
      </w:r>
      <w:r w:rsidR="007B3743">
        <w:rPr>
          <w:rFonts w:cs="David" w:hint="cs"/>
          <w:szCs w:val="24"/>
          <w:rtl/>
        </w:rPr>
        <w:t>,</w:t>
      </w:r>
      <w:r>
        <w:rPr>
          <w:rFonts w:cs="David"/>
          <w:szCs w:val="24"/>
          <w:rtl/>
        </w:rPr>
        <w:t xml:space="preserve"> שנאמר: "נדרו ושלמו לה' </w:t>
      </w:r>
      <w:r w:rsidR="007B3743">
        <w:rPr>
          <w:rFonts w:cs="David"/>
          <w:szCs w:val="24"/>
          <w:rtl/>
        </w:rPr>
        <w:t>אל</w:t>
      </w:r>
      <w:r>
        <w:rPr>
          <w:rFonts w:cs="David"/>
          <w:szCs w:val="24"/>
          <w:rtl/>
        </w:rPr>
        <w:t>היכם" - שהוא נוטל שכר על הנדר ועל השילום.</w:t>
      </w:r>
      <w:r w:rsidR="00C158C7">
        <w:rPr>
          <w:rStyle w:val="a5"/>
          <w:rFonts w:cs="David"/>
          <w:szCs w:val="24"/>
          <w:rtl/>
        </w:rPr>
        <w:footnoteReference w:id="5"/>
      </w:r>
    </w:p>
    <w:p w14:paraId="033D0E8D" w14:textId="77777777" w:rsidR="000B47F5" w:rsidRDefault="000B47F5" w:rsidP="00C158C7">
      <w:pPr>
        <w:pStyle w:val="ac"/>
        <w:rPr>
          <w:rFonts w:ascii="David" w:hAnsi="David" w:hint="cs"/>
          <w:sz w:val="24"/>
          <w:rtl/>
        </w:rPr>
      </w:pPr>
      <w:r w:rsidRPr="000B47F5">
        <w:rPr>
          <w:rStyle w:val="af2"/>
          <w:rFonts w:ascii="David" w:hAnsi="David"/>
          <w:color w:val="333333"/>
          <w:sz w:val="24"/>
          <w:rtl/>
        </w:rPr>
        <w:t>כִּי תִדֹּר נֶדֶר לַה' אֱלֹהֶיךָ לֹא תְאַחֵר לְשַׁלְּמוֹ כִּי דָרֹשׁ יִדְרְשֶׁנּוּ ה' אֱלֹהֶיךָ מֵעִמָּךְ וְהָיָה בְךָ חֵטְא: וְכִי תֶחְדַּל לִנְדֹּר לֹא יִהְיֶה בְךָ חֵטְא: מוֹצָא שְׂפָתֶיךָ תִּשְׁמֹר וְעָשִׂיתָ כַּאֲשֶׁר נָדַרְתָּ לַה' אֱלֹהֶיךָ נְדָבָה אֲשֶׁר דִּבַּרְתָּ בְּפִיךָ:</w:t>
      </w:r>
      <w:r w:rsidR="00C158C7" w:rsidRPr="00C158C7">
        <w:rPr>
          <w:rFonts w:cs="Arial"/>
          <w:b/>
          <w:bCs/>
          <w:rtl/>
        </w:rPr>
        <w:t xml:space="preserve"> </w:t>
      </w:r>
      <w:r w:rsidR="00C158C7" w:rsidRPr="00C158C7">
        <w:rPr>
          <w:rFonts w:ascii="Narkisim" w:hAnsi="Narkisim" w:cs="Narkisim"/>
          <w:szCs w:val="22"/>
          <w:rtl/>
        </w:rPr>
        <w:t xml:space="preserve">(דברים כג </w:t>
      </w:r>
      <w:r w:rsidR="00C158C7">
        <w:rPr>
          <w:rFonts w:ascii="Narkisim" w:hAnsi="Narkisim" w:cs="Narkisim" w:hint="cs"/>
          <w:szCs w:val="22"/>
          <w:rtl/>
        </w:rPr>
        <w:t>כב-</w:t>
      </w:r>
      <w:r w:rsidR="00C158C7" w:rsidRPr="00C158C7">
        <w:rPr>
          <w:rFonts w:ascii="Narkisim" w:hAnsi="Narkisim" w:cs="Narkisim"/>
          <w:szCs w:val="22"/>
          <w:rtl/>
        </w:rPr>
        <w:t>כ</w:t>
      </w:r>
      <w:r w:rsidR="00C158C7">
        <w:rPr>
          <w:rFonts w:ascii="Narkisim" w:hAnsi="Narkisim" w:cs="Narkisim" w:hint="cs"/>
          <w:szCs w:val="22"/>
          <w:rtl/>
        </w:rPr>
        <w:t>ד</w:t>
      </w:r>
      <w:r w:rsidR="00C158C7" w:rsidRPr="00C158C7">
        <w:rPr>
          <w:rFonts w:ascii="Narkisim" w:hAnsi="Narkisim" w:cs="Narkisim"/>
          <w:szCs w:val="22"/>
          <w:rtl/>
        </w:rPr>
        <w:t>).</w:t>
      </w:r>
      <w:r w:rsidR="00C158C7">
        <w:rPr>
          <w:rStyle w:val="a5"/>
          <w:rFonts w:ascii="Narkisim" w:hAnsi="Narkisim" w:cs="Narkisim"/>
          <w:szCs w:val="22"/>
          <w:rtl/>
        </w:rPr>
        <w:footnoteReference w:id="6"/>
      </w:r>
    </w:p>
    <w:p w14:paraId="5863E288" w14:textId="77777777" w:rsidR="000B47F5" w:rsidRDefault="002019D7" w:rsidP="000B47F5">
      <w:pPr>
        <w:pStyle w:val="ab"/>
        <w:rPr>
          <w:rFonts w:hint="cs"/>
          <w:rtl/>
        </w:rPr>
      </w:pPr>
      <w:r w:rsidRPr="00DA4683">
        <w:rPr>
          <w:rtl/>
        </w:rPr>
        <w:t>בבלי מסכת נדרים דף עז ע"ב</w:t>
      </w:r>
    </w:p>
    <w:p w14:paraId="0AF654CD" w14:textId="77777777" w:rsidR="008C4048" w:rsidRDefault="002019D7" w:rsidP="006C0664">
      <w:pPr>
        <w:pStyle w:val="ac"/>
        <w:rPr>
          <w:rFonts w:hint="cs"/>
          <w:rtl/>
        </w:rPr>
      </w:pPr>
      <w:r>
        <w:rPr>
          <w:rtl/>
        </w:rPr>
        <w:t>"תני רב דימי אחוה דרב ספרא: כל הנודר, אע"פ שהוא מקיימו - נקרא חוטא. אמר רב זביד: מאי קרא? "וכי תחדל לנדור לא יהיה בך חטא" הא לא חדלת - איכא חטא.</w:t>
      </w:r>
      <w:r w:rsidR="006C0664">
        <w:rPr>
          <w:rStyle w:val="a5"/>
          <w:rtl/>
        </w:rPr>
        <w:footnoteReference w:id="7"/>
      </w:r>
    </w:p>
    <w:p w14:paraId="271FFB57" w14:textId="77777777" w:rsidR="00394BF1" w:rsidRDefault="00394BF1" w:rsidP="00394BF1">
      <w:pPr>
        <w:pStyle w:val="ab"/>
        <w:rPr>
          <w:rtl/>
        </w:rPr>
      </w:pPr>
      <w:r>
        <w:rPr>
          <w:rtl/>
        </w:rPr>
        <w:t>רמב"ן דברים פרשת כי תצא פרק כג פסוק כג</w:t>
      </w:r>
    </w:p>
    <w:p w14:paraId="10F9FB4B" w14:textId="77777777" w:rsidR="00394BF1" w:rsidRDefault="00394BF1" w:rsidP="00FF08E0">
      <w:pPr>
        <w:pStyle w:val="ac"/>
        <w:rPr>
          <w:rFonts w:hint="cs"/>
          <w:rtl/>
        </w:rPr>
      </w:pPr>
      <w:r>
        <w:rPr>
          <w:rFonts w:hint="cs"/>
          <w:rtl/>
        </w:rPr>
        <w:t>"</w:t>
      </w:r>
      <w:r>
        <w:rPr>
          <w:rtl/>
        </w:rPr>
        <w:t>וכי תחדל לנדר לא יהיה בך חטא - בעבור שהמקריבים עולה וזבחים לאלהים יש להם שכר טוב, כענין שכתוב</w:t>
      </w:r>
      <w:r>
        <w:rPr>
          <w:rFonts w:hint="cs"/>
          <w:rtl/>
        </w:rPr>
        <w:t>: "</w:t>
      </w:r>
      <w:r>
        <w:rPr>
          <w:rtl/>
        </w:rPr>
        <w:t>עֹלוֹת מֵחִים אַעֲלֶה לָּךְ עִם קְטֹרֶת אֵילִים אֶעֱשֶׂה בָקָר עִם עַתּוּדִים סֶלָה</w:t>
      </w:r>
      <w:r>
        <w:rPr>
          <w:rFonts w:hint="cs"/>
          <w:rtl/>
        </w:rPr>
        <w:t xml:space="preserve">" </w:t>
      </w:r>
      <w:r>
        <w:rPr>
          <w:rtl/>
        </w:rPr>
        <w:t>(תהלים סו טו)</w:t>
      </w:r>
      <w:r>
        <w:rPr>
          <w:rFonts w:hint="cs"/>
          <w:rtl/>
        </w:rPr>
        <w:t>, "</w:t>
      </w:r>
      <w:r>
        <w:rPr>
          <w:rtl/>
        </w:rPr>
        <w:t>אָבוֹא בֵיתְךָ בְעוֹלוֹת אֲשַׁלֵּם לְךָ נְדָרָי</w:t>
      </w:r>
      <w:r>
        <w:rPr>
          <w:rFonts w:hint="cs"/>
          <w:rtl/>
        </w:rPr>
        <w:t>"</w:t>
      </w:r>
      <w:r>
        <w:rPr>
          <w:rtl/>
        </w:rPr>
        <w:t xml:space="preserve"> (שם פסוק יג), ואף בקרבנות הבאים בנדבה</w:t>
      </w:r>
      <w:r>
        <w:rPr>
          <w:rStyle w:val="a5"/>
          <w:rtl/>
        </w:rPr>
        <w:footnoteReference w:id="8"/>
      </w:r>
      <w:r>
        <w:rPr>
          <w:rtl/>
        </w:rPr>
        <w:t xml:space="preserve"> כתוב</w:t>
      </w:r>
      <w:r>
        <w:rPr>
          <w:rFonts w:hint="cs"/>
          <w:rtl/>
        </w:rPr>
        <w:t>:</w:t>
      </w:r>
      <w:r>
        <w:rPr>
          <w:rtl/>
        </w:rPr>
        <w:t xml:space="preserve"> </w:t>
      </w:r>
      <w:r>
        <w:rPr>
          <w:rFonts w:hint="cs"/>
          <w:rtl/>
        </w:rPr>
        <w:t>"</w:t>
      </w:r>
      <w:r>
        <w:rPr>
          <w:rtl/>
        </w:rPr>
        <w:t>ונרצה לו לכפר עליו</w:t>
      </w:r>
      <w:r>
        <w:rPr>
          <w:rFonts w:hint="cs"/>
          <w:rtl/>
        </w:rPr>
        <w:t>"</w:t>
      </w:r>
      <w:r>
        <w:rPr>
          <w:rtl/>
        </w:rPr>
        <w:t xml:space="preserve"> (ויקרא א ד), ואומר</w:t>
      </w:r>
      <w:r>
        <w:rPr>
          <w:rFonts w:hint="cs"/>
          <w:rtl/>
        </w:rPr>
        <w:t>:</w:t>
      </w:r>
      <w:r>
        <w:rPr>
          <w:rtl/>
        </w:rPr>
        <w:t xml:space="preserve"> </w:t>
      </w:r>
      <w:r>
        <w:rPr>
          <w:rFonts w:hint="cs"/>
          <w:rtl/>
        </w:rPr>
        <w:t>"</w:t>
      </w:r>
      <w:r>
        <w:rPr>
          <w:rtl/>
        </w:rPr>
        <w:t>ריח ניחוח לה'</w:t>
      </w:r>
      <w:r>
        <w:rPr>
          <w:rFonts w:hint="cs"/>
          <w:rtl/>
        </w:rPr>
        <w:t xml:space="preserve"> "</w:t>
      </w:r>
      <w:r>
        <w:rPr>
          <w:rtl/>
        </w:rPr>
        <w:t>, ואם כן הרי הנדרים ז</w:t>
      </w:r>
      <w:r>
        <w:rPr>
          <w:rFonts w:hint="cs"/>
          <w:rtl/>
        </w:rPr>
        <w:t>י</w:t>
      </w:r>
      <w:r>
        <w:rPr>
          <w:rtl/>
        </w:rPr>
        <w:t>רוז במצוה, וכתוב</w:t>
      </w:r>
      <w:r>
        <w:rPr>
          <w:rFonts w:hint="cs"/>
          <w:rtl/>
        </w:rPr>
        <w:t>:</w:t>
      </w:r>
      <w:r>
        <w:rPr>
          <w:rtl/>
        </w:rPr>
        <w:t xml:space="preserve"> </w:t>
      </w:r>
      <w:r>
        <w:rPr>
          <w:rFonts w:hint="cs"/>
          <w:rtl/>
        </w:rPr>
        <w:t>"</w:t>
      </w:r>
      <w:r>
        <w:rPr>
          <w:rtl/>
        </w:rPr>
        <w:t>נדרי לה' אשלם נגדה נא לכל עמו</w:t>
      </w:r>
      <w:r>
        <w:rPr>
          <w:rFonts w:hint="cs"/>
          <w:rtl/>
        </w:rPr>
        <w:t xml:space="preserve">" </w:t>
      </w:r>
      <w:r>
        <w:rPr>
          <w:rtl/>
        </w:rPr>
        <w:t>(תהלים קטז יח).</w:t>
      </w:r>
      <w:r>
        <w:rPr>
          <w:rStyle w:val="a5"/>
          <w:rtl/>
        </w:rPr>
        <w:footnoteReference w:id="9"/>
      </w:r>
      <w:r>
        <w:rPr>
          <w:rtl/>
        </w:rPr>
        <w:t xml:space="preserve"> לפיכך יאמר הכתוב ה</w:t>
      </w:r>
      <w:r w:rsidR="00EC2AF5">
        <w:rPr>
          <w:rFonts w:hint="cs"/>
          <w:rtl/>
        </w:rPr>
        <w:t>י</w:t>
      </w:r>
      <w:r>
        <w:rPr>
          <w:rtl/>
        </w:rPr>
        <w:t>שמר בנדריך, כי אף על פי שהם ז</w:t>
      </w:r>
      <w:r w:rsidR="00EC2AF5">
        <w:rPr>
          <w:rFonts w:hint="cs"/>
          <w:rtl/>
        </w:rPr>
        <w:t>י</w:t>
      </w:r>
      <w:r>
        <w:rPr>
          <w:rtl/>
        </w:rPr>
        <w:t>רוז בקרבנות השם</w:t>
      </w:r>
      <w:r w:rsidR="00EC2AF5">
        <w:rPr>
          <w:rFonts w:hint="cs"/>
          <w:rtl/>
        </w:rPr>
        <w:t>,</w:t>
      </w:r>
      <w:r>
        <w:rPr>
          <w:rtl/>
        </w:rPr>
        <w:t xml:space="preserve"> אשר הם לך לרצון, אם ת</w:t>
      </w:r>
      <w:r w:rsidR="00EC2AF5">
        <w:rPr>
          <w:rFonts w:hint="cs"/>
          <w:rtl/>
        </w:rPr>
        <w:t>י</w:t>
      </w:r>
      <w:r>
        <w:rPr>
          <w:rtl/>
        </w:rPr>
        <w:t>דור ת</w:t>
      </w:r>
      <w:r w:rsidR="00EC2AF5">
        <w:rPr>
          <w:rFonts w:hint="cs"/>
          <w:rtl/>
        </w:rPr>
        <w:t>ו</w:t>
      </w:r>
      <w:r>
        <w:rPr>
          <w:rtl/>
        </w:rPr>
        <w:t>בא לידי חטא אם לא תשלם</w:t>
      </w:r>
      <w:r w:rsidR="00EC2AF5">
        <w:rPr>
          <w:rFonts w:hint="cs"/>
          <w:rtl/>
        </w:rPr>
        <w:t>,</w:t>
      </w:r>
      <w:r>
        <w:rPr>
          <w:rtl/>
        </w:rPr>
        <w:t xml:space="preserve"> או שתאחר לשלמו</w:t>
      </w:r>
      <w:r w:rsidR="00EC2AF5">
        <w:rPr>
          <w:rFonts w:hint="cs"/>
          <w:rtl/>
        </w:rPr>
        <w:t>.</w:t>
      </w:r>
      <w:r>
        <w:rPr>
          <w:rtl/>
        </w:rPr>
        <w:t xml:space="preserve"> ואם לא ת</w:t>
      </w:r>
      <w:r w:rsidR="00EC2AF5">
        <w:rPr>
          <w:rFonts w:hint="cs"/>
          <w:rtl/>
        </w:rPr>
        <w:t>י</w:t>
      </w:r>
      <w:r>
        <w:rPr>
          <w:rtl/>
        </w:rPr>
        <w:t>דור</w:t>
      </w:r>
      <w:r w:rsidR="00EC2AF5">
        <w:rPr>
          <w:rFonts w:hint="cs"/>
          <w:rtl/>
        </w:rPr>
        <w:t>,</w:t>
      </w:r>
      <w:r>
        <w:rPr>
          <w:rtl/>
        </w:rPr>
        <w:t xml:space="preserve"> לא תמצא חטא בענין כלל</w:t>
      </w:r>
      <w:r w:rsidR="00EC2AF5">
        <w:rPr>
          <w:rFonts w:hint="cs"/>
          <w:rtl/>
        </w:rPr>
        <w:t>.</w:t>
      </w:r>
      <w:r>
        <w:rPr>
          <w:rtl/>
        </w:rPr>
        <w:t xml:space="preserve"> כי אפילו לא תקריב קרבן כל ימיך לא יהיה בך חטא</w:t>
      </w:r>
      <w:r w:rsidR="00EC2AF5">
        <w:rPr>
          <w:rFonts w:hint="cs"/>
          <w:rtl/>
        </w:rPr>
        <w:t>.</w:t>
      </w:r>
      <w:r>
        <w:rPr>
          <w:rtl/>
        </w:rPr>
        <w:t xml:space="preserve"> אם כן</w:t>
      </w:r>
      <w:r w:rsidR="00EC2AF5">
        <w:rPr>
          <w:rFonts w:hint="cs"/>
          <w:rtl/>
        </w:rPr>
        <w:t>,</w:t>
      </w:r>
      <w:r>
        <w:rPr>
          <w:rtl/>
        </w:rPr>
        <w:t xml:space="preserve"> תשמור מוצא שפתיך כאשר תוציא הדבר מפיך, ועשית אחרי כן כאשר דברת, להשלים כל אשר נדבה רוחך להוציא מפיך</w:t>
      </w:r>
      <w:r w:rsidR="00FF08E0">
        <w:rPr>
          <w:rFonts w:hint="cs"/>
          <w:rtl/>
        </w:rPr>
        <w:t>.</w:t>
      </w:r>
      <w:r w:rsidR="00FF08E0">
        <w:rPr>
          <w:rStyle w:val="a5"/>
          <w:rtl/>
        </w:rPr>
        <w:footnoteReference w:id="10"/>
      </w:r>
    </w:p>
    <w:p w14:paraId="612A390C" w14:textId="77777777" w:rsidR="000B47F5" w:rsidRDefault="000B47F5" w:rsidP="000B47F5">
      <w:pPr>
        <w:pStyle w:val="ab"/>
        <w:rPr>
          <w:rtl/>
        </w:rPr>
      </w:pPr>
      <w:r>
        <w:rPr>
          <w:rtl/>
        </w:rPr>
        <w:t>מסכת אבות פרק ג</w:t>
      </w:r>
      <w:r>
        <w:rPr>
          <w:rFonts w:hint="cs"/>
          <w:rtl/>
        </w:rPr>
        <w:t xml:space="preserve"> </w:t>
      </w:r>
      <w:r>
        <w:rPr>
          <w:rtl/>
        </w:rPr>
        <w:t>משנה יג</w:t>
      </w:r>
    </w:p>
    <w:p w14:paraId="2BDB622B" w14:textId="77777777" w:rsidR="000B47F5" w:rsidRDefault="000B47F5" w:rsidP="000B47F5">
      <w:pPr>
        <w:pStyle w:val="ac"/>
        <w:rPr>
          <w:rFonts w:hint="cs"/>
          <w:rtl/>
        </w:rPr>
      </w:pPr>
      <w:r>
        <w:rPr>
          <w:rtl/>
        </w:rPr>
        <w:lastRenderedPageBreak/>
        <w:t>רבי עקיבא אומר</w:t>
      </w:r>
      <w:r>
        <w:rPr>
          <w:rFonts w:hint="cs"/>
          <w:rtl/>
        </w:rPr>
        <w:t>:</w:t>
      </w:r>
      <w:r>
        <w:rPr>
          <w:rtl/>
        </w:rPr>
        <w:t xml:space="preserve"> שחוק וקלות ראש מרגילין לערוה</w:t>
      </w:r>
      <w:r>
        <w:rPr>
          <w:rFonts w:hint="cs"/>
          <w:rtl/>
        </w:rPr>
        <w:t>.</w:t>
      </w:r>
      <w:r>
        <w:rPr>
          <w:rtl/>
        </w:rPr>
        <w:t xml:space="preserve"> מסורת </w:t>
      </w:r>
      <w:r>
        <w:rPr>
          <w:rFonts w:hint="cs"/>
          <w:rtl/>
        </w:rPr>
        <w:t xml:space="preserve">- </w:t>
      </w:r>
      <w:r>
        <w:rPr>
          <w:rtl/>
        </w:rPr>
        <w:t>סייג לתורה</w:t>
      </w:r>
      <w:r>
        <w:rPr>
          <w:rFonts w:hint="cs"/>
          <w:rtl/>
        </w:rPr>
        <w:t>.</w:t>
      </w:r>
      <w:r>
        <w:rPr>
          <w:rtl/>
        </w:rPr>
        <w:t xml:space="preserve"> מעשרות </w:t>
      </w:r>
      <w:r>
        <w:rPr>
          <w:rFonts w:hint="cs"/>
          <w:rtl/>
        </w:rPr>
        <w:t xml:space="preserve">- </w:t>
      </w:r>
      <w:r>
        <w:rPr>
          <w:rtl/>
        </w:rPr>
        <w:t>סייג לעושר</w:t>
      </w:r>
      <w:r>
        <w:rPr>
          <w:rFonts w:hint="cs"/>
          <w:rtl/>
        </w:rPr>
        <w:t>.</w:t>
      </w:r>
      <w:r>
        <w:rPr>
          <w:rtl/>
        </w:rPr>
        <w:t xml:space="preserve"> נדרים </w:t>
      </w:r>
      <w:r>
        <w:rPr>
          <w:rFonts w:hint="cs"/>
          <w:rtl/>
        </w:rPr>
        <w:t xml:space="preserve">- </w:t>
      </w:r>
      <w:r>
        <w:rPr>
          <w:rtl/>
        </w:rPr>
        <w:t>סייג לפרישות</w:t>
      </w:r>
      <w:r>
        <w:rPr>
          <w:rFonts w:hint="cs"/>
          <w:rtl/>
        </w:rPr>
        <w:t>.</w:t>
      </w:r>
      <w:r>
        <w:rPr>
          <w:rtl/>
        </w:rPr>
        <w:t xml:space="preserve"> סייג לחכמה –</w:t>
      </w:r>
      <w:r>
        <w:rPr>
          <w:rFonts w:hint="cs"/>
          <w:rtl/>
        </w:rPr>
        <w:t xml:space="preserve"> </w:t>
      </w:r>
      <w:r>
        <w:rPr>
          <w:rtl/>
        </w:rPr>
        <w:t>שתיקה</w:t>
      </w:r>
      <w:r>
        <w:rPr>
          <w:rFonts w:hint="cs"/>
          <w:rtl/>
        </w:rPr>
        <w:t>.</w:t>
      </w:r>
      <w:r w:rsidR="00C158C7">
        <w:rPr>
          <w:rStyle w:val="a5"/>
          <w:rtl/>
        </w:rPr>
        <w:footnoteReference w:id="11"/>
      </w:r>
    </w:p>
    <w:p w14:paraId="1A51D92D" w14:textId="77777777" w:rsidR="00DA4683" w:rsidRDefault="00DA4683" w:rsidP="00DA4683">
      <w:pPr>
        <w:pStyle w:val="ab"/>
        <w:rPr>
          <w:rtl/>
        </w:rPr>
      </w:pPr>
      <w:r>
        <w:rPr>
          <w:rtl/>
        </w:rPr>
        <w:t xml:space="preserve">מסכת תענית דף ד עמוד א </w:t>
      </w:r>
    </w:p>
    <w:p w14:paraId="510546BF" w14:textId="77777777" w:rsidR="00DA4683" w:rsidRDefault="00DA4683" w:rsidP="006C0664">
      <w:pPr>
        <w:pStyle w:val="ac"/>
        <w:rPr>
          <w:rFonts w:hint="cs"/>
          <w:rtl/>
        </w:rPr>
      </w:pPr>
      <w:r>
        <w:rPr>
          <w:rtl/>
        </w:rPr>
        <w:t>אמר רבי שמואל בר נחמני אמר רבי יונתן: של</w:t>
      </w:r>
      <w:r w:rsidR="0051587B">
        <w:rPr>
          <w:rFonts w:hint="cs"/>
          <w:rtl/>
        </w:rPr>
        <w:t>ו</w:t>
      </w:r>
      <w:r>
        <w:rPr>
          <w:rtl/>
        </w:rPr>
        <w:t>שה שאלו שלא כהוגן</w:t>
      </w:r>
      <w:r w:rsidR="0051587B">
        <w:rPr>
          <w:rFonts w:hint="cs"/>
          <w:rtl/>
        </w:rPr>
        <w:t>:</w:t>
      </w:r>
      <w:r>
        <w:rPr>
          <w:rtl/>
        </w:rPr>
        <w:t xml:space="preserve"> לשנים השיבוהו כהוגן, לאחד השיבוהו שלא כהוגן. ואלו הן: אליעזר עבד אברהם, ושאול בן קיש, ויפתח הגלעדי. אליעזר עבד אברהם </w:t>
      </w:r>
      <w:r w:rsidR="0051587B">
        <w:rPr>
          <w:rtl/>
        </w:rPr>
        <w:t>–</w:t>
      </w:r>
      <w:r>
        <w:rPr>
          <w:rtl/>
        </w:rPr>
        <w:t xml:space="preserve"> דכתיב</w:t>
      </w:r>
      <w:r w:rsidR="0051587B">
        <w:rPr>
          <w:rFonts w:hint="cs"/>
          <w:rtl/>
        </w:rPr>
        <w:t>:</w:t>
      </w:r>
      <w:r>
        <w:rPr>
          <w:rtl/>
        </w:rPr>
        <w:t xml:space="preserve"> </w:t>
      </w:r>
      <w:r w:rsidR="006C0664">
        <w:rPr>
          <w:rFonts w:hint="cs"/>
          <w:rtl/>
        </w:rPr>
        <w:t>"</w:t>
      </w:r>
      <w:r w:rsidR="006C0664">
        <w:rPr>
          <w:rtl/>
        </w:rPr>
        <w:t>וְהָיָה הַנַּעֲרָ אֲשֶׁר אֹמַר אֵלֶיהָ הַטִּי־נָא כַדֵּךְ וְאֶשְׁתֶּה וְאָמְרָה שְׁתֵה וְגַם־גְּמַלֶּיךָ אַשְׁקֶה אֹתָהּ הֹכַחְתָּ לְעַבְדְּךָ לְיִצְחָק וּבָהּ אֵדַע כִּי־עָשִׂיתָ חֶסֶד עִם־אֲדֹנִי</w:t>
      </w:r>
      <w:r w:rsidR="006C0664">
        <w:rPr>
          <w:rFonts w:hint="cs"/>
          <w:rtl/>
        </w:rPr>
        <w:t>"</w:t>
      </w:r>
      <w:r w:rsidR="006C0664">
        <w:rPr>
          <w:rtl/>
        </w:rPr>
        <w:t xml:space="preserve"> </w:t>
      </w:r>
      <w:r w:rsidR="006C0664">
        <w:rPr>
          <w:rFonts w:hint="cs"/>
          <w:rtl/>
        </w:rPr>
        <w:t>(</w:t>
      </w:r>
      <w:r w:rsidR="006C0664">
        <w:rPr>
          <w:rtl/>
        </w:rPr>
        <w:t>בראשית כד יד</w:t>
      </w:r>
      <w:r w:rsidR="006C0664">
        <w:rPr>
          <w:rFonts w:hint="cs"/>
          <w:rtl/>
        </w:rPr>
        <w:t>) -</w:t>
      </w:r>
      <w:r w:rsidR="006C0664">
        <w:rPr>
          <w:rtl/>
        </w:rPr>
        <w:t xml:space="preserve"> </w:t>
      </w:r>
      <w:r>
        <w:rPr>
          <w:rtl/>
        </w:rPr>
        <w:t>יכול אפילו חיגרת אפילו סומא</w:t>
      </w:r>
      <w:r w:rsidR="006C0664">
        <w:rPr>
          <w:rFonts w:hint="cs"/>
          <w:rtl/>
        </w:rPr>
        <w:t>?</w:t>
      </w:r>
      <w:r>
        <w:rPr>
          <w:rtl/>
        </w:rPr>
        <w:t xml:space="preserve"> - השיבו כהוגן, ונזדמנה לו רבקה.</w:t>
      </w:r>
      <w:r w:rsidR="00FF08E0">
        <w:rPr>
          <w:rStyle w:val="a5"/>
          <w:rtl/>
        </w:rPr>
        <w:footnoteReference w:id="12"/>
      </w:r>
      <w:r>
        <w:rPr>
          <w:rtl/>
        </w:rPr>
        <w:t xml:space="preserve"> שאול בן קיש </w:t>
      </w:r>
      <w:r w:rsidR="0051587B">
        <w:rPr>
          <w:rtl/>
        </w:rPr>
        <w:t>–</w:t>
      </w:r>
      <w:r>
        <w:rPr>
          <w:rtl/>
        </w:rPr>
        <w:t xml:space="preserve"> דכתיב</w:t>
      </w:r>
      <w:r w:rsidR="0051587B">
        <w:rPr>
          <w:rFonts w:hint="cs"/>
          <w:rtl/>
        </w:rPr>
        <w:t>:</w:t>
      </w:r>
      <w:r>
        <w:rPr>
          <w:rtl/>
        </w:rPr>
        <w:t xml:space="preserve"> </w:t>
      </w:r>
      <w:r w:rsidR="0051587B">
        <w:rPr>
          <w:rFonts w:hint="cs"/>
          <w:rtl/>
        </w:rPr>
        <w:t>"</w:t>
      </w:r>
      <w:r>
        <w:rPr>
          <w:rtl/>
        </w:rPr>
        <w:t>והיה האיש אשר יכנו יעשרנו המלך עשר גדול ואת בתו יתן לו</w:t>
      </w:r>
      <w:r w:rsidR="0051587B">
        <w:rPr>
          <w:rFonts w:hint="cs"/>
          <w:rtl/>
        </w:rPr>
        <w:t>" (שמואל א יז כה)</w:t>
      </w:r>
      <w:r>
        <w:rPr>
          <w:rtl/>
        </w:rPr>
        <w:t>, יכול אפילו עבד, אפילו ממזר</w:t>
      </w:r>
      <w:r w:rsidR="006C0664">
        <w:rPr>
          <w:rFonts w:hint="cs"/>
          <w:rtl/>
        </w:rPr>
        <w:t>?</w:t>
      </w:r>
      <w:r>
        <w:rPr>
          <w:rtl/>
        </w:rPr>
        <w:t xml:space="preserve"> - השיבו כהוגן, ונזדמן לו דוד. יפתח הגלעדי </w:t>
      </w:r>
      <w:r w:rsidR="0051587B">
        <w:rPr>
          <w:rtl/>
        </w:rPr>
        <w:t>–</w:t>
      </w:r>
      <w:r>
        <w:rPr>
          <w:rtl/>
        </w:rPr>
        <w:t xml:space="preserve"> דכתיב</w:t>
      </w:r>
      <w:r w:rsidR="0051587B">
        <w:rPr>
          <w:rFonts w:hint="cs"/>
          <w:rtl/>
        </w:rPr>
        <w:t>:</w:t>
      </w:r>
      <w:r>
        <w:rPr>
          <w:rtl/>
        </w:rPr>
        <w:t xml:space="preserve"> </w:t>
      </w:r>
      <w:r w:rsidR="006C0664">
        <w:rPr>
          <w:rFonts w:hint="cs"/>
          <w:rtl/>
        </w:rPr>
        <w:t>"</w:t>
      </w:r>
      <w:r w:rsidR="006C0664">
        <w:rPr>
          <w:rtl/>
        </w:rPr>
        <w:t>וְהָיָה הַיּוֹצֵא אֲשֶׁר יֵצֵא מִדַּלְתֵי בֵיתִי לִקְרָאתִי בְּשׁוּבִי בְשָׁלוֹם מִבְּנֵי עַמּוֹן וְהָיָה לַ</w:t>
      </w:r>
      <w:r w:rsidR="006C0664">
        <w:rPr>
          <w:rFonts w:hint="cs"/>
          <w:rtl/>
        </w:rPr>
        <w:t>ה'</w:t>
      </w:r>
      <w:r w:rsidR="006C0664">
        <w:rPr>
          <w:rtl/>
        </w:rPr>
        <w:t xml:space="preserve"> וְהַעֲלִיתִהוּ עוֹלָה</w:t>
      </w:r>
      <w:r w:rsidR="006C0664">
        <w:rPr>
          <w:rFonts w:hint="cs"/>
          <w:rtl/>
        </w:rPr>
        <w:t>" (</w:t>
      </w:r>
      <w:r w:rsidR="006C0664">
        <w:rPr>
          <w:rtl/>
        </w:rPr>
        <w:t>שופטים יא לא</w:t>
      </w:r>
      <w:r w:rsidR="006C0664">
        <w:rPr>
          <w:rFonts w:hint="cs"/>
          <w:rtl/>
        </w:rPr>
        <w:t>) -</w:t>
      </w:r>
      <w:r w:rsidR="006C0664">
        <w:rPr>
          <w:rtl/>
        </w:rPr>
        <w:t xml:space="preserve"> </w:t>
      </w:r>
      <w:r>
        <w:rPr>
          <w:rtl/>
        </w:rPr>
        <w:t>יכול אפילו דבר טמא</w:t>
      </w:r>
      <w:r w:rsidR="006C0664">
        <w:rPr>
          <w:rFonts w:hint="cs"/>
          <w:rtl/>
        </w:rPr>
        <w:t>?</w:t>
      </w:r>
      <w:r>
        <w:rPr>
          <w:rtl/>
        </w:rPr>
        <w:t xml:space="preserve"> השיבו שלא כהוגן - נזדמנה לו בתו. והיינו דקאמר להו נביא לישראל: </w:t>
      </w:r>
      <w:r w:rsidR="006C0664">
        <w:rPr>
          <w:rFonts w:hint="cs"/>
          <w:rtl/>
        </w:rPr>
        <w:t>"</w:t>
      </w:r>
      <w:r w:rsidR="006C0664">
        <w:rPr>
          <w:rtl/>
        </w:rPr>
        <w:t>הַצֳרִי אֵין בְּגִלְעָד אִם־רֹפֵא אֵין שָׁם כִּי מַדּוּעַ לֹא עָלְתָה אֲרֻכַת בַּת־עַמִּי</w:t>
      </w:r>
      <w:r w:rsidR="006C0664">
        <w:rPr>
          <w:rFonts w:hint="cs"/>
          <w:rtl/>
        </w:rPr>
        <w:t>" (</w:t>
      </w:r>
      <w:r w:rsidR="006C0664">
        <w:rPr>
          <w:rtl/>
        </w:rPr>
        <w:t>ירמיהו ח כב</w:t>
      </w:r>
      <w:r w:rsidR="006C0664">
        <w:rPr>
          <w:rFonts w:hint="cs"/>
          <w:rtl/>
        </w:rPr>
        <w:t>).</w:t>
      </w:r>
      <w:r w:rsidR="006C0664">
        <w:rPr>
          <w:rStyle w:val="a5"/>
          <w:rtl/>
        </w:rPr>
        <w:footnoteReference w:id="13"/>
      </w:r>
      <w:r w:rsidR="006C0664">
        <w:rPr>
          <w:rtl/>
        </w:rPr>
        <w:t xml:space="preserve"> </w:t>
      </w:r>
      <w:r>
        <w:rPr>
          <w:rtl/>
        </w:rPr>
        <w:t>וכתיב</w:t>
      </w:r>
      <w:r w:rsidR="006C0664">
        <w:rPr>
          <w:rFonts w:hint="cs"/>
          <w:rtl/>
        </w:rPr>
        <w:t>:</w:t>
      </w:r>
      <w:r>
        <w:rPr>
          <w:rtl/>
        </w:rPr>
        <w:t xml:space="preserve"> </w:t>
      </w:r>
      <w:r w:rsidR="00E93972">
        <w:rPr>
          <w:rFonts w:hint="cs"/>
          <w:rtl/>
        </w:rPr>
        <w:t>"</w:t>
      </w:r>
      <w:r>
        <w:rPr>
          <w:rtl/>
        </w:rPr>
        <w:t>אשר לא צויתי ולא דברתי ולא עלתה על לבי</w:t>
      </w:r>
      <w:r w:rsidR="00E93972">
        <w:rPr>
          <w:rFonts w:hint="cs"/>
          <w:rtl/>
        </w:rPr>
        <w:t>"</w:t>
      </w:r>
      <w:r>
        <w:rPr>
          <w:rtl/>
        </w:rPr>
        <w:t>. אשר לא צויתי - זה בנו של מישע מלך מואב, שנאמר ויקח את בנו הבכור אשר ימלך תחתיו ויעלהו ע</w:t>
      </w:r>
      <w:r w:rsidR="00E93972">
        <w:rPr>
          <w:rFonts w:hint="cs"/>
          <w:rtl/>
        </w:rPr>
        <w:t>ו</w:t>
      </w:r>
      <w:r>
        <w:rPr>
          <w:rtl/>
        </w:rPr>
        <w:t>לה, ולא דברתי - זה יפתח, ולא עלתה על לבי - זה יצחק בן אברהם.</w:t>
      </w:r>
      <w:r w:rsidR="00C158C7">
        <w:rPr>
          <w:rStyle w:val="a5"/>
          <w:rtl/>
        </w:rPr>
        <w:footnoteReference w:id="14"/>
      </w:r>
      <w:r>
        <w:rPr>
          <w:rtl/>
        </w:rPr>
        <w:t xml:space="preserve"> </w:t>
      </w:r>
    </w:p>
    <w:p w14:paraId="5277FE74" w14:textId="77777777" w:rsidR="00D257E1" w:rsidRDefault="005D2A7F" w:rsidP="00C158C7">
      <w:pPr>
        <w:pStyle w:val="ad"/>
        <w:spacing w:before="240"/>
        <w:rPr>
          <w:rFonts w:hint="cs"/>
          <w:rtl/>
        </w:rPr>
      </w:pPr>
      <w:r w:rsidRPr="00E43532">
        <w:rPr>
          <w:rtl/>
        </w:rPr>
        <w:t>שבת שלום</w:t>
      </w:r>
    </w:p>
    <w:p w14:paraId="606985A6" w14:textId="77777777" w:rsidR="005D2A7F" w:rsidRDefault="005D2A7F" w:rsidP="00B93FC7">
      <w:pPr>
        <w:pStyle w:val="ad"/>
        <w:rPr>
          <w:rFonts w:hint="cs"/>
          <w:rtl/>
        </w:rPr>
      </w:pPr>
      <w:r w:rsidRPr="00E43532">
        <w:rPr>
          <w:rtl/>
        </w:rPr>
        <w:t>מחלקי המים</w:t>
      </w:r>
    </w:p>
    <w:p w14:paraId="4B392585" w14:textId="77777777" w:rsidR="00E92E56" w:rsidRDefault="00E92E56" w:rsidP="00B93FC7">
      <w:pPr>
        <w:pStyle w:val="ad"/>
        <w:rPr>
          <w:rFonts w:hint="cs"/>
          <w:rtl/>
        </w:rPr>
      </w:pPr>
    </w:p>
    <w:sectPr w:rsidR="00E92E56" w:rsidSect="00D10AB8">
      <w:headerReference w:type="default" r:id="rId11"/>
      <w:footerReference w:type="default" r:id="rId12"/>
      <w:headerReference w:type="first" r:id="rId13"/>
      <w:pgSz w:w="11907" w:h="16840" w:code="9"/>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83FF8" w14:textId="77777777" w:rsidR="00D66CA4" w:rsidRDefault="00D66CA4">
      <w:r>
        <w:separator/>
      </w:r>
    </w:p>
  </w:endnote>
  <w:endnote w:type="continuationSeparator" w:id="0">
    <w:p w14:paraId="2AE5487B" w14:textId="77777777" w:rsidR="00D66CA4" w:rsidRDefault="00D6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AE61" w14:textId="77777777" w:rsidR="00EB2DBB" w:rsidRPr="00F8747C" w:rsidRDefault="00EB2DBB"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93972">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93972">
      <w:rPr>
        <w:rStyle w:val="af"/>
        <w:noProof/>
        <w:rtl/>
      </w:rPr>
      <w:t>3</w:t>
    </w:r>
    <w:r w:rsidRPr="00F8747C">
      <w:rPr>
        <w:rStyle w:val="af"/>
      </w:rPr>
      <w:fldChar w:fldCharType="end"/>
    </w:r>
  </w:p>
  <w:p w14:paraId="0AFA8467" w14:textId="77777777" w:rsidR="00EB2DBB" w:rsidRPr="00827984" w:rsidRDefault="00EB2DBB"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A9D48" w14:textId="77777777" w:rsidR="00D66CA4" w:rsidRDefault="00D66CA4">
      <w:r>
        <w:rPr>
          <w:rFonts w:cs="Miriam"/>
        </w:rPr>
        <w:separator/>
      </w:r>
    </w:p>
  </w:footnote>
  <w:footnote w:type="continuationSeparator" w:id="0">
    <w:p w14:paraId="1F6DBA1C" w14:textId="77777777" w:rsidR="00D66CA4" w:rsidRDefault="00D66CA4">
      <w:r>
        <w:continuationSeparator/>
      </w:r>
    </w:p>
  </w:footnote>
  <w:footnote w:id="1">
    <w:p w14:paraId="211E3A58" w14:textId="77777777" w:rsidR="00C118F7" w:rsidRDefault="00C118F7">
      <w:pPr>
        <w:pStyle w:val="a3"/>
        <w:rPr>
          <w:rFonts w:hint="cs"/>
          <w:rtl/>
        </w:rPr>
      </w:pPr>
      <w:r>
        <w:rPr>
          <w:rStyle w:val="a5"/>
        </w:rPr>
        <w:footnoteRef/>
      </w:r>
      <w:r>
        <w:rPr>
          <w:rtl/>
        </w:rPr>
        <w:t xml:space="preserve"> </w:t>
      </w:r>
      <w:r>
        <w:rPr>
          <w:rFonts w:hint="cs"/>
          <w:rtl/>
        </w:rPr>
        <w:t>כפשוטו, פסוק זה והבאים אחריו, באים להורות דיני נדרים ושבועות, כולל החובה לקיימם: "לא יחל דברו, ככל היוצא מפיו יעשה", בלי לחוות דעה אם דבר זה הוא רצוי או לא, חיובי או שלילי. מדרש ספרי על הפסוק וכן פרשני המקרא נדרשים לפרטי הלכות הנלמדים מפסוק זה (והבאים אחריו): רש"י נדרש לנושא מי שנודר או נשבע נגד מצוות התורה, רמב"ן מרחיב ומעיר על רש"י וגם מוצא במילים: "לא יחל דברו" רמז להלכות היתר נדרים שעליו אמרו חז"ל שהן "פורחים באוויר" (</w:t>
      </w:r>
      <w:r w:rsidR="00206E9C">
        <w:rPr>
          <w:rFonts w:hint="cs"/>
          <w:rtl/>
        </w:rPr>
        <w:t>חגיגה פרק א משנה ח), רשב"ם מתעכב על כך שפרשה זו לא מתחילה באופן הרגיל: "וידבר ה' אל משה לאמר".</w:t>
      </w:r>
      <w:r w:rsidR="00F42297">
        <w:rPr>
          <w:rFonts w:hint="cs"/>
          <w:rtl/>
        </w:rPr>
        <w:t xml:space="preserve"> ואנו נלך בדרך המדרשים.</w:t>
      </w:r>
      <w:r w:rsidR="00206E9C">
        <w:rPr>
          <w:rFonts w:hint="cs"/>
          <w:rtl/>
        </w:rPr>
        <w:t xml:space="preserve"> </w:t>
      </w:r>
      <w:r>
        <w:rPr>
          <w:rFonts w:hint="cs"/>
          <w:rtl/>
        </w:rPr>
        <w:t xml:space="preserve"> </w:t>
      </w:r>
    </w:p>
  </w:footnote>
  <w:footnote w:id="2">
    <w:p w14:paraId="1FB11092" w14:textId="77777777" w:rsidR="00206E9C" w:rsidRDefault="00206E9C">
      <w:pPr>
        <w:pStyle w:val="a3"/>
        <w:rPr>
          <w:rFonts w:hint="cs"/>
          <w:rtl/>
        </w:rPr>
      </w:pPr>
      <w:r>
        <w:rPr>
          <w:rStyle w:val="a5"/>
        </w:rPr>
        <w:footnoteRef/>
      </w:r>
      <w:r>
        <w:rPr>
          <w:rtl/>
        </w:rPr>
        <w:t xml:space="preserve"> שטר ושוברו בצידו. להלכה, שבועה ונדר שמקיימים אותם ואין "פרוצים בהם" הם דבר חיובי. "נדרי לה' אשלם" "לך ישולם נדר" ורבים אחרים בפרט ב</w:t>
      </w:r>
      <w:r w:rsidR="00560DB2">
        <w:rPr>
          <w:rFonts w:hint="cs"/>
          <w:rtl/>
        </w:rPr>
        <w:t xml:space="preserve">ספר </w:t>
      </w:r>
      <w:r>
        <w:rPr>
          <w:rtl/>
        </w:rPr>
        <w:t>תהלים. אבל למעשה, מי יכול להגיד על עצמו שהוא "ירא אלהים" כאברהם ויוסף, או: "איש תם וישר" כאיוב?</w:t>
      </w:r>
    </w:p>
  </w:footnote>
  <w:footnote w:id="3">
    <w:p w14:paraId="66D57945" w14:textId="77777777" w:rsidR="00206E9C" w:rsidRDefault="00206E9C" w:rsidP="00560DB2">
      <w:pPr>
        <w:pStyle w:val="a3"/>
        <w:rPr>
          <w:rFonts w:hint="cs"/>
          <w:rtl/>
        </w:rPr>
      </w:pPr>
      <w:r>
        <w:rPr>
          <w:rStyle w:val="a5"/>
        </w:rPr>
        <w:footnoteRef/>
      </w:r>
      <w:r>
        <w:rPr>
          <w:rtl/>
        </w:rPr>
        <w:t xml:space="preserve"> וכן הוא בחולין דף ב ע"א ובספרי דברים על הפסוק: וכי תחדל לנדור. ובהמשך הסוגיה במסכת נדרים שם משמע שגם ר' יהודה המעדיף את הנודר ומשלם מגביל את שיטתו בשני סייגים. ראשית, שיאמר בלשון של נדבה ("הרי זה") ולא של נדר ("הרי עלי"). ושנית, שהביצוע ייעשה בסמוך להקדשה: "מביא אדם כבשתו כשהיא חולין לעזרה ומקדישה וסומך עליה ושוחטה". (שיטת הלל) ובסיס המחלוקת בין ר' מאיר לר' יהודה ה</w:t>
      </w:r>
      <w:r w:rsidR="00560DB2">
        <w:rPr>
          <w:rFonts w:hint="cs"/>
          <w:rtl/>
        </w:rPr>
        <w:t>ו</w:t>
      </w:r>
      <w:r>
        <w:rPr>
          <w:rtl/>
        </w:rPr>
        <w:t>א בפירוש לפסוקים ג ו-ד בפרק ה' בקהלת. ראה רש"י בתחילת מסכת חולין שם.</w:t>
      </w:r>
    </w:p>
  </w:footnote>
  <w:footnote w:id="4">
    <w:p w14:paraId="269A29CE" w14:textId="77777777" w:rsidR="00206E9C" w:rsidRDefault="00206E9C" w:rsidP="00394BF1">
      <w:pPr>
        <w:pStyle w:val="a3"/>
        <w:rPr>
          <w:rFonts w:hint="cs"/>
          <w:rtl/>
        </w:rPr>
      </w:pPr>
      <w:r>
        <w:rPr>
          <w:rStyle w:val="a5"/>
        </w:rPr>
        <w:footnoteRef/>
      </w:r>
      <w:r>
        <w:rPr>
          <w:rtl/>
        </w:rPr>
        <w:t xml:space="preserve"> היפוך השיטות של ר' מאיר ור' יהודה שבירושלמי לעומת הבבלי הוא משמעותי משום הכלל: "ר' מאיר ור' יהודה הלכה כר' יהודה", עליו מסכימים הן הבבלי (עירובין מז' ע"א) והן הירושלמי (תרומות פרק ג'). הירושלמי מחזק </w:t>
      </w:r>
      <w:r w:rsidR="00394BF1">
        <w:rPr>
          <w:rFonts w:hint="cs"/>
          <w:rtl/>
        </w:rPr>
        <w:t>ב</w:t>
      </w:r>
      <w:r>
        <w:rPr>
          <w:rtl/>
        </w:rPr>
        <w:t>דעה שעדיף לנדור ולשלם ע"י הפסוק בתהלים</w:t>
      </w:r>
      <w:r w:rsidR="00394BF1">
        <w:rPr>
          <w:rFonts w:hint="cs"/>
          <w:rtl/>
        </w:rPr>
        <w:t xml:space="preserve"> </w:t>
      </w:r>
      <w:r w:rsidR="00394BF1" w:rsidRPr="00394BF1">
        <w:rPr>
          <w:rtl/>
        </w:rPr>
        <w:t>"נדרו ושלמו לה' אלהיכם"</w:t>
      </w:r>
      <w:r>
        <w:rPr>
          <w:rtl/>
        </w:rPr>
        <w:t xml:space="preserve"> (תהלים כנגד קהלת? דוד כנגד שלמה?) - אך זו דעת ר' מאיר שאין הלכה כמותו. ראה גם ויקרא רבה תחילת פרשה לז שהולך בשיטת הירושלמי (ויקרא רבה הוא מדרש ארץ-ישראלי</w:t>
      </w:r>
      <w:r w:rsidR="00394BF1">
        <w:rPr>
          <w:rFonts w:hint="cs"/>
          <w:rtl/>
        </w:rPr>
        <w:t xml:space="preserve"> שאמון עלי התלמוד הירושלמי</w:t>
      </w:r>
      <w:r>
        <w:rPr>
          <w:rtl/>
        </w:rPr>
        <w:t>). החידוש שם, בהשוואה הן לבבלי והן לירושלמי, הוא שהעצה / מגבלה "מביא אדם כבשתו לעזרה מקדישה ושוחטה" היא לשיטתו של מי שאומר שעדיף לא לנדור כלל. מי שאומר שעדיף לנדור ולשלם אינו זקוק, לפי ויקרא רבה, לשום עצות או הגבלות. שיקיים את נדרו: "מוצא שפתיך תשמור", "לא תאחר לשלמו" ותו לא.</w:t>
      </w:r>
    </w:p>
  </w:footnote>
  <w:footnote w:id="5">
    <w:p w14:paraId="0342803B" w14:textId="77777777" w:rsidR="00C158C7" w:rsidRDefault="00C158C7" w:rsidP="00394BF1">
      <w:pPr>
        <w:pStyle w:val="a3"/>
        <w:rPr>
          <w:rFonts w:hint="cs"/>
          <w:rtl/>
        </w:rPr>
      </w:pPr>
      <w:r>
        <w:rPr>
          <w:rStyle w:val="a5"/>
        </w:rPr>
        <w:footnoteRef/>
      </w:r>
      <w:r>
        <w:rPr>
          <w:rtl/>
        </w:rPr>
        <w:t xml:space="preserve"> מקור זה הוא הצלול ביותר (כנראה היחיד) לדעה שלנדור ולשלם היא הדרגה הנעלה ביותר. בסדר השיטות בין ר' מאיר לר' יהודה הולך </w:t>
      </w:r>
      <w:r w:rsidR="00394BF1">
        <w:rPr>
          <w:rFonts w:hint="cs"/>
          <w:rtl/>
        </w:rPr>
        <w:t xml:space="preserve">מדרש </w:t>
      </w:r>
      <w:r>
        <w:rPr>
          <w:rtl/>
        </w:rPr>
        <w:t>תנחומא כשיטת הבבלי בנדרים לעיל, היינו ר' יהודה, שהלכה כמותו, הוא שמעדיף את הנודר ומשלם. הפסוק בתהלים "נדרו ושלמו" מובא כאן בתוספת ברורה: "נוטל שכר על הנדר ועל השילום". ובנוסף, העצה של "מביא כבשתו לעזרה ושוחטה" היא של ר' מאיר שמעדיף לא לנדור כלל (כמו ויקרא רבה לעיל), לא של ר' יהודה. מעניין שמדרש זה מובא דווקא בפרשת וישלח על הפסוק: "ויאמר אלהים אל יעקב קום עלה בית אל", שם משתמעת ביקורת על יעקב שהתמהמה מלשלם את נדרו שנדר בצאתו לחרן.</w:t>
      </w:r>
      <w:r w:rsidR="00394BF1">
        <w:rPr>
          <w:rFonts w:hint="cs"/>
          <w:rtl/>
        </w:rPr>
        <w:t xml:space="preserve"> ראה דברינו </w:t>
      </w:r>
      <w:hyperlink r:id="rId1" w:history="1">
        <w:r w:rsidR="00394BF1" w:rsidRPr="00394BF1">
          <w:rPr>
            <w:rStyle w:val="Hyperlink"/>
            <w:rFonts w:hint="cs"/>
            <w:rtl/>
          </w:rPr>
          <w:t>קום עלה בית אל</w:t>
        </w:r>
      </w:hyperlink>
      <w:r w:rsidR="00394BF1">
        <w:rPr>
          <w:rFonts w:hint="cs"/>
          <w:rtl/>
        </w:rPr>
        <w:t xml:space="preserve"> בפרשת וישלח.</w:t>
      </w:r>
    </w:p>
  </w:footnote>
  <w:footnote w:id="6">
    <w:p w14:paraId="293E1A59" w14:textId="77777777" w:rsidR="00C158C7" w:rsidRDefault="00C158C7">
      <w:pPr>
        <w:pStyle w:val="a3"/>
        <w:rPr>
          <w:rFonts w:hint="cs"/>
        </w:rPr>
      </w:pPr>
      <w:r>
        <w:rPr>
          <w:rStyle w:val="a5"/>
        </w:rPr>
        <w:footnoteRef/>
      </w:r>
      <w:r>
        <w:rPr>
          <w:rtl/>
        </w:rPr>
        <w:t xml:space="preserve"> </w:t>
      </w:r>
      <w:r>
        <w:rPr>
          <w:rFonts w:hint="cs"/>
          <w:rtl/>
        </w:rPr>
        <w:t xml:space="preserve">בספר דברים חוזר עניין הנדרים בדגש חזק יותר על החובה לקיימו, אבל בתווך, מוצעת גם האפשרות, לכאורה הרצויה ביותר, לחדול לחלוטין מנדר. ועל ציווי זה בפרשת כי תצא הארכנו לדון בדברינו </w:t>
      </w:r>
      <w:hyperlink r:id="rId2" w:history="1">
        <w:r w:rsidRPr="00C158C7">
          <w:rPr>
            <w:rStyle w:val="Hyperlink"/>
            <w:rFonts w:hint="cs"/>
            <w:rtl/>
          </w:rPr>
          <w:t>מוצא שפתיך תשמור ועשית</w:t>
        </w:r>
      </w:hyperlink>
      <w:r>
        <w:rPr>
          <w:rFonts w:hint="cs"/>
          <w:rtl/>
        </w:rPr>
        <w:t>.</w:t>
      </w:r>
    </w:p>
  </w:footnote>
  <w:footnote w:id="7">
    <w:p w14:paraId="4E8583AD" w14:textId="77777777" w:rsidR="00394BF1" w:rsidRDefault="006C0664" w:rsidP="00394BF1">
      <w:pPr>
        <w:pStyle w:val="a3"/>
        <w:rPr>
          <w:rFonts w:hint="cs"/>
          <w:rtl/>
        </w:rPr>
      </w:pPr>
      <w:r>
        <w:rPr>
          <w:rStyle w:val="a5"/>
        </w:rPr>
        <w:footnoteRef/>
      </w:r>
      <w:r>
        <w:rPr>
          <w:rtl/>
        </w:rPr>
        <w:t xml:space="preserve"> וב</w:t>
      </w:r>
      <w:r w:rsidR="00394BF1">
        <w:rPr>
          <w:rFonts w:hint="cs"/>
          <w:rtl/>
        </w:rPr>
        <w:t xml:space="preserve">גמרא </w:t>
      </w:r>
      <w:r>
        <w:rPr>
          <w:rtl/>
        </w:rPr>
        <w:t xml:space="preserve">נדרים כב ע"א: </w:t>
      </w:r>
      <w:r>
        <w:rPr>
          <w:rFonts w:hint="cs"/>
          <w:rtl/>
        </w:rPr>
        <w:t>"</w:t>
      </w:r>
      <w:r>
        <w:rPr>
          <w:rtl/>
        </w:rPr>
        <w:t>אמר שמואל: אף על פי שמקיימו - נקרא רשע</w:t>
      </w:r>
      <w:r>
        <w:rPr>
          <w:rFonts w:hint="cs"/>
          <w:rtl/>
        </w:rPr>
        <w:t>"</w:t>
      </w:r>
      <w:r>
        <w:rPr>
          <w:rtl/>
        </w:rPr>
        <w:t>. פסוק זה שבספר דברים והדרשות הרבות שנאמרו עליו הוא המקור הראשי לדעה שמוטב להימנע כליל מנדרים, גם אם מקיימים אותם. ולהלכה נקבע בשו</w:t>
      </w:r>
      <w:r w:rsidR="00394BF1">
        <w:rPr>
          <w:rFonts w:hint="cs"/>
          <w:rtl/>
        </w:rPr>
        <w:t xml:space="preserve">לחן ערוך </w:t>
      </w:r>
      <w:r w:rsidR="00394BF1">
        <w:rPr>
          <w:rtl/>
        </w:rPr>
        <w:t>יורה דעה סימן רג סעיף א</w:t>
      </w:r>
      <w:r w:rsidR="00394BF1">
        <w:rPr>
          <w:rFonts w:hint="cs"/>
          <w:rtl/>
        </w:rPr>
        <w:t>,</w:t>
      </w:r>
      <w:r w:rsidR="00394BF1">
        <w:rPr>
          <w:rtl/>
        </w:rPr>
        <w:t xml:space="preserve"> </w:t>
      </w:r>
      <w:r>
        <w:rPr>
          <w:rtl/>
        </w:rPr>
        <w:t>באופן חד וחלק: "אל תהי רגיל בנדרים. כל הנודר, אף ע"פ שמקיימו, נקרא רשע ונקרא חוטא"</w:t>
      </w:r>
      <w:r w:rsidR="00394BF1">
        <w:rPr>
          <w:rFonts w:hint="cs"/>
          <w:rtl/>
        </w:rPr>
        <w:t>. חוזר למדרש תנחומא בתחילת הדף. אינך ירא ה' ואל תהיה "פרוץ בנדרים" (מסכת דמאי פרק ב משנה ג).</w:t>
      </w:r>
    </w:p>
  </w:footnote>
  <w:footnote w:id="8">
    <w:p w14:paraId="73196F4B" w14:textId="77777777" w:rsidR="00394BF1" w:rsidRDefault="00394BF1" w:rsidP="00394BF1">
      <w:pPr>
        <w:pStyle w:val="a3"/>
        <w:rPr>
          <w:rFonts w:hint="cs"/>
          <w:rtl/>
        </w:rPr>
      </w:pPr>
      <w:r>
        <w:rPr>
          <w:rStyle w:val="a5"/>
        </w:rPr>
        <w:footnoteRef/>
      </w:r>
      <w:r>
        <w:rPr>
          <w:rtl/>
        </w:rPr>
        <w:t xml:space="preserve"> </w:t>
      </w:r>
      <w:r>
        <w:rPr>
          <w:rFonts w:hint="cs"/>
          <w:rtl/>
        </w:rPr>
        <w:t>ונדבה הוא בד"כ ע"י נדר או הקדשה שהוא סוג של התחייבות ו"מוצא שפתיים" אם לא נדר ממש. ראה שוב שיטת ר' יהודה ור' מאיר עפ"י המקורות השונים והצעת הפשרה: "</w:t>
      </w:r>
      <w:r>
        <w:rPr>
          <w:rtl/>
        </w:rPr>
        <w:t>מביא אדם כבשתו לעזרה מקדישה ושוחטה</w:t>
      </w:r>
      <w:r>
        <w:rPr>
          <w:rFonts w:hint="cs"/>
          <w:rtl/>
        </w:rPr>
        <w:t>".</w:t>
      </w:r>
    </w:p>
  </w:footnote>
  <w:footnote w:id="9">
    <w:p w14:paraId="31CF7C38" w14:textId="77777777" w:rsidR="00394BF1" w:rsidRDefault="00394BF1" w:rsidP="00AD0630">
      <w:pPr>
        <w:pStyle w:val="a3"/>
        <w:rPr>
          <w:rFonts w:hint="cs"/>
        </w:rPr>
      </w:pPr>
      <w:r>
        <w:rPr>
          <w:rStyle w:val="a5"/>
        </w:rPr>
        <w:footnoteRef/>
      </w:r>
      <w:r>
        <w:rPr>
          <w:rtl/>
        </w:rPr>
        <w:t xml:space="preserve"> </w:t>
      </w:r>
      <w:r>
        <w:rPr>
          <w:rFonts w:hint="cs"/>
          <w:rtl/>
        </w:rPr>
        <w:t>מכל זה משתמע שלנדור איננו דבר שלילי</w:t>
      </w:r>
      <w:r w:rsidR="00AD0630">
        <w:rPr>
          <w:rFonts w:hint="cs"/>
          <w:rtl/>
        </w:rPr>
        <w:t xml:space="preserve"> ואפילו רצוי</w:t>
      </w:r>
      <w:r>
        <w:rPr>
          <w:rFonts w:hint="cs"/>
          <w:rtl/>
        </w:rPr>
        <w:t xml:space="preserve">. תוספת הפסוק האחרון שרמב"ן מביא היא אולי </w:t>
      </w:r>
      <w:r w:rsidR="00AD0630">
        <w:rPr>
          <w:rFonts w:hint="cs"/>
          <w:rtl/>
        </w:rPr>
        <w:t>בשל הסיומת: "נגדה נא לכל עמו", היינו מתן פומבי למי שמקיים את נדרו ומביא לבית המקדש את אשר נדר. אז בוודאי שאיננו "חוטא" או רשע". אז מה נעשה עם הפסוקים הנ"ל מספר דברים?</w:t>
      </w:r>
    </w:p>
  </w:footnote>
  <w:footnote w:id="10">
    <w:p w14:paraId="7FDD4070" w14:textId="77777777" w:rsidR="00FF08E0" w:rsidRDefault="00FF08E0">
      <w:pPr>
        <w:pStyle w:val="a3"/>
        <w:rPr>
          <w:rFonts w:hint="cs"/>
          <w:rtl/>
        </w:rPr>
      </w:pPr>
      <w:r>
        <w:rPr>
          <w:rStyle w:val="a5"/>
        </w:rPr>
        <w:footnoteRef/>
      </w:r>
      <w:r>
        <w:rPr>
          <w:rtl/>
        </w:rPr>
        <w:t xml:space="preserve"> </w:t>
      </w:r>
      <w:r>
        <w:rPr>
          <w:rFonts w:hint="cs"/>
          <w:rtl/>
        </w:rPr>
        <w:t>אחרי כל השבח של הנודר ומקיים וכח "זירוז במצווה" החיובי שיש בנדר, בא ספר דברים ומציג את המורכבות של הנדר. את כוחו לזרז במצוות אבל גם פוטנציאל החטא שבו והחשש ממעידה. רמב"ן הולך עם פסוקי התורה הנ"ל צעד אחר צעד ומכניס את הקורא לרוח הפסוקים. פסוק כב: "</w:t>
      </w:r>
      <w:r w:rsidRPr="009F5F2D">
        <w:rPr>
          <w:rStyle w:val="af2"/>
          <w:b w:val="0"/>
          <w:bCs w:val="0"/>
          <w:rtl/>
        </w:rPr>
        <w:t>כִּי תִדֹּר נֶדֶר לַה' אֱלֹהֶיךָ לֹא תְאַחֵר לְשַׁלְּמוֹ כִּי דָרֹשׁ יִדְרְשֶׁנּוּ ה' אֱלֹהֶיךָ מֵעִמָּךְ וְהָיָה בְךָ חֵטְא</w:t>
      </w:r>
      <w:r>
        <w:rPr>
          <w:rStyle w:val="af2"/>
          <w:rFonts w:hint="cs"/>
          <w:b w:val="0"/>
          <w:bCs w:val="0"/>
          <w:rtl/>
        </w:rPr>
        <w:t xml:space="preserve">" אינו פוסל את הנודר, אבל בא להזהירו </w:t>
      </w:r>
      <w:r>
        <w:rPr>
          <w:rFonts w:hint="cs"/>
          <w:rtl/>
        </w:rPr>
        <w:t xml:space="preserve">מהחשש לחטא ומעידה. הזירוז של הנדר הפך לזהירות ממנו. "כי תידור" </w:t>
      </w:r>
      <w:r>
        <w:rPr>
          <w:rtl/>
        </w:rPr>
        <w:t>–</w:t>
      </w:r>
      <w:r>
        <w:rPr>
          <w:rFonts w:hint="cs"/>
          <w:rtl/>
        </w:rPr>
        <w:t xml:space="preserve"> משמע אין חובה, "והיה בך חטא" </w:t>
      </w:r>
      <w:r>
        <w:rPr>
          <w:rtl/>
        </w:rPr>
        <w:t>–</w:t>
      </w:r>
      <w:r>
        <w:rPr>
          <w:rFonts w:hint="cs"/>
          <w:rtl/>
        </w:rPr>
        <w:t xml:space="preserve"> משמע סכנה. תערוך את זה כנגד זה.</w:t>
      </w:r>
      <w:r>
        <w:rPr>
          <w:rStyle w:val="af2"/>
          <w:rFonts w:hint="cs"/>
          <w:b w:val="0"/>
          <w:bCs w:val="0"/>
          <w:rtl/>
        </w:rPr>
        <w:t xml:space="preserve"> בא הפסוק השני ומטה את הכף באופן ברור כנגד הנדר</w:t>
      </w:r>
      <w:r w:rsidRPr="009F5F2D">
        <w:rPr>
          <w:rStyle w:val="af2"/>
          <w:b w:val="0"/>
          <w:bCs w:val="0"/>
          <w:rtl/>
        </w:rPr>
        <w:t xml:space="preserve">: </w:t>
      </w:r>
      <w:r>
        <w:rPr>
          <w:rStyle w:val="af2"/>
          <w:rFonts w:hint="cs"/>
          <w:b w:val="0"/>
          <w:bCs w:val="0"/>
          <w:rtl/>
        </w:rPr>
        <w:t>"</w:t>
      </w:r>
      <w:r w:rsidRPr="009F5F2D">
        <w:rPr>
          <w:rStyle w:val="af2"/>
          <w:b w:val="0"/>
          <w:bCs w:val="0"/>
          <w:rtl/>
        </w:rPr>
        <w:t>וְכִי תֶחְדַּל לִנְדֹּר לֹא יִהְיֶה בְךָ חֵטְא</w:t>
      </w:r>
      <w:r>
        <w:rPr>
          <w:rStyle w:val="af2"/>
          <w:rFonts w:hint="cs"/>
          <w:b w:val="0"/>
          <w:bCs w:val="0"/>
          <w:rtl/>
        </w:rPr>
        <w:t>", אבל לא פוסל לגמרי. בא השלישי וחותם</w:t>
      </w:r>
      <w:r w:rsidRPr="009F5F2D">
        <w:rPr>
          <w:rStyle w:val="af2"/>
          <w:b w:val="0"/>
          <w:bCs w:val="0"/>
          <w:rtl/>
        </w:rPr>
        <w:t xml:space="preserve">: </w:t>
      </w:r>
      <w:r>
        <w:rPr>
          <w:rStyle w:val="af2"/>
          <w:rFonts w:hint="cs"/>
          <w:b w:val="0"/>
          <w:bCs w:val="0"/>
          <w:rtl/>
        </w:rPr>
        <w:t>"</w:t>
      </w:r>
      <w:r w:rsidRPr="009F5F2D">
        <w:rPr>
          <w:rStyle w:val="af2"/>
          <w:b w:val="0"/>
          <w:bCs w:val="0"/>
          <w:rtl/>
        </w:rPr>
        <w:t>מוֹצָא שְׂפָתֶיךָ תִּשְׁמֹר וְעָשִׂיתָ כַּאֲשֶׁר נָדַרְתָּ לַה' אֱלֹהֶיךָ נְדָבָה אֲשֶׁר דִּבַּרְתָּ בְּפִיךָ</w:t>
      </w:r>
      <w:r>
        <w:rPr>
          <w:rStyle w:val="af2"/>
          <w:rFonts w:hint="cs"/>
          <w:b w:val="0"/>
          <w:bCs w:val="0"/>
          <w:rtl/>
        </w:rPr>
        <w:t xml:space="preserve">" ומטה את הכף מעט חזרה, גם אם לא לרוח החיובית של דברי רמב"ן בתחילת פירושו. </w:t>
      </w:r>
      <w:r>
        <w:rPr>
          <w:rFonts w:hint="cs"/>
          <w:rtl/>
        </w:rPr>
        <w:t xml:space="preserve">אז עם מה נשארנו? מה בעצם מצפה מאיתנו התורה בפסוקים אלה? אולי לא בכדי נחלקו בנושא נכבד זה ר' מאיר ור' יהודה ולא בכדי מובאות דעותיהם במקורות שונים בהיפוך. לנו נראה שרמב"ן מצפה שהאדם גם אם לא היה "ירא </w:t>
      </w:r>
      <w:r>
        <w:rPr>
          <w:rtl/>
        </w:rPr>
        <w:t>אלהים" כאברהם ויוסף, או: "איש תם וישר" כאיוב</w:t>
      </w:r>
      <w:r>
        <w:rPr>
          <w:rFonts w:hint="cs"/>
          <w:rtl/>
        </w:rPr>
        <w:t>, עדיין יהיה אדם היודע לעמוד בדיבורו</w:t>
      </w:r>
      <w:r>
        <w:rPr>
          <w:rFonts w:hint="cs"/>
          <w:rtl/>
          <w:lang w:val="en-GB"/>
        </w:rPr>
        <w:t xml:space="preserve">. אדם שיודע לשמור מוצא פיו, שהרי לא הכל נדרים ושבועות. יש גם מחויבות בדיבור רגיל, בהבטחה, בתקיעת כף, בחוזה שאדם חתם עליו. ההימנעות מנדרים ושבועות במשמעותם ההלכתית היא פתרון חלקי. </w:t>
      </w:r>
      <w:r w:rsidRPr="00FF08E0">
        <w:rPr>
          <w:rtl/>
        </w:rPr>
        <w:t xml:space="preserve">אפילו לא תקריב קרבן כל ימיך </w:t>
      </w:r>
      <w:r>
        <w:rPr>
          <w:rFonts w:hint="cs"/>
          <w:rtl/>
        </w:rPr>
        <w:t xml:space="preserve">- </w:t>
      </w:r>
      <w:r w:rsidRPr="00FF08E0">
        <w:rPr>
          <w:rtl/>
        </w:rPr>
        <w:t>לא יהיה בך חטא</w:t>
      </w:r>
      <w:r w:rsidRPr="00FF08E0">
        <w:rPr>
          <w:rFonts w:hint="cs"/>
          <w:rtl/>
        </w:rPr>
        <w:t>.</w:t>
      </w:r>
      <w:r w:rsidRPr="00FF08E0">
        <w:rPr>
          <w:rtl/>
        </w:rPr>
        <w:t xml:space="preserve"> </w:t>
      </w:r>
      <w:r>
        <w:rPr>
          <w:rFonts w:hint="cs"/>
          <w:rtl/>
        </w:rPr>
        <w:t>אבל מה כן תעשה? "</w:t>
      </w:r>
      <w:r w:rsidRPr="00FF08E0">
        <w:rPr>
          <w:rtl/>
        </w:rPr>
        <w:t>תשמור מוצא שפתיך כאשר תוציא הדבר מפיך, ועשית אחרי כן כאשר דברת, להשלים כל אשר נדבה רוחך להוציא מפיך</w:t>
      </w:r>
      <w:r>
        <w:rPr>
          <w:rFonts w:hint="cs"/>
          <w:rtl/>
        </w:rPr>
        <w:t>".</w:t>
      </w:r>
    </w:p>
  </w:footnote>
  <w:footnote w:id="11">
    <w:p w14:paraId="65FE0F8E" w14:textId="77777777" w:rsidR="00C158C7" w:rsidRDefault="00C158C7">
      <w:pPr>
        <w:pStyle w:val="a3"/>
        <w:rPr>
          <w:rFonts w:hint="cs"/>
          <w:rtl/>
        </w:rPr>
      </w:pPr>
      <w:r>
        <w:rPr>
          <w:rStyle w:val="a5"/>
        </w:rPr>
        <w:footnoteRef/>
      </w:r>
      <w:r>
        <w:rPr>
          <w:rtl/>
        </w:rPr>
        <w:t xml:space="preserve"> </w:t>
      </w:r>
      <w:r>
        <w:rPr>
          <w:rFonts w:hint="cs"/>
          <w:rtl/>
        </w:rPr>
        <w:t>ר' עקיבא רואה בנדר סייג לפרישות. נדרים המגבילים את האדם מהנאות, יסייעו לחיי פרישות וצניעות. זו, אולי אחת האמירות החיוביות לגבי נדרים. אבל מנגד עומדים דברי הגמרא ב</w:t>
      </w:r>
      <w:r>
        <w:rPr>
          <w:rtl/>
        </w:rPr>
        <w:t>נדרים כ ע</w:t>
      </w:r>
      <w:r>
        <w:rPr>
          <w:rFonts w:hint="cs"/>
          <w:rtl/>
        </w:rPr>
        <w:t>"א, שמצטטת מקור תנאי: "</w:t>
      </w:r>
      <w:r>
        <w:rPr>
          <w:rtl/>
        </w:rPr>
        <w:t>תנא: לעולם אל תהי רגיל בנדרים, שסופך למעול בשבועות; ואל תהי רגיל אצל עם הארץ שסופך להאכילך טבלים; אל תהי רגיל אצל כהן עם הארץ, שסופך להאכילך תרומה</w:t>
      </w:r>
      <w:r>
        <w:rPr>
          <w:rFonts w:hint="cs"/>
          <w:rtl/>
        </w:rPr>
        <w:t>". הרי שהסייג הוא לא לנדור, אלא דווקא להימנע מנדרים.</w:t>
      </w:r>
      <w:r w:rsidR="00394BF1">
        <w:rPr>
          <w:rFonts w:hint="cs"/>
          <w:rtl/>
        </w:rPr>
        <w:t xml:space="preserve"> ראה דברינו </w:t>
      </w:r>
      <w:hyperlink r:id="rId3" w:history="1">
        <w:r w:rsidR="00394BF1" w:rsidRPr="00394BF1">
          <w:rPr>
            <w:rStyle w:val="Hyperlink"/>
            <w:rFonts w:hint="cs"/>
            <w:rtl/>
          </w:rPr>
          <w:t>עשו סייג לתורה</w:t>
        </w:r>
      </w:hyperlink>
      <w:r w:rsidR="00394BF1">
        <w:rPr>
          <w:rFonts w:hint="cs"/>
          <w:rtl/>
        </w:rPr>
        <w:t xml:space="preserve"> בדפים המיוחדים.</w:t>
      </w:r>
    </w:p>
  </w:footnote>
  <w:footnote w:id="12">
    <w:p w14:paraId="5EA7B8FD" w14:textId="77777777" w:rsidR="00FF08E0" w:rsidRDefault="00FF08E0">
      <w:pPr>
        <w:pStyle w:val="a3"/>
        <w:rPr>
          <w:rFonts w:hint="cs"/>
          <w:rtl/>
        </w:rPr>
      </w:pPr>
      <w:r>
        <w:rPr>
          <w:rStyle w:val="a5"/>
        </w:rPr>
        <w:footnoteRef/>
      </w:r>
      <w:r>
        <w:rPr>
          <w:rtl/>
        </w:rPr>
        <w:t xml:space="preserve"> </w:t>
      </w:r>
      <w:r>
        <w:rPr>
          <w:rFonts w:hint="cs"/>
          <w:rtl/>
        </w:rPr>
        <w:t xml:space="preserve">ראה דברינו </w:t>
      </w:r>
      <w:hyperlink r:id="rId4" w:history="1">
        <w:r w:rsidRPr="00FF08E0">
          <w:rPr>
            <w:rStyle w:val="Hyperlink"/>
            <w:rFonts w:hint="cs"/>
            <w:rtl/>
          </w:rPr>
          <w:t>נחש אליעזר</w:t>
        </w:r>
      </w:hyperlink>
      <w:r>
        <w:rPr>
          <w:rFonts w:hint="cs"/>
          <w:rtl/>
        </w:rPr>
        <w:t xml:space="preserve"> </w:t>
      </w:r>
      <w:r w:rsidR="00E93972">
        <w:rPr>
          <w:rFonts w:hint="cs"/>
          <w:rtl/>
        </w:rPr>
        <w:t xml:space="preserve">וגם </w:t>
      </w:r>
      <w:hyperlink r:id="rId5" w:history="1">
        <w:r w:rsidR="00E93972" w:rsidRPr="00E93972">
          <w:rPr>
            <w:rStyle w:val="Hyperlink"/>
            <w:rFonts w:hint="cs"/>
            <w:rtl/>
          </w:rPr>
          <w:t>הקרה נא לפני</w:t>
        </w:r>
      </w:hyperlink>
      <w:r w:rsidR="00E93972">
        <w:rPr>
          <w:rFonts w:hint="cs"/>
          <w:rtl/>
        </w:rPr>
        <w:t xml:space="preserve"> </w:t>
      </w:r>
      <w:r>
        <w:rPr>
          <w:rFonts w:hint="cs"/>
          <w:rtl/>
        </w:rPr>
        <w:t>בפרשת חיי שרה.</w:t>
      </w:r>
    </w:p>
  </w:footnote>
  <w:footnote w:id="13">
    <w:p w14:paraId="6370AC28" w14:textId="77777777" w:rsidR="006C0664" w:rsidRPr="006C0664" w:rsidRDefault="006C0664" w:rsidP="006C0664">
      <w:pPr>
        <w:pStyle w:val="a3"/>
        <w:rPr>
          <w:rFonts w:hint="cs"/>
        </w:rPr>
      </w:pPr>
      <w:r>
        <w:rPr>
          <w:rStyle w:val="a5"/>
        </w:rPr>
        <w:footnoteRef/>
      </w:r>
      <w:r>
        <w:rPr>
          <w:rtl/>
        </w:rPr>
        <w:t xml:space="preserve"> </w:t>
      </w:r>
      <w:r>
        <w:rPr>
          <w:rFonts w:hint="cs"/>
          <w:rtl/>
        </w:rPr>
        <w:t>הצרי, המרפא והארוכה לבת עמי, הם היכולת להפר את הנדר ע"י חכם ואת זאת לא עשו, בשל משחקי כבוד, כפי שהארכנו, כאמור לדון ב</w:t>
      </w:r>
      <w:r w:rsidRPr="006C0664">
        <w:rPr>
          <w:rFonts w:hint="cs"/>
          <w:rtl/>
        </w:rPr>
        <w:t xml:space="preserve">דברינו </w:t>
      </w:r>
      <w:hyperlink r:id="rId6" w:history="1">
        <w:r w:rsidRPr="006C0664">
          <w:rPr>
            <w:rStyle w:val="Hyperlink"/>
            <w:rFonts w:hint="cs"/>
            <w:rtl/>
          </w:rPr>
          <w:t>בת יפתח בפרשת בחוקותי</w:t>
        </w:r>
      </w:hyperlink>
      <w:r>
        <w:rPr>
          <w:rFonts w:hint="cs"/>
          <w:rtl/>
        </w:rPr>
        <w:t>.</w:t>
      </w:r>
    </w:p>
  </w:footnote>
  <w:footnote w:id="14">
    <w:p w14:paraId="74896A19" w14:textId="77777777" w:rsidR="00C158C7" w:rsidRDefault="00C158C7" w:rsidP="00E93972">
      <w:pPr>
        <w:pStyle w:val="a3"/>
        <w:rPr>
          <w:rFonts w:hint="cs"/>
          <w:rtl/>
        </w:rPr>
      </w:pPr>
      <w:r>
        <w:rPr>
          <w:rStyle w:val="a5"/>
        </w:rPr>
        <w:footnoteRef/>
      </w:r>
      <w:r>
        <w:rPr>
          <w:rtl/>
        </w:rPr>
        <w:t xml:space="preserve"> </w:t>
      </w:r>
      <w:r w:rsidR="00E93972">
        <w:rPr>
          <w:rFonts w:hint="cs"/>
          <w:rtl/>
        </w:rPr>
        <w:t>כאן גלשנו לנושא המורכב כאשר המדרש כורך בנשימה אחת את בנו של מישע מלך מואב, בת יפתח ועקידת יצחק! נושא שמחייב עיון נפרד. ניפרד מדף זה ב</w:t>
      </w:r>
      <w:r>
        <w:rPr>
          <w:rFonts w:hint="cs"/>
          <w:rtl/>
        </w:rPr>
        <w:t xml:space="preserve">סיום </w:t>
      </w:r>
      <w:r w:rsidR="00E93972">
        <w:rPr>
          <w:rFonts w:hint="cs"/>
          <w:rtl/>
        </w:rPr>
        <w:t xml:space="preserve">החיובי </w:t>
      </w:r>
      <w:r>
        <w:rPr>
          <w:rFonts w:hint="cs"/>
          <w:rtl/>
        </w:rPr>
        <w:t>שם: "</w:t>
      </w:r>
      <w:r>
        <w:rPr>
          <w:rtl/>
        </w:rPr>
        <w:t>אמר רבי ברכיה: אף כנסת ישראל שאלה שלא כהוגן, והקדוש ברוך הוא השיבה כהוגן, שנאמר</w:t>
      </w:r>
      <w:r>
        <w:rPr>
          <w:rFonts w:hint="cs"/>
          <w:rtl/>
        </w:rPr>
        <w:t>:</w:t>
      </w:r>
      <w:r>
        <w:rPr>
          <w:rtl/>
        </w:rPr>
        <w:t xml:space="preserve"> ונדעה נרדפה לדעת את ה' כשחר נכון מצאו ויבוא כגשם לנו</w:t>
      </w:r>
      <w:r>
        <w:rPr>
          <w:rFonts w:hint="cs"/>
          <w:rtl/>
        </w:rPr>
        <w:t xml:space="preserve"> (הושע ו ג)</w:t>
      </w:r>
      <w:r>
        <w:rPr>
          <w:rtl/>
        </w:rPr>
        <w:t>. אמר לה הקדוש ברוך הוא: בתי, את שואלת דבר שפעמים מתבקש ופעמים אינו מתבקש, אבל אני אהיה לך דבר המתבקש לעולם, שנאמר אהיה כטל לישראל. ועוד שאלה שלא כהוגן, אמרה לפניו: רבונו של עולם, שימני כחותם על לבך כחותם על זרועך. אמר לה הקדוש ברוך הוא: בתי, את שואלת דבר שפעמים נראה ופעמים אינו נראה, אבל אני אעשה לך דבר שנראה לעולם, שנאמר הן על כפים חק</w:t>
      </w:r>
      <w:r>
        <w:rPr>
          <w:rFonts w:hint="cs"/>
          <w:rtl/>
        </w:rPr>
        <w:t>ו</w:t>
      </w:r>
      <w:r>
        <w:rPr>
          <w:rtl/>
        </w:rPr>
        <w:t>תיך</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E517" w14:textId="77777777" w:rsidR="00EB2DBB" w:rsidRPr="00974531" w:rsidRDefault="00EB2DBB" w:rsidP="00B97C36">
    <w:pPr>
      <w:pStyle w:val="1"/>
      <w:tabs>
        <w:tab w:val="clear" w:pos="9469"/>
        <w:tab w:val="right" w:pos="9299"/>
      </w:tabs>
      <w:rPr>
        <w:rFonts w:hint="cs"/>
        <w:sz w:val="28"/>
        <w:rtl/>
      </w:rPr>
    </w:pPr>
    <w:r w:rsidRPr="00974531">
      <w:rPr>
        <w:sz w:val="28"/>
        <w:rtl/>
      </w:rPr>
      <w:t xml:space="preserve">פרשת </w:t>
    </w:r>
    <w:r w:rsidR="004A4164">
      <w:rPr>
        <w:rFonts w:hint="cs"/>
        <w:sz w:val="28"/>
        <w:rtl/>
      </w:rPr>
      <w:t>מטות</w:t>
    </w:r>
    <w:r w:rsidRPr="00974531">
      <w:rPr>
        <w:sz w:val="28"/>
        <w:rtl/>
      </w:rPr>
      <w:tab/>
    </w:r>
    <w:r w:rsidRPr="00974531">
      <w:rPr>
        <w:rFonts w:hint="cs"/>
        <w:sz w:val="28"/>
        <w:rtl/>
      </w:rPr>
      <w:t>תש</w:t>
    </w:r>
    <w:r w:rsidR="002019D7">
      <w:rPr>
        <w:rFonts w:hint="cs"/>
        <w:sz w:val="28"/>
        <w:rtl/>
      </w:rPr>
      <w:t>נ"ט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C57C1" w14:textId="77777777" w:rsidR="00EB2DBB" w:rsidRDefault="00EB2DBB">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254132">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3315DB">
      <w:rPr>
        <w:noProof/>
        <w:szCs w:val="22"/>
        <w:rtl/>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2tzQyNrQwNzQ0NDBR0lEKTi0uzszPAykwrAUAwlLHSywAAAA="/>
  </w:docVars>
  <w:rsids>
    <w:rsidRoot w:val="00974531"/>
    <w:rsid w:val="00034D44"/>
    <w:rsid w:val="00043867"/>
    <w:rsid w:val="00044D17"/>
    <w:rsid w:val="00053162"/>
    <w:rsid w:val="0005341A"/>
    <w:rsid w:val="00054FA8"/>
    <w:rsid w:val="00062F0F"/>
    <w:rsid w:val="000664A0"/>
    <w:rsid w:val="00073ECC"/>
    <w:rsid w:val="00087B09"/>
    <w:rsid w:val="00093492"/>
    <w:rsid w:val="000A5B36"/>
    <w:rsid w:val="000B3B78"/>
    <w:rsid w:val="000B47F5"/>
    <w:rsid w:val="000C67A3"/>
    <w:rsid w:val="000C7109"/>
    <w:rsid w:val="000E655C"/>
    <w:rsid w:val="000F1B82"/>
    <w:rsid w:val="000F2E7E"/>
    <w:rsid w:val="00100782"/>
    <w:rsid w:val="00104991"/>
    <w:rsid w:val="00116D4B"/>
    <w:rsid w:val="001258F3"/>
    <w:rsid w:val="001265BD"/>
    <w:rsid w:val="00135946"/>
    <w:rsid w:val="001416C6"/>
    <w:rsid w:val="00153EEF"/>
    <w:rsid w:val="00170528"/>
    <w:rsid w:val="00175A1B"/>
    <w:rsid w:val="001773A0"/>
    <w:rsid w:val="001974D6"/>
    <w:rsid w:val="001A3041"/>
    <w:rsid w:val="001A6060"/>
    <w:rsid w:val="001B0D4C"/>
    <w:rsid w:val="001B50E7"/>
    <w:rsid w:val="001C2A2A"/>
    <w:rsid w:val="001D1F1E"/>
    <w:rsid w:val="001E6680"/>
    <w:rsid w:val="002019D7"/>
    <w:rsid w:val="00206E9C"/>
    <w:rsid w:val="0021058F"/>
    <w:rsid w:val="00213E12"/>
    <w:rsid w:val="00220878"/>
    <w:rsid w:val="002225BC"/>
    <w:rsid w:val="00226394"/>
    <w:rsid w:val="00226C53"/>
    <w:rsid w:val="0023612C"/>
    <w:rsid w:val="00236967"/>
    <w:rsid w:val="00241FFE"/>
    <w:rsid w:val="002522A2"/>
    <w:rsid w:val="00253DEB"/>
    <w:rsid w:val="00254132"/>
    <w:rsid w:val="00254722"/>
    <w:rsid w:val="0026703E"/>
    <w:rsid w:val="002734EA"/>
    <w:rsid w:val="00273809"/>
    <w:rsid w:val="00293745"/>
    <w:rsid w:val="00297CE2"/>
    <w:rsid w:val="002A1DC0"/>
    <w:rsid w:val="002A2B6F"/>
    <w:rsid w:val="002B1776"/>
    <w:rsid w:val="002B2BC9"/>
    <w:rsid w:val="002C00F8"/>
    <w:rsid w:val="002C232E"/>
    <w:rsid w:val="002D1AB3"/>
    <w:rsid w:val="002D2B00"/>
    <w:rsid w:val="002D32ED"/>
    <w:rsid w:val="002D75F9"/>
    <w:rsid w:val="002D794C"/>
    <w:rsid w:val="002E15E4"/>
    <w:rsid w:val="002F28C2"/>
    <w:rsid w:val="002F3CA3"/>
    <w:rsid w:val="002F6407"/>
    <w:rsid w:val="003048EB"/>
    <w:rsid w:val="00304E21"/>
    <w:rsid w:val="003201C2"/>
    <w:rsid w:val="003315DB"/>
    <w:rsid w:val="0033696C"/>
    <w:rsid w:val="00363688"/>
    <w:rsid w:val="003829A2"/>
    <w:rsid w:val="00385018"/>
    <w:rsid w:val="00394BF1"/>
    <w:rsid w:val="003C27B9"/>
    <w:rsid w:val="003D2F2D"/>
    <w:rsid w:val="003D6594"/>
    <w:rsid w:val="003D79F1"/>
    <w:rsid w:val="003E32B0"/>
    <w:rsid w:val="003E4CA5"/>
    <w:rsid w:val="003F1CEB"/>
    <w:rsid w:val="00401B9A"/>
    <w:rsid w:val="00410A35"/>
    <w:rsid w:val="0041325C"/>
    <w:rsid w:val="00414F62"/>
    <w:rsid w:val="00415810"/>
    <w:rsid w:val="00415FE5"/>
    <w:rsid w:val="00417213"/>
    <w:rsid w:val="00424EE2"/>
    <w:rsid w:val="004261A7"/>
    <w:rsid w:val="00434026"/>
    <w:rsid w:val="004420B1"/>
    <w:rsid w:val="00443A3A"/>
    <w:rsid w:val="00444630"/>
    <w:rsid w:val="004603AF"/>
    <w:rsid w:val="004613CF"/>
    <w:rsid w:val="00463604"/>
    <w:rsid w:val="004671AA"/>
    <w:rsid w:val="00471E33"/>
    <w:rsid w:val="00476D68"/>
    <w:rsid w:val="00476F09"/>
    <w:rsid w:val="004870CD"/>
    <w:rsid w:val="00487E0D"/>
    <w:rsid w:val="004A4164"/>
    <w:rsid w:val="004D3A37"/>
    <w:rsid w:val="004D6191"/>
    <w:rsid w:val="004E27FE"/>
    <w:rsid w:val="004F12D2"/>
    <w:rsid w:val="00514490"/>
    <w:rsid w:val="0051587B"/>
    <w:rsid w:val="00527037"/>
    <w:rsid w:val="00540681"/>
    <w:rsid w:val="005449E6"/>
    <w:rsid w:val="00545816"/>
    <w:rsid w:val="005523B6"/>
    <w:rsid w:val="00552DFD"/>
    <w:rsid w:val="00554CB2"/>
    <w:rsid w:val="00557F81"/>
    <w:rsid w:val="00560DB2"/>
    <w:rsid w:val="00565142"/>
    <w:rsid w:val="005B09BD"/>
    <w:rsid w:val="005C215A"/>
    <w:rsid w:val="005C2795"/>
    <w:rsid w:val="005D2A7F"/>
    <w:rsid w:val="005D62E3"/>
    <w:rsid w:val="005E4B6E"/>
    <w:rsid w:val="005E5CAA"/>
    <w:rsid w:val="005E7E24"/>
    <w:rsid w:val="005F3757"/>
    <w:rsid w:val="00602325"/>
    <w:rsid w:val="00622395"/>
    <w:rsid w:val="00632870"/>
    <w:rsid w:val="006518A4"/>
    <w:rsid w:val="0065606A"/>
    <w:rsid w:val="006564D7"/>
    <w:rsid w:val="00662428"/>
    <w:rsid w:val="00685B6A"/>
    <w:rsid w:val="00690DE3"/>
    <w:rsid w:val="006A063C"/>
    <w:rsid w:val="006C0664"/>
    <w:rsid w:val="006C79C6"/>
    <w:rsid w:val="006E2D27"/>
    <w:rsid w:val="006E6803"/>
    <w:rsid w:val="006E74C1"/>
    <w:rsid w:val="006F0C1A"/>
    <w:rsid w:val="006F270E"/>
    <w:rsid w:val="0070420A"/>
    <w:rsid w:val="0071035B"/>
    <w:rsid w:val="00714E12"/>
    <w:rsid w:val="00722AA7"/>
    <w:rsid w:val="00724C90"/>
    <w:rsid w:val="00733CAD"/>
    <w:rsid w:val="00735A7E"/>
    <w:rsid w:val="00744285"/>
    <w:rsid w:val="00745969"/>
    <w:rsid w:val="007476C1"/>
    <w:rsid w:val="00751B3D"/>
    <w:rsid w:val="00757660"/>
    <w:rsid w:val="00757C2D"/>
    <w:rsid w:val="00765DC4"/>
    <w:rsid w:val="00766293"/>
    <w:rsid w:val="00775761"/>
    <w:rsid w:val="007778DE"/>
    <w:rsid w:val="007879FD"/>
    <w:rsid w:val="00792A54"/>
    <w:rsid w:val="007975C6"/>
    <w:rsid w:val="007A2266"/>
    <w:rsid w:val="007B1911"/>
    <w:rsid w:val="007B20FD"/>
    <w:rsid w:val="007B3743"/>
    <w:rsid w:val="007C4D0F"/>
    <w:rsid w:val="007E4393"/>
    <w:rsid w:val="007F0F42"/>
    <w:rsid w:val="007F1B53"/>
    <w:rsid w:val="007F4D1A"/>
    <w:rsid w:val="007F50CD"/>
    <w:rsid w:val="008077FB"/>
    <w:rsid w:val="00811DAB"/>
    <w:rsid w:val="00822C33"/>
    <w:rsid w:val="0082734D"/>
    <w:rsid w:val="00827984"/>
    <w:rsid w:val="008424C6"/>
    <w:rsid w:val="00842794"/>
    <w:rsid w:val="00843E4A"/>
    <w:rsid w:val="00853C45"/>
    <w:rsid w:val="0085761D"/>
    <w:rsid w:val="008655E1"/>
    <w:rsid w:val="0087324D"/>
    <w:rsid w:val="00877A5C"/>
    <w:rsid w:val="0088365F"/>
    <w:rsid w:val="00895E85"/>
    <w:rsid w:val="008A5A4D"/>
    <w:rsid w:val="008B3B5E"/>
    <w:rsid w:val="008B4AE7"/>
    <w:rsid w:val="008B550A"/>
    <w:rsid w:val="008B6DE0"/>
    <w:rsid w:val="008C4048"/>
    <w:rsid w:val="008D0676"/>
    <w:rsid w:val="008E37EC"/>
    <w:rsid w:val="008F498E"/>
    <w:rsid w:val="008F58D5"/>
    <w:rsid w:val="00901B66"/>
    <w:rsid w:val="00904BC9"/>
    <w:rsid w:val="0091517F"/>
    <w:rsid w:val="0091545D"/>
    <w:rsid w:val="009162DF"/>
    <w:rsid w:val="0091695C"/>
    <w:rsid w:val="00924670"/>
    <w:rsid w:val="00924BF2"/>
    <w:rsid w:val="009339FA"/>
    <w:rsid w:val="0093748A"/>
    <w:rsid w:val="009422FA"/>
    <w:rsid w:val="00945098"/>
    <w:rsid w:val="00951DD0"/>
    <w:rsid w:val="00960633"/>
    <w:rsid w:val="00962AE1"/>
    <w:rsid w:val="00974531"/>
    <w:rsid w:val="009A526D"/>
    <w:rsid w:val="009E0DB3"/>
    <w:rsid w:val="009E582B"/>
    <w:rsid w:val="009E7C7F"/>
    <w:rsid w:val="009F39F2"/>
    <w:rsid w:val="009F45CA"/>
    <w:rsid w:val="009F5F2D"/>
    <w:rsid w:val="00A02577"/>
    <w:rsid w:val="00A05A37"/>
    <w:rsid w:val="00A16B78"/>
    <w:rsid w:val="00A20559"/>
    <w:rsid w:val="00A2217D"/>
    <w:rsid w:val="00A25C6B"/>
    <w:rsid w:val="00A2725D"/>
    <w:rsid w:val="00A43A0C"/>
    <w:rsid w:val="00A51C56"/>
    <w:rsid w:val="00A579B6"/>
    <w:rsid w:val="00A704B9"/>
    <w:rsid w:val="00A7305B"/>
    <w:rsid w:val="00A773A4"/>
    <w:rsid w:val="00A774AB"/>
    <w:rsid w:val="00A84CC9"/>
    <w:rsid w:val="00A94FD0"/>
    <w:rsid w:val="00A95155"/>
    <w:rsid w:val="00A951BC"/>
    <w:rsid w:val="00AB1DF3"/>
    <w:rsid w:val="00AB209A"/>
    <w:rsid w:val="00AB2D08"/>
    <w:rsid w:val="00AB3900"/>
    <w:rsid w:val="00AC52C2"/>
    <w:rsid w:val="00AD0630"/>
    <w:rsid w:val="00AD4E8F"/>
    <w:rsid w:val="00AD52E5"/>
    <w:rsid w:val="00AD69C6"/>
    <w:rsid w:val="00AF7D2E"/>
    <w:rsid w:val="00B06AAE"/>
    <w:rsid w:val="00B12588"/>
    <w:rsid w:val="00B14FD3"/>
    <w:rsid w:val="00B1696E"/>
    <w:rsid w:val="00B22E90"/>
    <w:rsid w:val="00B23402"/>
    <w:rsid w:val="00B43D07"/>
    <w:rsid w:val="00B43E01"/>
    <w:rsid w:val="00B46879"/>
    <w:rsid w:val="00B629F2"/>
    <w:rsid w:val="00B75C3B"/>
    <w:rsid w:val="00B76BA5"/>
    <w:rsid w:val="00B813EB"/>
    <w:rsid w:val="00B81E7E"/>
    <w:rsid w:val="00B93FC7"/>
    <w:rsid w:val="00B97C36"/>
    <w:rsid w:val="00BA181D"/>
    <w:rsid w:val="00BA713D"/>
    <w:rsid w:val="00BD06BB"/>
    <w:rsid w:val="00BD7370"/>
    <w:rsid w:val="00BD7CAB"/>
    <w:rsid w:val="00BF41E1"/>
    <w:rsid w:val="00C11832"/>
    <w:rsid w:val="00C118F7"/>
    <w:rsid w:val="00C158C7"/>
    <w:rsid w:val="00C27B20"/>
    <w:rsid w:val="00C30EED"/>
    <w:rsid w:val="00C41FBC"/>
    <w:rsid w:val="00C60D18"/>
    <w:rsid w:val="00C64927"/>
    <w:rsid w:val="00C71D13"/>
    <w:rsid w:val="00C72E52"/>
    <w:rsid w:val="00C768E8"/>
    <w:rsid w:val="00C76F65"/>
    <w:rsid w:val="00C80AE5"/>
    <w:rsid w:val="00C85330"/>
    <w:rsid w:val="00C85FF4"/>
    <w:rsid w:val="00C975B9"/>
    <w:rsid w:val="00CA0225"/>
    <w:rsid w:val="00CA1AA1"/>
    <w:rsid w:val="00CA22F3"/>
    <w:rsid w:val="00CB515A"/>
    <w:rsid w:val="00CB74C6"/>
    <w:rsid w:val="00CC0E75"/>
    <w:rsid w:val="00CC1BD8"/>
    <w:rsid w:val="00CE1A53"/>
    <w:rsid w:val="00CF5371"/>
    <w:rsid w:val="00CF5AB9"/>
    <w:rsid w:val="00D100C2"/>
    <w:rsid w:val="00D10AB8"/>
    <w:rsid w:val="00D122E2"/>
    <w:rsid w:val="00D15ACE"/>
    <w:rsid w:val="00D15BC4"/>
    <w:rsid w:val="00D208E1"/>
    <w:rsid w:val="00D2169B"/>
    <w:rsid w:val="00D251A4"/>
    <w:rsid w:val="00D257E1"/>
    <w:rsid w:val="00D5060B"/>
    <w:rsid w:val="00D62BD5"/>
    <w:rsid w:val="00D66CA4"/>
    <w:rsid w:val="00D7026E"/>
    <w:rsid w:val="00D71642"/>
    <w:rsid w:val="00D7538A"/>
    <w:rsid w:val="00D75584"/>
    <w:rsid w:val="00D91A90"/>
    <w:rsid w:val="00D935D1"/>
    <w:rsid w:val="00D9434C"/>
    <w:rsid w:val="00D97309"/>
    <w:rsid w:val="00DA2CB3"/>
    <w:rsid w:val="00DA4683"/>
    <w:rsid w:val="00DB7412"/>
    <w:rsid w:val="00DC0465"/>
    <w:rsid w:val="00DC0C06"/>
    <w:rsid w:val="00DC78D2"/>
    <w:rsid w:val="00DD2374"/>
    <w:rsid w:val="00DD4002"/>
    <w:rsid w:val="00DE3596"/>
    <w:rsid w:val="00DE42CB"/>
    <w:rsid w:val="00DF291E"/>
    <w:rsid w:val="00E00821"/>
    <w:rsid w:val="00E03D75"/>
    <w:rsid w:val="00E126C4"/>
    <w:rsid w:val="00E15E2C"/>
    <w:rsid w:val="00E318A2"/>
    <w:rsid w:val="00E411A0"/>
    <w:rsid w:val="00E43532"/>
    <w:rsid w:val="00E446DC"/>
    <w:rsid w:val="00E533B8"/>
    <w:rsid w:val="00E56C28"/>
    <w:rsid w:val="00E62C28"/>
    <w:rsid w:val="00E83E13"/>
    <w:rsid w:val="00E8757B"/>
    <w:rsid w:val="00E92E56"/>
    <w:rsid w:val="00E93972"/>
    <w:rsid w:val="00E96432"/>
    <w:rsid w:val="00EA1090"/>
    <w:rsid w:val="00EB25D4"/>
    <w:rsid w:val="00EB2DBB"/>
    <w:rsid w:val="00EC1C8A"/>
    <w:rsid w:val="00EC2AF0"/>
    <w:rsid w:val="00EC2AF5"/>
    <w:rsid w:val="00ED6933"/>
    <w:rsid w:val="00ED7B3F"/>
    <w:rsid w:val="00EE1A23"/>
    <w:rsid w:val="00EE56CC"/>
    <w:rsid w:val="00EE70E2"/>
    <w:rsid w:val="00EF425A"/>
    <w:rsid w:val="00EF6384"/>
    <w:rsid w:val="00EF79BD"/>
    <w:rsid w:val="00F04D1C"/>
    <w:rsid w:val="00F12B19"/>
    <w:rsid w:val="00F344CF"/>
    <w:rsid w:val="00F358F1"/>
    <w:rsid w:val="00F42297"/>
    <w:rsid w:val="00F42BB8"/>
    <w:rsid w:val="00F50EEB"/>
    <w:rsid w:val="00F61910"/>
    <w:rsid w:val="00F64D7A"/>
    <w:rsid w:val="00F663D5"/>
    <w:rsid w:val="00F70002"/>
    <w:rsid w:val="00F846D0"/>
    <w:rsid w:val="00F9677F"/>
    <w:rsid w:val="00FA431C"/>
    <w:rsid w:val="00FA5187"/>
    <w:rsid w:val="00FB15AF"/>
    <w:rsid w:val="00FC16C0"/>
    <w:rsid w:val="00FC4C94"/>
    <w:rsid w:val="00FD65C8"/>
    <w:rsid w:val="00FE015B"/>
    <w:rsid w:val="00FF08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5F443"/>
  <w15:chartTrackingRefBased/>
  <w15:docId w15:val="{1C2A8F0E-26C9-4DAC-9A7F-2E7193A2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15DB"/>
    <w:pPr>
      <w:bidi/>
    </w:pPr>
    <w:rPr>
      <w:rFonts w:cs="Narkisim"/>
      <w:sz w:val="22"/>
      <w:szCs w:val="22"/>
      <w:lang w:eastAsia="he-IL"/>
    </w:rPr>
  </w:style>
  <w:style w:type="paragraph" w:styleId="1">
    <w:name w:val="heading 1"/>
    <w:basedOn w:val="a"/>
    <w:next w:val="a"/>
    <w:link w:val="10"/>
    <w:qFormat/>
    <w:rsid w:val="003315DB"/>
    <w:pPr>
      <w:keepNext/>
      <w:tabs>
        <w:tab w:val="right" w:pos="9469"/>
      </w:tabs>
      <w:jc w:val="both"/>
      <w:outlineLvl w:val="0"/>
    </w:pPr>
    <w:rPr>
      <w:rFonts w:cs="David"/>
      <w:b/>
      <w:bCs/>
      <w:szCs w:val="28"/>
    </w:rPr>
  </w:style>
  <w:style w:type="character" w:default="1" w:styleId="a0">
    <w:name w:val="Default Paragraph Font"/>
    <w:uiPriority w:val="1"/>
    <w:semiHidden/>
    <w:unhideWhenUsed/>
    <w:rsid w:val="003315D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15DB"/>
  </w:style>
  <w:style w:type="paragraph" w:styleId="a3">
    <w:name w:val="footnote text"/>
    <w:basedOn w:val="a"/>
    <w:link w:val="a4"/>
    <w:rsid w:val="003315DB"/>
    <w:pPr>
      <w:ind w:left="170" w:hanging="170"/>
      <w:jc w:val="both"/>
    </w:pPr>
    <w:rPr>
      <w:sz w:val="20"/>
      <w:szCs w:val="20"/>
    </w:rPr>
  </w:style>
  <w:style w:type="character" w:styleId="a5">
    <w:name w:val="footnote reference"/>
    <w:semiHidden/>
    <w:rsid w:val="003315DB"/>
    <w:rPr>
      <w:vertAlign w:val="superscript"/>
    </w:rPr>
  </w:style>
  <w:style w:type="paragraph" w:styleId="a6">
    <w:name w:val="header"/>
    <w:basedOn w:val="a"/>
    <w:link w:val="a7"/>
    <w:rsid w:val="003315DB"/>
    <w:pPr>
      <w:tabs>
        <w:tab w:val="center" w:pos="4153"/>
        <w:tab w:val="right" w:pos="8306"/>
      </w:tabs>
    </w:pPr>
  </w:style>
  <w:style w:type="paragraph" w:styleId="a8">
    <w:name w:val="footer"/>
    <w:basedOn w:val="a"/>
    <w:link w:val="a9"/>
    <w:rsid w:val="003315DB"/>
    <w:pPr>
      <w:tabs>
        <w:tab w:val="center" w:pos="4153"/>
        <w:tab w:val="right" w:pos="8306"/>
      </w:tabs>
    </w:pPr>
  </w:style>
  <w:style w:type="paragraph" w:customStyle="1" w:styleId="aa">
    <w:name w:val="כותרת"/>
    <w:basedOn w:val="a"/>
    <w:rsid w:val="003315DB"/>
    <w:pPr>
      <w:spacing w:before="240" w:line="320" w:lineRule="atLeast"/>
      <w:jc w:val="center"/>
    </w:pPr>
    <w:rPr>
      <w:rFonts w:cs="David"/>
      <w:b/>
      <w:bCs/>
      <w:spacing w:val="20"/>
      <w:szCs w:val="32"/>
    </w:rPr>
  </w:style>
  <w:style w:type="paragraph" w:customStyle="1" w:styleId="ab">
    <w:name w:val="כותרת קטע"/>
    <w:basedOn w:val="a"/>
    <w:link w:val="Char"/>
    <w:rsid w:val="003315DB"/>
    <w:pPr>
      <w:spacing w:before="240" w:line="300" w:lineRule="atLeast"/>
    </w:pPr>
    <w:rPr>
      <w:rFonts w:cs="Arial"/>
      <w:b/>
      <w:bCs/>
      <w:szCs w:val="24"/>
    </w:rPr>
  </w:style>
  <w:style w:type="paragraph" w:customStyle="1" w:styleId="ac">
    <w:name w:val="מקור"/>
    <w:basedOn w:val="a"/>
    <w:rsid w:val="003315DB"/>
    <w:pPr>
      <w:spacing w:line="320" w:lineRule="atLeast"/>
      <w:jc w:val="both"/>
    </w:pPr>
    <w:rPr>
      <w:rFonts w:cs="David"/>
      <w:szCs w:val="24"/>
    </w:rPr>
  </w:style>
  <w:style w:type="paragraph" w:customStyle="1" w:styleId="ad">
    <w:name w:val="מחלקי המים"/>
    <w:basedOn w:val="a"/>
    <w:rsid w:val="003315D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3315DB"/>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3315DB"/>
    <w:rPr>
      <w:rFonts w:ascii="Tahoma" w:hAnsi="Tahoma" w:cs="Tahoma"/>
      <w:sz w:val="16"/>
      <w:szCs w:val="16"/>
    </w:rPr>
  </w:style>
  <w:style w:type="character" w:customStyle="1" w:styleId="a4">
    <w:name w:val="טקסט הערת שוליים תו"/>
    <w:link w:val="a3"/>
    <w:rsid w:val="003315DB"/>
    <w:rPr>
      <w:rFonts w:cs="Narkisim"/>
      <w:lang w:eastAsia="he-IL"/>
    </w:rPr>
  </w:style>
  <w:style w:type="character" w:customStyle="1" w:styleId="10">
    <w:name w:val="כותרת 1 תו"/>
    <w:link w:val="1"/>
    <w:rsid w:val="003315DB"/>
    <w:rPr>
      <w:rFonts w:cs="David"/>
      <w:b/>
      <w:bCs/>
      <w:sz w:val="22"/>
      <w:szCs w:val="28"/>
      <w:lang w:eastAsia="he-IL"/>
    </w:rPr>
  </w:style>
  <w:style w:type="character" w:customStyle="1" w:styleId="a7">
    <w:name w:val="כותרת עליונה תו"/>
    <w:link w:val="a6"/>
    <w:rsid w:val="003315DB"/>
    <w:rPr>
      <w:rFonts w:cs="Narkisim"/>
      <w:sz w:val="22"/>
      <w:szCs w:val="22"/>
      <w:lang w:eastAsia="he-IL"/>
    </w:rPr>
  </w:style>
  <w:style w:type="character" w:customStyle="1" w:styleId="a9">
    <w:name w:val="כותרת תחתונה תו"/>
    <w:link w:val="a8"/>
    <w:rsid w:val="003315DB"/>
    <w:rPr>
      <w:rFonts w:cs="Narkisim"/>
      <w:sz w:val="22"/>
      <w:szCs w:val="22"/>
      <w:lang w:eastAsia="he-IL"/>
    </w:rPr>
  </w:style>
  <w:style w:type="character" w:customStyle="1" w:styleId="af1">
    <w:name w:val="טקסט בלונים תו"/>
    <w:link w:val="af0"/>
    <w:uiPriority w:val="99"/>
    <w:semiHidden/>
    <w:rsid w:val="003315DB"/>
    <w:rPr>
      <w:rFonts w:ascii="Tahoma" w:hAnsi="Tahoma" w:cs="Tahoma"/>
      <w:sz w:val="16"/>
      <w:szCs w:val="16"/>
      <w:lang w:eastAsia="he-IL"/>
    </w:rPr>
  </w:style>
  <w:style w:type="character" w:customStyle="1" w:styleId="Char">
    <w:name w:val="כותרת קטע Char"/>
    <w:link w:val="ab"/>
    <w:rsid w:val="000B47F5"/>
    <w:rPr>
      <w:rFonts w:cs="Arial"/>
      <w:b/>
      <w:bCs/>
      <w:sz w:val="22"/>
      <w:szCs w:val="24"/>
      <w:lang w:eastAsia="he-IL"/>
    </w:rPr>
  </w:style>
  <w:style w:type="character" w:styleId="af2">
    <w:name w:val="Strong"/>
    <w:uiPriority w:val="22"/>
    <w:qFormat/>
    <w:rsid w:val="000B4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0%D7%97%D7%A9-%D7%90%D7%9C%D7%99%D7%A2%D7%96%D7%A8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D7%91%D7%AA-%D7%99%D7%A4%D7%AA%D7%97-%D7%91%D7%A4%D7%A8%D7%A9%D7%AA-%D7%91%D7%97%D7%95%D7%A7%D7%95%D7%AA%D7%99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yim.org.il/?parasha=%D7%90%D7%99%D7%9F-%D7%94%D7%91%D7%98%D7%97%D7%94-%D7%9C%D7%A6%D7%93%D7%99%D7%A7-%D7%91%D7%A2%D7%95%D7%9C%D7%9D-%D7%94%D7%96%D7%94" TargetMode="External"/><Relationship Id="rId4" Type="http://schemas.openxmlformats.org/officeDocument/2006/relationships/webSettings" Target="webSettings.xml"/><Relationship Id="rId9" Type="http://schemas.openxmlformats.org/officeDocument/2006/relationships/hyperlink" Target="http://www.mayim.org.il/?parasha=%D7%94%D6%B7%D7%A7%D6%B0%D7%A8%D6%B5%D7%94%D7%A0%D6%B8%D7%90-%D7%9C%D6%B0%D7%A4%D6%B8%D7%A0%D6%B7%D7%9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A2%D7%A9%D7%95-%D7%A1%D7%99%D7%99%D7%92-%D7%9C%D7%AA%D7%95%D7%A8%D7%94" TargetMode="External"/><Relationship Id="rId2" Type="http://schemas.openxmlformats.org/officeDocument/2006/relationships/hyperlink" Target="http://www.mayim.org.il/?parasha=%D7%9E%D7%95%D7%A6%D7%90-%D7%A9%D7%A4%D7%AA%D7%99%D7%9A-%D7%AA%D7%A9%D7%9E%D7%95%D7%A8-%D7%95%D7%A2%D7%A9%D7%99%D7%AA" TargetMode="External"/><Relationship Id="rId1" Type="http://schemas.openxmlformats.org/officeDocument/2006/relationships/hyperlink" Target="https://www.mayim.org.il/?parasha=%d7%a7%d7%95%d7%9d-%d7%a2%d7%9c%d7%94-%d7%91%d7%99%d7%aa-%d7%90%d7%9c" TargetMode="External"/><Relationship Id="rId6" Type="http://schemas.openxmlformats.org/officeDocument/2006/relationships/hyperlink" Target="http://www.mayim.org.il/?parasha=%D7%91%D7%AA-%D7%99%D7%A4%D7%AA%D7%97-%D7%91%D7%A4%D7%A8%D7%A9%D7%AA-%D7%91%D7%97%D7%95%D7%A7%D7%95%D7%AA%D7%991" TargetMode="External"/><Relationship Id="rId5" Type="http://schemas.openxmlformats.org/officeDocument/2006/relationships/hyperlink" Target="https://www.mayim.org.il/?parasha=%D7%94%D6%B7%D7%A7%D6%B0%D7%A8%D6%B5%D7%94%D7%A0%D6%B8%D7%90-%D7%9C%D6%B0%D7%A4%D6%B8%D7%A0%D6%B7%D7%99" TargetMode="External"/><Relationship Id="rId4" Type="http://schemas.openxmlformats.org/officeDocument/2006/relationships/hyperlink" Target="https://www.mayim.org.il/?parasha=%D7%A0%D7%97%D7%A9-%D7%90%D7%9C%D7%99%D7%A2%D7%96%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6863-1319-4670-95C9-593C0C95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861</Words>
  <Characters>4307</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5158</CharactersWithSpaces>
  <SharedDoc>false</SharedDoc>
  <HLinks>
    <vt:vector size="60" baseType="variant">
      <vt:variant>
        <vt:i4>2621488</vt:i4>
      </vt:variant>
      <vt:variant>
        <vt:i4>9</vt:i4>
      </vt:variant>
      <vt:variant>
        <vt:i4>0</vt:i4>
      </vt:variant>
      <vt:variant>
        <vt:i4>5</vt:i4>
      </vt:variant>
      <vt:variant>
        <vt:lpwstr>http://www.mayim.org.il/?parasha=%D7%90%D7%99%D7%9F-%D7%94%D7%91%D7%98%D7%97%D7%94-%D7%9C%D7%A6%D7%93%D7%99%D7%A7-%D7%91%D7%A2%D7%95%D7%9C%D7%9D-%D7%94%D7%96%D7%94</vt:lpwstr>
      </vt:variant>
      <vt:variant>
        <vt:lpwstr/>
      </vt:variant>
      <vt:variant>
        <vt:i4>5832792</vt:i4>
      </vt:variant>
      <vt:variant>
        <vt:i4>6</vt:i4>
      </vt:variant>
      <vt:variant>
        <vt:i4>0</vt:i4>
      </vt:variant>
      <vt:variant>
        <vt:i4>5</vt:i4>
      </vt:variant>
      <vt:variant>
        <vt:lpwstr>http://www.mayim.org.il/?parasha=%D7%94%D6%B7%D7%A7%D6%B0%D7%A8%D6%B5%D7%94%D7%A0%D6%B8%D7%90-%D7%9C%D6%B0%D7%A4%D6%B8%D7%A0%D6%B7%D7%99</vt:lpwstr>
      </vt:variant>
      <vt:variant>
        <vt:lpwstr/>
      </vt:variant>
      <vt:variant>
        <vt:i4>6029395</vt:i4>
      </vt:variant>
      <vt:variant>
        <vt:i4>3</vt:i4>
      </vt:variant>
      <vt:variant>
        <vt:i4>0</vt:i4>
      </vt:variant>
      <vt:variant>
        <vt:i4>5</vt:i4>
      </vt:variant>
      <vt:variant>
        <vt:lpwstr>http://www.mayim.org.il/?parasha=%D7%A0%D7%97%D7%A9-%D7%90%D7%9C%D7%99%D7%A2%D7%96%D7%A81</vt:lpwstr>
      </vt:variant>
      <vt:variant>
        <vt:lpwstr/>
      </vt:variant>
      <vt:variant>
        <vt:i4>786526</vt:i4>
      </vt:variant>
      <vt:variant>
        <vt:i4>0</vt:i4>
      </vt:variant>
      <vt:variant>
        <vt:i4>0</vt:i4>
      </vt:variant>
      <vt:variant>
        <vt:i4>5</vt:i4>
      </vt:variant>
      <vt:variant>
        <vt:lpwstr>http://www.mayim.org.il/?parasha=%D7%91%D7%AA-%D7%99%D7%A4%D7%AA%D7%97-%D7%91%D7%A4%D7%A8%D7%A9%D7%AA-%D7%91%D7%97%D7%95%D7%A7%D7%95%D7%AA%D7%991</vt:lpwstr>
      </vt:variant>
      <vt:variant>
        <vt:lpwstr/>
      </vt:variant>
      <vt:variant>
        <vt:i4>786526</vt:i4>
      </vt:variant>
      <vt:variant>
        <vt:i4>15</vt:i4>
      </vt:variant>
      <vt:variant>
        <vt:i4>0</vt:i4>
      </vt:variant>
      <vt:variant>
        <vt:i4>5</vt:i4>
      </vt:variant>
      <vt:variant>
        <vt:lpwstr>http://www.mayim.org.il/?parasha=%D7%91%D7%AA-%D7%99%D7%A4%D7%AA%D7%97-%D7%91%D7%A4%D7%A8%D7%A9%D7%AA-%D7%91%D7%97%D7%95%D7%A7%D7%95%D7%AA%D7%991</vt:lpwstr>
      </vt:variant>
      <vt:variant>
        <vt:lpwstr/>
      </vt:variant>
      <vt:variant>
        <vt:i4>4194315</vt:i4>
      </vt:variant>
      <vt:variant>
        <vt:i4>12</vt:i4>
      </vt:variant>
      <vt:variant>
        <vt:i4>0</vt:i4>
      </vt:variant>
      <vt:variant>
        <vt:i4>5</vt:i4>
      </vt:variant>
      <vt:variant>
        <vt:lpwstr>https://www.mayim.org.il/?parasha=%D7%94%D6%B7%D7%A7%D6%B0%D7%A8%D6%B5%D7%94%D7%A0%D6%B8%D7%90-%D7%9C%D6%B0%D7%A4%D6%B8%D7%A0%D6%B7%D7%99</vt:lpwstr>
      </vt:variant>
      <vt:variant>
        <vt:lpwstr/>
      </vt:variant>
      <vt:variant>
        <vt:i4>7995447</vt:i4>
      </vt:variant>
      <vt:variant>
        <vt:i4>9</vt:i4>
      </vt:variant>
      <vt:variant>
        <vt:i4>0</vt:i4>
      </vt:variant>
      <vt:variant>
        <vt:i4>5</vt:i4>
      </vt:variant>
      <vt:variant>
        <vt:lpwstr>https://www.mayim.org.il/?parasha=%D7%A0%D7%97%D7%A9-%D7%90%D7%9C%D7%99%D7%A2%D7%96%D7%A81</vt:lpwstr>
      </vt:variant>
      <vt:variant>
        <vt:lpwstr/>
      </vt:variant>
      <vt:variant>
        <vt:i4>3407916</vt:i4>
      </vt:variant>
      <vt:variant>
        <vt:i4>6</vt:i4>
      </vt:variant>
      <vt:variant>
        <vt:i4>0</vt:i4>
      </vt:variant>
      <vt:variant>
        <vt:i4>5</vt:i4>
      </vt:variant>
      <vt:variant>
        <vt:lpwstr>https://www.mayim.org.il/?meyuhadim=%D7%A2%D7%A9%D7%95-%D7%A1%D7%99%D7%99%D7%92-%D7%9C%D7%AA%D7%95%D7%A8%D7%94</vt:lpwstr>
      </vt:variant>
      <vt:variant>
        <vt:lpwstr/>
      </vt:variant>
      <vt:variant>
        <vt:i4>7667750</vt:i4>
      </vt:variant>
      <vt:variant>
        <vt:i4>3</vt:i4>
      </vt:variant>
      <vt:variant>
        <vt:i4>0</vt:i4>
      </vt:variant>
      <vt:variant>
        <vt:i4>5</vt:i4>
      </vt:variant>
      <vt:variant>
        <vt:lpwstr>http://www.mayim.org.il/?parasha=%D7%9E%D7%95%D7%A6%D7%90-%D7%A9%D7%A4%D7%AA%D7%99%D7%9A-%D7%AA%D7%A9%D7%9E%D7%95%D7%A8-%D7%95%D7%A2%D7%A9%D7%99%D7%AA</vt:lpwstr>
      </vt:variant>
      <vt:variant>
        <vt:lpwstr/>
      </vt:variant>
      <vt:variant>
        <vt:i4>6619251</vt:i4>
      </vt:variant>
      <vt:variant>
        <vt:i4>0</vt:i4>
      </vt:variant>
      <vt:variant>
        <vt:i4>0</vt:i4>
      </vt:variant>
      <vt:variant>
        <vt:i4>5</vt:i4>
      </vt:variant>
      <vt:variant>
        <vt:lpwstr>https://www.mayim.org.il/?parasha=%d7%a7%d7%95%d7%9d-%d7%a2%d7%9c%d7%94-%d7%91%d7%99%d7%aa-%d7%90%d7%9c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הנביא ירמיהו</dc:title>
  <dc:subject>מסעי</dc:subject>
  <dc:creator>אשר יובל</dc:creator>
  <cp:keywords/>
  <cp:lastModifiedBy>Shimon Afek</cp:lastModifiedBy>
  <cp:revision>2</cp:revision>
  <cp:lastPrinted>2015-07-16T21:06:00Z</cp:lastPrinted>
  <dcterms:created xsi:type="dcterms:W3CDTF">2020-07-19T05:39:00Z</dcterms:created>
  <dcterms:modified xsi:type="dcterms:W3CDTF">2020-07-19T05:39:00Z</dcterms:modified>
</cp:coreProperties>
</file>