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DF603" w14:textId="77777777" w:rsidR="00100121" w:rsidRDefault="00BE56DA" w:rsidP="00D05453">
      <w:pPr>
        <w:pStyle w:val="aa"/>
        <w:spacing w:before="120" w:line="300" w:lineRule="atLeast"/>
        <w:rPr>
          <w:rFonts w:hint="cs"/>
          <w:szCs w:val="22"/>
          <w:rtl/>
        </w:rPr>
      </w:pPr>
      <w:r>
        <w:rPr>
          <w:rFonts w:hint="cs"/>
          <w:rtl/>
        </w:rPr>
        <w:t>פטירתו של דוד המלך</w:t>
      </w:r>
    </w:p>
    <w:p w14:paraId="4223A1DD" w14:textId="77777777" w:rsidR="00BD056B" w:rsidRDefault="00D05453" w:rsidP="002D3AC4">
      <w:pPr>
        <w:pStyle w:val="ac"/>
        <w:spacing w:before="240"/>
        <w:rPr>
          <w:rFonts w:cs="Narkisim" w:hint="cs"/>
          <w:szCs w:val="22"/>
          <w:rtl/>
        </w:rPr>
      </w:pPr>
      <w:r w:rsidRPr="00D05453">
        <w:rPr>
          <w:rFonts w:cs="Narkisim" w:hint="cs"/>
          <w:b/>
          <w:bCs/>
          <w:szCs w:val="22"/>
          <w:rtl/>
        </w:rPr>
        <w:t>מים ראשונים:</w:t>
      </w:r>
      <w:r w:rsidRPr="00D05453">
        <w:rPr>
          <w:rFonts w:cs="Narkisim" w:hint="cs"/>
          <w:szCs w:val="22"/>
          <w:rtl/>
        </w:rPr>
        <w:t xml:space="preserve"> </w:t>
      </w:r>
      <w:r w:rsidR="00BD056B">
        <w:rPr>
          <w:rFonts w:cs="Narkisim" w:hint="cs"/>
          <w:szCs w:val="22"/>
          <w:rtl/>
        </w:rPr>
        <w:t>ה</w:t>
      </w:r>
      <w:r w:rsidR="005842D2">
        <w:rPr>
          <w:rFonts w:cs="Narkisim" w:hint="cs"/>
          <w:szCs w:val="22"/>
          <w:rtl/>
        </w:rPr>
        <w:t xml:space="preserve">מסורת </w:t>
      </w:r>
      <w:r w:rsidR="002D3AC4">
        <w:rPr>
          <w:rFonts w:cs="Narkisim" w:hint="cs"/>
          <w:szCs w:val="22"/>
          <w:rtl/>
        </w:rPr>
        <w:t xml:space="preserve">היא </w:t>
      </w:r>
      <w:r w:rsidR="005842D2">
        <w:rPr>
          <w:rFonts w:cs="Narkisim" w:hint="cs"/>
          <w:szCs w:val="22"/>
          <w:rtl/>
        </w:rPr>
        <w:t>שדוד המלך נפטר בחג השבועות וז</w:t>
      </w:r>
      <w:r w:rsidR="00617B6A">
        <w:rPr>
          <w:rFonts w:cs="Narkisim" w:hint="cs"/>
          <w:szCs w:val="22"/>
          <w:rtl/>
        </w:rPr>
        <w:t>ו</w:t>
      </w:r>
      <w:r w:rsidR="005842D2">
        <w:rPr>
          <w:rFonts w:cs="Narkisim" w:hint="cs"/>
          <w:szCs w:val="22"/>
          <w:rtl/>
        </w:rPr>
        <w:t xml:space="preserve"> </w:t>
      </w:r>
      <w:r w:rsidR="00BD056B">
        <w:rPr>
          <w:rFonts w:cs="Narkisim" w:hint="cs"/>
          <w:szCs w:val="22"/>
          <w:rtl/>
        </w:rPr>
        <w:t>אח</w:t>
      </w:r>
      <w:r w:rsidR="00617B6A">
        <w:rPr>
          <w:rFonts w:cs="Narkisim" w:hint="cs"/>
          <w:szCs w:val="22"/>
          <w:rtl/>
        </w:rPr>
        <w:t>ת</w:t>
      </w:r>
      <w:r w:rsidR="00BD056B">
        <w:rPr>
          <w:rFonts w:cs="Narkisim" w:hint="cs"/>
          <w:szCs w:val="22"/>
          <w:rtl/>
        </w:rPr>
        <w:t xml:space="preserve"> מהסיבות לקריאת </w:t>
      </w:r>
      <w:r w:rsidR="005842D2">
        <w:rPr>
          <w:rFonts w:cs="Narkisim" w:hint="cs"/>
          <w:szCs w:val="22"/>
          <w:rtl/>
        </w:rPr>
        <w:t>מגילת רות</w:t>
      </w:r>
      <w:r w:rsidR="00BD056B">
        <w:rPr>
          <w:rFonts w:cs="Narkisim" w:hint="cs"/>
          <w:szCs w:val="22"/>
          <w:rtl/>
        </w:rPr>
        <w:t xml:space="preserve"> בחג השבועות</w:t>
      </w:r>
      <w:r w:rsidR="00C21DE0">
        <w:rPr>
          <w:rFonts w:cs="Narkisim" w:hint="cs"/>
          <w:szCs w:val="22"/>
          <w:rtl/>
        </w:rPr>
        <w:t xml:space="preserve"> </w:t>
      </w:r>
      <w:r w:rsidR="00C21DE0" w:rsidRPr="00C21DE0">
        <w:rPr>
          <w:rFonts w:cs="Narkisim" w:hint="cs"/>
          <w:szCs w:val="22"/>
          <w:rtl/>
        </w:rPr>
        <w:t>(לא בכל הע</w:t>
      </w:r>
      <w:r w:rsidR="002D3AC4">
        <w:rPr>
          <w:rFonts w:cs="Narkisim" w:hint="eastAsia"/>
          <w:szCs w:val="22"/>
          <w:rtl/>
        </w:rPr>
        <w:t>ֵ</w:t>
      </w:r>
      <w:r w:rsidR="00C21DE0" w:rsidRPr="00C21DE0">
        <w:rPr>
          <w:rFonts w:cs="Narkisim" w:hint="cs"/>
          <w:szCs w:val="22"/>
          <w:rtl/>
        </w:rPr>
        <w:t>דו</w:t>
      </w:r>
      <w:r w:rsidR="002D3AC4">
        <w:rPr>
          <w:rFonts w:cs="Narkisim" w:hint="eastAsia"/>
          <w:szCs w:val="22"/>
          <w:rtl/>
        </w:rPr>
        <w:t>ֹ</w:t>
      </w:r>
      <w:r w:rsidR="00C21DE0" w:rsidRPr="00C21DE0">
        <w:rPr>
          <w:rFonts w:cs="Narkisim" w:hint="cs"/>
          <w:szCs w:val="22"/>
          <w:rtl/>
        </w:rPr>
        <w:t>ת התקבל מנהג זה הגם שיסודו במסכת סופרים, בגאונים, כפי שנראה להלן)</w:t>
      </w:r>
      <w:r w:rsidR="00BD056B">
        <w:rPr>
          <w:rFonts w:cs="Narkisim" w:hint="cs"/>
          <w:szCs w:val="22"/>
          <w:rtl/>
        </w:rPr>
        <w:t xml:space="preserve">. המגילה מזכירה </w:t>
      </w:r>
      <w:r w:rsidR="002D3AC4">
        <w:rPr>
          <w:rFonts w:cs="Narkisim" w:hint="cs"/>
          <w:szCs w:val="22"/>
          <w:rtl/>
        </w:rPr>
        <w:t xml:space="preserve">בסופה </w:t>
      </w:r>
      <w:r w:rsidR="00BD056B">
        <w:rPr>
          <w:rFonts w:cs="Narkisim" w:hint="cs"/>
          <w:szCs w:val="22"/>
          <w:rtl/>
        </w:rPr>
        <w:t xml:space="preserve">את דוד שהוא מצאצאי רות המואביה, היינו רות </w:t>
      </w:r>
      <w:r w:rsidR="00C21DE0">
        <w:rPr>
          <w:rFonts w:cs="Narkisim" w:hint="cs"/>
          <w:szCs w:val="22"/>
          <w:rtl/>
        </w:rPr>
        <w:t>היא ש</w:t>
      </w:r>
      <w:r w:rsidR="00BD056B">
        <w:rPr>
          <w:rFonts w:cs="Narkisim" w:hint="cs"/>
          <w:szCs w:val="22"/>
          <w:rtl/>
        </w:rPr>
        <w:t xml:space="preserve">מביאה לדוד. אבל להלן נראה שדוד </w:t>
      </w:r>
      <w:r w:rsidR="00C21DE0">
        <w:rPr>
          <w:rFonts w:cs="Narkisim" w:hint="cs"/>
          <w:szCs w:val="22"/>
          <w:rtl/>
        </w:rPr>
        <w:t>"</w:t>
      </w:r>
      <w:r w:rsidR="00BD056B">
        <w:rPr>
          <w:rFonts w:cs="Narkisim" w:hint="cs"/>
          <w:szCs w:val="22"/>
          <w:rtl/>
        </w:rPr>
        <w:t>מביא לרות"</w:t>
      </w:r>
      <w:r w:rsidR="00C21DE0">
        <w:rPr>
          <w:rFonts w:cs="Narkisim" w:hint="cs"/>
          <w:szCs w:val="22"/>
          <w:rtl/>
        </w:rPr>
        <w:t xml:space="preserve"> והוא שגרם </w:t>
      </w:r>
      <w:r w:rsidR="00BD056B">
        <w:rPr>
          <w:rFonts w:cs="Narkisim" w:hint="cs"/>
          <w:szCs w:val="22"/>
          <w:rtl/>
        </w:rPr>
        <w:t>למיקום קריאת המגילה בחג השבועות דווקא. בדרך אל הנושא העיקרי, נזכיר סיבות נוספות למיקום מגילת רות בחג השבועות</w:t>
      </w:r>
      <w:r w:rsidR="00C21DE0">
        <w:rPr>
          <w:rFonts w:cs="Narkisim" w:hint="cs"/>
          <w:szCs w:val="22"/>
          <w:rtl/>
        </w:rPr>
        <w:t>,</w:t>
      </w:r>
      <w:r w:rsidR="00BD056B">
        <w:rPr>
          <w:rFonts w:cs="Narkisim" w:hint="cs"/>
          <w:szCs w:val="22"/>
          <w:rtl/>
        </w:rPr>
        <w:t xml:space="preserve"> ולא נזכיר את כולן.</w:t>
      </w:r>
      <w:r w:rsidR="005C69AC">
        <w:rPr>
          <w:rStyle w:val="a5"/>
          <w:rFonts w:cs="Narkisim"/>
          <w:szCs w:val="22"/>
          <w:rtl/>
        </w:rPr>
        <w:footnoteReference w:id="1"/>
      </w:r>
    </w:p>
    <w:p w14:paraId="6C056DC7" w14:textId="77777777" w:rsidR="00BD056B" w:rsidRDefault="005C69AC" w:rsidP="00BD056B">
      <w:pPr>
        <w:pStyle w:val="ac"/>
        <w:spacing w:before="240"/>
        <w:rPr>
          <w:rFonts w:cs="Narkisim" w:hint="cs"/>
          <w:szCs w:val="22"/>
          <w:rtl/>
        </w:rPr>
      </w:pPr>
      <w:r w:rsidRPr="0088144E">
        <w:rPr>
          <w:b/>
          <w:bCs/>
          <w:sz w:val="24"/>
          <w:rtl/>
          <w:lang w:eastAsia="en-US"/>
        </w:rPr>
        <w:t>וַתָּשָׁב נָעֳמִי וְרוּת הַמּוֹאֲבִיָּה כַלָּתָהּ עִמָּהּ הַשָּׁבָה מִשְּׂדֵי מוֹאָב וְהֵמָּה בָּאוּ בֵּית לֶחֶם בִּתְחִלַּת קְצִיר שְׂעֹרִים</w:t>
      </w:r>
      <w:r>
        <w:rPr>
          <w:rFonts w:hint="cs"/>
          <w:rtl/>
          <w:lang w:eastAsia="en-US"/>
        </w:rPr>
        <w:t>:</w:t>
      </w:r>
      <w:r w:rsidRPr="0088144E">
        <w:rPr>
          <w:rtl/>
          <w:lang w:eastAsia="en-US"/>
        </w:rPr>
        <w:t xml:space="preserve"> </w:t>
      </w:r>
      <w:r>
        <w:rPr>
          <w:rFonts w:cs="Narkisim" w:hint="cs"/>
          <w:szCs w:val="22"/>
          <w:rtl/>
        </w:rPr>
        <w:t>(מגילת ר</w:t>
      </w:r>
      <w:r w:rsidRPr="0088144E">
        <w:rPr>
          <w:rFonts w:cs="Narkisim"/>
          <w:szCs w:val="22"/>
          <w:rtl/>
        </w:rPr>
        <w:t xml:space="preserve">ות </w:t>
      </w:r>
      <w:r>
        <w:rPr>
          <w:rFonts w:cs="Narkisim" w:hint="cs"/>
          <w:szCs w:val="22"/>
          <w:rtl/>
        </w:rPr>
        <w:t xml:space="preserve">סוף </w:t>
      </w:r>
      <w:r w:rsidRPr="0088144E">
        <w:rPr>
          <w:rFonts w:cs="Narkisim"/>
          <w:szCs w:val="22"/>
          <w:rtl/>
        </w:rPr>
        <w:t>פרק א</w:t>
      </w:r>
      <w:r>
        <w:rPr>
          <w:rFonts w:cs="Narkisim" w:hint="cs"/>
          <w:szCs w:val="22"/>
          <w:rtl/>
        </w:rPr>
        <w:t>).</w:t>
      </w:r>
      <w:r>
        <w:rPr>
          <w:rStyle w:val="a5"/>
          <w:rFonts w:cs="Narkisim"/>
          <w:szCs w:val="22"/>
          <w:rtl/>
        </w:rPr>
        <w:footnoteReference w:id="2"/>
      </w:r>
    </w:p>
    <w:p w14:paraId="27516AF9" w14:textId="77777777" w:rsidR="00CE14E3" w:rsidRDefault="00CE14E3" w:rsidP="00CE14E3">
      <w:pPr>
        <w:pStyle w:val="ab"/>
        <w:rPr>
          <w:rtl/>
        </w:rPr>
      </w:pPr>
      <w:r>
        <w:rPr>
          <w:rFonts w:hint="cs"/>
          <w:rtl/>
        </w:rPr>
        <w:t>מ</w:t>
      </w:r>
      <w:r>
        <w:rPr>
          <w:rtl/>
        </w:rPr>
        <w:t>סכת סופרים פרק יד</w:t>
      </w:r>
      <w:r>
        <w:rPr>
          <w:rFonts w:hint="cs"/>
          <w:rtl/>
        </w:rPr>
        <w:t xml:space="preserve"> </w:t>
      </w:r>
      <w:r>
        <w:rPr>
          <w:rtl/>
        </w:rPr>
        <w:t>הלכה טז</w:t>
      </w:r>
    </w:p>
    <w:p w14:paraId="798199B6" w14:textId="77777777" w:rsidR="00CE14E3" w:rsidRDefault="00CE14E3" w:rsidP="00BF3913">
      <w:pPr>
        <w:pStyle w:val="ac"/>
        <w:rPr>
          <w:rFonts w:hint="cs"/>
          <w:rtl/>
        </w:rPr>
      </w:pPr>
      <w:r>
        <w:rPr>
          <w:rtl/>
        </w:rPr>
        <w:t>ברות, במוצאי יום טוב הראשון של עצרת עד חציו, ומשלים במוצאי יום טוב האחרון</w:t>
      </w:r>
      <w:r w:rsidR="00BF3913">
        <w:rPr>
          <w:rFonts w:hint="cs"/>
          <w:rtl/>
        </w:rPr>
        <w:t>.</w:t>
      </w:r>
      <w:r w:rsidR="00BF3913">
        <w:rPr>
          <w:rStyle w:val="a5"/>
          <w:rtl/>
        </w:rPr>
        <w:footnoteReference w:id="3"/>
      </w:r>
      <w:r>
        <w:rPr>
          <w:rtl/>
        </w:rPr>
        <w:t xml:space="preserve"> </w:t>
      </w:r>
    </w:p>
    <w:p w14:paraId="7BF2D15A" w14:textId="77777777" w:rsidR="008C0620" w:rsidRDefault="008C0620" w:rsidP="00CE14E3">
      <w:pPr>
        <w:pStyle w:val="ab"/>
        <w:rPr>
          <w:rtl/>
        </w:rPr>
      </w:pPr>
      <w:r>
        <w:rPr>
          <w:rtl/>
        </w:rPr>
        <w:t>מדרש זוטא - רות (בובר) פרשה א</w:t>
      </w:r>
    </w:p>
    <w:p w14:paraId="2D565BD0" w14:textId="77777777" w:rsidR="008C0620" w:rsidRDefault="008C0620" w:rsidP="008C0620">
      <w:pPr>
        <w:pStyle w:val="ac"/>
        <w:rPr>
          <w:rFonts w:hint="cs"/>
          <w:rtl/>
        </w:rPr>
      </w:pPr>
      <w:r>
        <w:rPr>
          <w:rtl/>
        </w:rPr>
        <w:t>ומה ענין רות אצל עצרת</w:t>
      </w:r>
      <w:r>
        <w:rPr>
          <w:rFonts w:hint="cs"/>
          <w:rtl/>
        </w:rPr>
        <w:t>?</w:t>
      </w:r>
      <w:r>
        <w:rPr>
          <w:rtl/>
        </w:rPr>
        <w:t xml:space="preserve"> שהיא נקראת בעצרת בזמן מתן תורה, ללמדך שלא ניתנה תורה אלא על ידי יסורין ועוני</w:t>
      </w:r>
      <w:r>
        <w:rPr>
          <w:rFonts w:hint="cs"/>
          <w:rtl/>
        </w:rPr>
        <w:t>.</w:t>
      </w:r>
      <w:r w:rsidR="00D178C8">
        <w:rPr>
          <w:rStyle w:val="a5"/>
          <w:rtl/>
        </w:rPr>
        <w:footnoteReference w:id="4"/>
      </w:r>
    </w:p>
    <w:p w14:paraId="650D069D" w14:textId="77777777" w:rsidR="00BE56DA" w:rsidRDefault="00BE56DA" w:rsidP="00824C75">
      <w:pPr>
        <w:pStyle w:val="ab"/>
        <w:rPr>
          <w:rtl/>
        </w:rPr>
      </w:pPr>
      <w:r>
        <w:rPr>
          <w:rtl/>
        </w:rPr>
        <w:t>תלמוד ירושלמי מסכת ביצה פרק ב</w:t>
      </w:r>
      <w:r w:rsidR="006D551C">
        <w:rPr>
          <w:rFonts w:hint="cs"/>
          <w:rtl/>
        </w:rPr>
        <w:t xml:space="preserve"> הלכה ד</w:t>
      </w:r>
      <w:r w:rsidR="00824C75">
        <w:rPr>
          <w:rFonts w:hint="cs"/>
          <w:rtl/>
        </w:rPr>
        <w:t>;</w:t>
      </w:r>
      <w:r w:rsidR="006D551C">
        <w:rPr>
          <w:rFonts w:hint="cs"/>
          <w:rtl/>
        </w:rPr>
        <w:t xml:space="preserve"> </w:t>
      </w:r>
      <w:r w:rsidR="00824C75">
        <w:rPr>
          <w:rFonts w:hint="cs"/>
          <w:rtl/>
        </w:rPr>
        <w:t xml:space="preserve">מסכת </w:t>
      </w:r>
      <w:r w:rsidR="006D551C">
        <w:rPr>
          <w:rFonts w:hint="cs"/>
          <w:rtl/>
        </w:rPr>
        <w:t>חגיגה פרק ב הלכה ג</w:t>
      </w:r>
    </w:p>
    <w:p w14:paraId="3FC39CE3" w14:textId="77777777" w:rsidR="009C46E6" w:rsidRDefault="008C39FA" w:rsidP="008C39FA">
      <w:pPr>
        <w:pStyle w:val="ac"/>
        <w:rPr>
          <w:rFonts w:hint="cs"/>
          <w:rtl/>
        </w:rPr>
      </w:pPr>
      <w:r>
        <w:rPr>
          <w:rFonts w:hint="cs"/>
          <w:rtl/>
        </w:rPr>
        <w:t xml:space="preserve">אמר ר' </w:t>
      </w:r>
      <w:r w:rsidR="00BE56DA">
        <w:rPr>
          <w:rtl/>
        </w:rPr>
        <w:t>יוסי בי ר' בון</w:t>
      </w:r>
      <w:r>
        <w:rPr>
          <w:rFonts w:hint="cs"/>
          <w:rtl/>
        </w:rPr>
        <w:t>:</w:t>
      </w:r>
      <w:r w:rsidR="00BE56DA">
        <w:rPr>
          <w:rtl/>
        </w:rPr>
        <w:t xml:space="preserve"> דוד מת בעצרת והיו כל ישראל אוננין והקריבו למחר</w:t>
      </w:r>
      <w:r>
        <w:rPr>
          <w:rFonts w:hint="cs"/>
          <w:rtl/>
        </w:rPr>
        <w:t>.</w:t>
      </w:r>
      <w:r w:rsidR="00824C75">
        <w:rPr>
          <w:rStyle w:val="a5"/>
          <w:rtl/>
        </w:rPr>
        <w:footnoteReference w:id="5"/>
      </w:r>
    </w:p>
    <w:p w14:paraId="4E6680DD" w14:textId="77777777" w:rsidR="00C20FEF" w:rsidRDefault="00C20FEF" w:rsidP="00B61AB9">
      <w:pPr>
        <w:pStyle w:val="ab"/>
        <w:rPr>
          <w:rtl/>
        </w:rPr>
      </w:pPr>
      <w:r>
        <w:rPr>
          <w:rtl/>
        </w:rPr>
        <w:t>בכור שור מסכת בבא בתרא דף יד עמוד ב</w:t>
      </w:r>
    </w:p>
    <w:p w14:paraId="4D6A744D" w14:textId="77777777" w:rsidR="00C20FEF" w:rsidRDefault="00C20FEF" w:rsidP="00AF572E">
      <w:pPr>
        <w:pStyle w:val="ac"/>
        <w:rPr>
          <w:rFonts w:hint="cs"/>
          <w:rtl/>
        </w:rPr>
      </w:pPr>
      <w:r>
        <w:rPr>
          <w:rtl/>
        </w:rPr>
        <w:t>גמרא</w:t>
      </w:r>
      <w:r w:rsidR="00B61AB9">
        <w:rPr>
          <w:rFonts w:hint="cs"/>
          <w:rtl/>
        </w:rPr>
        <w:t>:</w:t>
      </w:r>
      <w:r>
        <w:rPr>
          <w:rtl/>
        </w:rPr>
        <w:t xml:space="preserve"> </w:t>
      </w:r>
      <w:r w:rsidR="00B61AB9">
        <w:rPr>
          <w:rtl/>
        </w:rPr>
        <w:t>למה נקרא שמה רות? שיצא ממנה דוד שריוהו להקב"ה בשירות ותושבחות.</w:t>
      </w:r>
      <w:r w:rsidR="00B61AB9">
        <w:rPr>
          <w:rStyle w:val="a5"/>
          <w:rtl/>
        </w:rPr>
        <w:footnoteReference w:id="6"/>
      </w:r>
      <w:r w:rsidR="00B61AB9">
        <w:rPr>
          <w:rtl/>
        </w:rPr>
        <w:t xml:space="preserve"> </w:t>
      </w:r>
      <w:r>
        <w:rPr>
          <w:rtl/>
        </w:rPr>
        <w:t>עי</w:t>
      </w:r>
      <w:r w:rsidR="00B61AB9">
        <w:rPr>
          <w:rFonts w:hint="cs"/>
          <w:rtl/>
        </w:rPr>
        <w:t>ין</w:t>
      </w:r>
      <w:r>
        <w:rPr>
          <w:rtl/>
        </w:rPr>
        <w:t xml:space="preserve"> מג</w:t>
      </w:r>
      <w:r w:rsidR="00B61AB9">
        <w:rPr>
          <w:rFonts w:hint="cs"/>
          <w:rtl/>
        </w:rPr>
        <w:t xml:space="preserve">ן אברהם </w:t>
      </w:r>
      <w:r>
        <w:rPr>
          <w:rtl/>
        </w:rPr>
        <w:t>סי</w:t>
      </w:r>
      <w:r w:rsidR="00B61AB9">
        <w:rPr>
          <w:rFonts w:hint="cs"/>
          <w:rtl/>
        </w:rPr>
        <w:t xml:space="preserve">מן </w:t>
      </w:r>
      <w:r>
        <w:rPr>
          <w:rtl/>
        </w:rPr>
        <w:t>ת"צ (ס"ק ח') שנתן טעם בשם הילקוט למה קורין רות בחג השבועות</w:t>
      </w:r>
      <w:r w:rsidR="00B61AB9">
        <w:rPr>
          <w:rFonts w:hint="cs"/>
          <w:rtl/>
        </w:rPr>
        <w:t>.</w:t>
      </w:r>
      <w:r w:rsidR="00B61AB9">
        <w:rPr>
          <w:rStyle w:val="a5"/>
          <w:rtl/>
        </w:rPr>
        <w:footnoteReference w:id="7"/>
      </w:r>
      <w:r>
        <w:rPr>
          <w:rtl/>
        </w:rPr>
        <w:t xml:space="preserve"> ול</w:t>
      </w:r>
      <w:r w:rsidR="00B61AB9">
        <w:rPr>
          <w:rFonts w:hint="cs"/>
          <w:rtl/>
        </w:rPr>
        <w:t xml:space="preserve">עניות </w:t>
      </w:r>
      <w:r w:rsidR="00AF572E">
        <w:rPr>
          <w:rFonts w:hint="cs"/>
          <w:rtl/>
        </w:rPr>
        <w:t>ד</w:t>
      </w:r>
      <w:r w:rsidR="00B61AB9">
        <w:rPr>
          <w:rFonts w:hint="cs"/>
          <w:rtl/>
        </w:rPr>
        <w:t xml:space="preserve">עתי </w:t>
      </w:r>
      <w:r>
        <w:rPr>
          <w:rtl/>
        </w:rPr>
        <w:t>הטעם פשוט ע</w:t>
      </w:r>
      <w:r w:rsidR="00B61AB9">
        <w:rPr>
          <w:rFonts w:hint="cs"/>
          <w:rtl/>
        </w:rPr>
        <w:t xml:space="preserve">ל פי מה </w:t>
      </w:r>
      <w:r w:rsidR="00B61AB9">
        <w:rPr>
          <w:rFonts w:hint="cs"/>
          <w:rtl/>
        </w:rPr>
        <w:lastRenderedPageBreak/>
        <w:t xml:space="preserve">שכתבו </w:t>
      </w:r>
      <w:r>
        <w:rPr>
          <w:rtl/>
        </w:rPr>
        <w:t>תוס</w:t>
      </w:r>
      <w:r w:rsidR="006E4EA0">
        <w:rPr>
          <w:rFonts w:hint="cs"/>
          <w:rtl/>
        </w:rPr>
        <w:t>פות</w:t>
      </w:r>
      <w:r>
        <w:rPr>
          <w:rtl/>
        </w:rPr>
        <w:t xml:space="preserve"> חגיגה דף יז (ע"א ד"ה אף עצרת) בשם הירושלמי דדוד מת בעצרת</w:t>
      </w:r>
      <w:r w:rsidR="00B61AB9">
        <w:rPr>
          <w:rFonts w:hint="cs"/>
          <w:rtl/>
        </w:rPr>
        <w:t>.</w:t>
      </w:r>
      <w:r>
        <w:rPr>
          <w:rtl/>
        </w:rPr>
        <w:t xml:space="preserve"> והנה קיי</w:t>
      </w:r>
      <w:r w:rsidR="00B959BB">
        <w:rPr>
          <w:rFonts w:hint="cs"/>
          <w:rtl/>
        </w:rPr>
        <w:t>מא לן</w:t>
      </w:r>
      <w:r>
        <w:rPr>
          <w:rtl/>
        </w:rPr>
        <w:t xml:space="preserve"> </w:t>
      </w:r>
      <w:r w:rsidR="005C7068">
        <w:rPr>
          <w:rtl/>
        </w:rPr>
        <w:t>הקב"ה</w:t>
      </w:r>
      <w:r>
        <w:rPr>
          <w:rtl/>
        </w:rPr>
        <w:t xml:space="preserve"> יושב וממלא שנותיהן של צדיקים מיום ליום וכיון שמת בעצרת נולד ג"כ בעצרת ועיקר ספר רות לייחס את דוד</w:t>
      </w:r>
      <w:r w:rsidR="006E4EA0">
        <w:rPr>
          <w:rFonts w:hint="cs"/>
          <w:rtl/>
        </w:rPr>
        <w:t xml:space="preserve"> ... </w:t>
      </w:r>
      <w:r>
        <w:rPr>
          <w:rtl/>
        </w:rPr>
        <w:t>דקריאת שם רות היה על שיצא ממנה דוד</w:t>
      </w:r>
      <w:r w:rsidR="006E4EA0">
        <w:rPr>
          <w:rStyle w:val="a5"/>
          <w:rtl/>
        </w:rPr>
        <w:footnoteReference w:id="8"/>
      </w:r>
      <w:r>
        <w:rPr>
          <w:rtl/>
        </w:rPr>
        <w:t xml:space="preserve"> ולהכי קורין רות ביום לידתו, וק</w:t>
      </w:r>
      <w:r w:rsidR="006E4EA0">
        <w:rPr>
          <w:rFonts w:hint="cs"/>
          <w:rtl/>
        </w:rPr>
        <w:t>ל להבין</w:t>
      </w:r>
      <w:r>
        <w:rPr>
          <w:rtl/>
        </w:rPr>
        <w:t>.</w:t>
      </w:r>
      <w:r w:rsidR="003337F2">
        <w:rPr>
          <w:rStyle w:val="a5"/>
          <w:rtl/>
        </w:rPr>
        <w:footnoteReference w:id="9"/>
      </w:r>
    </w:p>
    <w:p w14:paraId="07FC9BE5" w14:textId="77777777" w:rsidR="008A77E2" w:rsidRDefault="008A77E2" w:rsidP="005C7068">
      <w:pPr>
        <w:pStyle w:val="ab"/>
        <w:rPr>
          <w:rtl/>
        </w:rPr>
      </w:pPr>
      <w:r>
        <w:rPr>
          <w:rtl/>
        </w:rPr>
        <w:t>מסכת שבת דף ל עמוד א</w:t>
      </w:r>
    </w:p>
    <w:p w14:paraId="00F56594" w14:textId="77777777" w:rsidR="008A77E2" w:rsidRDefault="008A77E2" w:rsidP="003F47E3">
      <w:pPr>
        <w:pStyle w:val="ac"/>
        <w:rPr>
          <w:rFonts w:hint="cs"/>
          <w:rtl/>
        </w:rPr>
      </w:pPr>
      <w:r>
        <w:rPr>
          <w:rtl/>
        </w:rPr>
        <w:t>ודקאמר שלמה</w:t>
      </w:r>
      <w:r w:rsidR="005C7068">
        <w:rPr>
          <w:rFonts w:hint="cs"/>
          <w:rtl/>
        </w:rPr>
        <w:t>:</w:t>
      </w:r>
      <w:r>
        <w:rPr>
          <w:rtl/>
        </w:rPr>
        <w:t xml:space="preserve"> </w:t>
      </w:r>
      <w:r w:rsidR="005C7068">
        <w:rPr>
          <w:rFonts w:hint="cs"/>
          <w:rtl/>
        </w:rPr>
        <w:t>"</w:t>
      </w:r>
      <w:r>
        <w:rPr>
          <w:rtl/>
        </w:rPr>
        <w:t>כי לכלב חי הוא טוב מן האריה המת</w:t>
      </w:r>
      <w:r w:rsidR="005C7068">
        <w:rPr>
          <w:rFonts w:hint="cs"/>
          <w:rtl/>
        </w:rPr>
        <w:t>"</w:t>
      </w:r>
      <w:r w:rsidR="00CD69CA">
        <w:rPr>
          <w:rFonts w:hint="cs"/>
          <w:rtl/>
        </w:rPr>
        <w:t xml:space="preserve"> (קהלת ט ד)</w:t>
      </w:r>
      <w:r w:rsidR="00CD69CA">
        <w:rPr>
          <w:rStyle w:val="a5"/>
          <w:rtl/>
        </w:rPr>
        <w:footnoteReference w:id="10"/>
      </w:r>
      <w:r>
        <w:rPr>
          <w:rtl/>
        </w:rPr>
        <w:t xml:space="preserve"> - כדרב יהודה אמר רב, דאמר רב יהודה אמר רב: מאי דכתיב</w:t>
      </w:r>
      <w:r w:rsidR="00CD69CA">
        <w:rPr>
          <w:rFonts w:hint="cs"/>
          <w:rtl/>
        </w:rPr>
        <w:t>:</w:t>
      </w:r>
      <w:r>
        <w:rPr>
          <w:rtl/>
        </w:rPr>
        <w:t xml:space="preserve"> </w:t>
      </w:r>
      <w:r w:rsidR="00CD69CA">
        <w:rPr>
          <w:rFonts w:hint="cs"/>
          <w:rtl/>
        </w:rPr>
        <w:t>"</w:t>
      </w:r>
      <w:r w:rsidR="009D194C">
        <w:rPr>
          <w:rtl/>
        </w:rPr>
        <w:t>הוֹדִיעֵנִי ה' קִצִּי וּמִדַּת יָמַי מַה הִיא אֵדְעָה מֶה חָדֵל אָנִי</w:t>
      </w:r>
      <w:r w:rsidR="00CD69CA">
        <w:rPr>
          <w:rFonts w:hint="cs"/>
          <w:rtl/>
        </w:rPr>
        <w:t>" (</w:t>
      </w:r>
      <w:r w:rsidR="009D194C">
        <w:rPr>
          <w:rtl/>
        </w:rPr>
        <w:t>תהלים לט ה</w:t>
      </w:r>
      <w:r w:rsidR="00CD69CA">
        <w:rPr>
          <w:rFonts w:hint="cs"/>
          <w:rtl/>
        </w:rPr>
        <w:t>)</w:t>
      </w:r>
      <w:r>
        <w:rPr>
          <w:rtl/>
        </w:rPr>
        <w:t xml:space="preserve">, אמר דוד לפני </w:t>
      </w:r>
      <w:r w:rsidR="005C7068">
        <w:rPr>
          <w:rtl/>
        </w:rPr>
        <w:t>הקב"ה</w:t>
      </w:r>
      <w:r>
        <w:rPr>
          <w:rtl/>
        </w:rPr>
        <w:t>: ר</w:t>
      </w:r>
      <w:r w:rsidR="009D194C">
        <w:rPr>
          <w:rFonts w:hint="cs"/>
          <w:rtl/>
        </w:rPr>
        <w:t>י</w:t>
      </w:r>
      <w:r>
        <w:rPr>
          <w:rtl/>
        </w:rPr>
        <w:t xml:space="preserve">בונו של עולם, הודיעני ה' קצי! אמר לו: גזרה היא מלפני שאין מודיעין קצו של בשר ודם. </w:t>
      </w:r>
      <w:r w:rsidR="002A4E51">
        <w:rPr>
          <w:rFonts w:hint="cs"/>
          <w:rtl/>
        </w:rPr>
        <w:t>"</w:t>
      </w:r>
      <w:r>
        <w:rPr>
          <w:rtl/>
        </w:rPr>
        <w:t>ומדת ימי מה היא?</w:t>
      </w:r>
      <w:r w:rsidR="002A4E51">
        <w:rPr>
          <w:rFonts w:hint="cs"/>
          <w:rtl/>
        </w:rPr>
        <w:t>"</w:t>
      </w:r>
      <w:r>
        <w:rPr>
          <w:rtl/>
        </w:rPr>
        <w:t xml:space="preserve"> - גזרה היא מלפני שאין מודיעין מדת ימיו של אדם.</w:t>
      </w:r>
      <w:r w:rsidR="009D194C">
        <w:rPr>
          <w:rStyle w:val="a5"/>
          <w:rtl/>
        </w:rPr>
        <w:footnoteReference w:id="11"/>
      </w:r>
      <w:r>
        <w:rPr>
          <w:rtl/>
        </w:rPr>
        <w:t xml:space="preserve"> </w:t>
      </w:r>
      <w:r w:rsidR="002A4E51">
        <w:rPr>
          <w:rFonts w:hint="cs"/>
          <w:rtl/>
        </w:rPr>
        <w:t>"</w:t>
      </w:r>
      <w:r>
        <w:rPr>
          <w:rtl/>
        </w:rPr>
        <w:t>ואדעה מה חדל אני</w:t>
      </w:r>
      <w:r w:rsidR="002A4E51">
        <w:rPr>
          <w:rFonts w:hint="cs"/>
          <w:rtl/>
        </w:rPr>
        <w:t>"</w:t>
      </w:r>
      <w:r>
        <w:rPr>
          <w:rtl/>
        </w:rPr>
        <w:t xml:space="preserve"> - אמר לו: בשבת תמות. - אמות באחד בשבת!</w:t>
      </w:r>
      <w:r w:rsidR="009D194C">
        <w:rPr>
          <w:rStyle w:val="a5"/>
          <w:rtl/>
        </w:rPr>
        <w:footnoteReference w:id="12"/>
      </w:r>
      <w:r>
        <w:rPr>
          <w:rtl/>
        </w:rPr>
        <w:t xml:space="preserve"> - אמר לו: כבר הגיע מלכות שלמה בנך, ואין מלכות נוגעת בחברתה אפילו כמל</w:t>
      </w:r>
      <w:r w:rsidR="009D194C">
        <w:rPr>
          <w:rFonts w:hint="cs"/>
          <w:rtl/>
        </w:rPr>
        <w:t>ו</w:t>
      </w:r>
      <w:r>
        <w:rPr>
          <w:rtl/>
        </w:rPr>
        <w:t>א נימא.</w:t>
      </w:r>
      <w:r w:rsidR="00182AEF">
        <w:rPr>
          <w:rStyle w:val="a5"/>
          <w:rtl/>
        </w:rPr>
        <w:footnoteReference w:id="13"/>
      </w:r>
      <w:r>
        <w:rPr>
          <w:rtl/>
        </w:rPr>
        <w:t xml:space="preserve"> - אמות בערב שבת! - אמר לו: </w:t>
      </w:r>
      <w:r w:rsidR="008C4BCC">
        <w:rPr>
          <w:rFonts w:hint="cs"/>
          <w:rtl/>
        </w:rPr>
        <w:t>"</w:t>
      </w:r>
      <w:r>
        <w:rPr>
          <w:rtl/>
        </w:rPr>
        <w:t>כי טוב יום בחצריך מאלף</w:t>
      </w:r>
      <w:r w:rsidR="008C4BCC">
        <w:rPr>
          <w:rFonts w:hint="cs"/>
          <w:rtl/>
        </w:rPr>
        <w:t>"</w:t>
      </w:r>
      <w:r>
        <w:rPr>
          <w:rtl/>
        </w:rPr>
        <w:t>. טוב לי יום אחד שאתה יושב ועוסק בתורה מאלף עולות שעתיד שלמה בנך להקריב לפני על גבי המזבח.</w:t>
      </w:r>
      <w:r w:rsidR="005C7068">
        <w:rPr>
          <w:rStyle w:val="a5"/>
          <w:rtl/>
        </w:rPr>
        <w:footnoteReference w:id="14"/>
      </w:r>
    </w:p>
    <w:p w14:paraId="614699E2" w14:textId="77777777" w:rsidR="00DA2D8C" w:rsidRDefault="008A77E2" w:rsidP="00F45AAB">
      <w:pPr>
        <w:pStyle w:val="ac"/>
        <w:rPr>
          <w:rFonts w:hint="cs"/>
          <w:rtl/>
        </w:rPr>
      </w:pPr>
      <w:r>
        <w:rPr>
          <w:rtl/>
        </w:rPr>
        <w:t>כל יו</w:t>
      </w:r>
      <w:r w:rsidR="00B959BB">
        <w:rPr>
          <w:rFonts w:hint="cs"/>
          <w:rtl/>
        </w:rPr>
        <w:t xml:space="preserve">ם השבת </w:t>
      </w:r>
      <w:r>
        <w:rPr>
          <w:rtl/>
        </w:rPr>
        <w:t>ה</w:t>
      </w:r>
      <w:r w:rsidR="00B959BB">
        <w:rPr>
          <w:rFonts w:hint="cs"/>
          <w:rtl/>
        </w:rPr>
        <w:t>י</w:t>
      </w:r>
      <w:r>
        <w:rPr>
          <w:rtl/>
        </w:rPr>
        <w:t>ה י</w:t>
      </w:r>
      <w:r w:rsidR="00B959BB">
        <w:rPr>
          <w:rFonts w:hint="cs"/>
          <w:rtl/>
        </w:rPr>
        <w:t>ושב ולומד כל היום</w:t>
      </w:r>
      <w:r w:rsidR="003337F2">
        <w:rPr>
          <w:rFonts w:hint="cs"/>
          <w:rtl/>
        </w:rPr>
        <w:t>.</w:t>
      </w:r>
      <w:r w:rsidR="00E60CA4">
        <w:rPr>
          <w:rStyle w:val="a5"/>
          <w:rtl/>
        </w:rPr>
        <w:footnoteReference w:id="15"/>
      </w:r>
      <w:r>
        <w:rPr>
          <w:rtl/>
        </w:rPr>
        <w:t xml:space="preserve"> </w:t>
      </w:r>
      <w:r w:rsidR="00924257">
        <w:rPr>
          <w:rFonts w:hint="cs"/>
          <w:rtl/>
        </w:rPr>
        <w:t>אותו היום שהתבקש שימות, עמד מלאך המות לפניו ולא יכול לו, שלא פסק פיו מלימוד.</w:t>
      </w:r>
      <w:r w:rsidR="00924257">
        <w:rPr>
          <w:rStyle w:val="a5"/>
          <w:rtl/>
        </w:rPr>
        <w:footnoteReference w:id="16"/>
      </w:r>
      <w:r w:rsidR="00924257">
        <w:rPr>
          <w:rFonts w:hint="cs"/>
          <w:rtl/>
        </w:rPr>
        <w:t xml:space="preserve"> </w:t>
      </w:r>
      <w:r>
        <w:rPr>
          <w:rtl/>
        </w:rPr>
        <w:t>מ</w:t>
      </w:r>
      <w:r w:rsidR="003F47E3">
        <w:rPr>
          <w:rFonts w:hint="cs"/>
          <w:rtl/>
        </w:rPr>
        <w:t>ה אעשה לו</w:t>
      </w:r>
      <w:r>
        <w:rPr>
          <w:rtl/>
        </w:rPr>
        <w:t>?</w:t>
      </w:r>
      <w:r w:rsidR="003F47E3">
        <w:rPr>
          <w:rStyle w:val="a5"/>
          <w:rtl/>
        </w:rPr>
        <w:footnoteReference w:id="17"/>
      </w:r>
      <w:r>
        <w:rPr>
          <w:rtl/>
        </w:rPr>
        <w:t xml:space="preserve"> ה</w:t>
      </w:r>
      <w:r w:rsidR="003F47E3">
        <w:rPr>
          <w:rFonts w:hint="cs"/>
          <w:rtl/>
        </w:rPr>
        <w:t>י</w:t>
      </w:r>
      <w:r>
        <w:rPr>
          <w:rtl/>
        </w:rPr>
        <w:t>ה ל</w:t>
      </w:r>
      <w:r w:rsidR="003F47E3">
        <w:rPr>
          <w:rFonts w:hint="cs"/>
          <w:rtl/>
        </w:rPr>
        <w:t>ו (לדוד) ב</w:t>
      </w:r>
      <w:r>
        <w:rPr>
          <w:rtl/>
        </w:rPr>
        <w:t>וסת</w:t>
      </w:r>
      <w:r w:rsidR="003F47E3">
        <w:rPr>
          <w:rFonts w:hint="cs"/>
          <w:rtl/>
        </w:rPr>
        <w:t xml:space="preserve">ן </w:t>
      </w:r>
      <w:r>
        <w:rPr>
          <w:rtl/>
        </w:rPr>
        <w:t>אחורי בית</w:t>
      </w:r>
      <w:r w:rsidR="003F47E3">
        <w:rPr>
          <w:rFonts w:hint="cs"/>
          <w:rtl/>
        </w:rPr>
        <w:t>ו</w:t>
      </w:r>
      <w:r>
        <w:rPr>
          <w:rtl/>
        </w:rPr>
        <w:t xml:space="preserve">, </w:t>
      </w:r>
      <w:r w:rsidR="003F47E3">
        <w:rPr>
          <w:rFonts w:hint="cs"/>
          <w:rtl/>
        </w:rPr>
        <w:t>ב</w:t>
      </w:r>
      <w:r>
        <w:rPr>
          <w:rtl/>
        </w:rPr>
        <w:t>א מלאך המ</w:t>
      </w:r>
      <w:r w:rsidR="003F47E3">
        <w:rPr>
          <w:rFonts w:hint="cs"/>
          <w:rtl/>
        </w:rPr>
        <w:t>ו</w:t>
      </w:r>
      <w:r>
        <w:rPr>
          <w:rtl/>
        </w:rPr>
        <w:t xml:space="preserve">ות </w:t>
      </w:r>
      <w:r w:rsidR="003F47E3">
        <w:rPr>
          <w:rFonts w:hint="cs"/>
          <w:rtl/>
        </w:rPr>
        <w:t>עלה ונענע</w:t>
      </w:r>
      <w:r>
        <w:rPr>
          <w:rtl/>
        </w:rPr>
        <w:t xml:space="preserve"> </w:t>
      </w:r>
      <w:r>
        <w:rPr>
          <w:rtl/>
        </w:rPr>
        <w:lastRenderedPageBreak/>
        <w:t>באילנ</w:t>
      </w:r>
      <w:r w:rsidR="003F47E3">
        <w:rPr>
          <w:rFonts w:hint="cs"/>
          <w:rtl/>
        </w:rPr>
        <w:t>ות</w:t>
      </w:r>
      <w:r>
        <w:rPr>
          <w:rtl/>
        </w:rPr>
        <w:t xml:space="preserve">, </w:t>
      </w:r>
      <w:r w:rsidR="003F47E3">
        <w:rPr>
          <w:rFonts w:hint="cs"/>
          <w:rtl/>
        </w:rPr>
        <w:t>יצא (דוד) לראותו</w:t>
      </w:r>
      <w:r>
        <w:rPr>
          <w:rtl/>
        </w:rPr>
        <w:t xml:space="preserve">. </w:t>
      </w:r>
      <w:r w:rsidR="003F47E3">
        <w:rPr>
          <w:rFonts w:hint="cs"/>
          <w:rtl/>
        </w:rPr>
        <w:t>כש</w:t>
      </w:r>
      <w:r>
        <w:rPr>
          <w:rtl/>
        </w:rPr>
        <w:t>ה</w:t>
      </w:r>
      <w:r w:rsidR="003F47E3">
        <w:rPr>
          <w:rFonts w:hint="cs"/>
          <w:rtl/>
        </w:rPr>
        <w:t>י</w:t>
      </w:r>
      <w:r>
        <w:rPr>
          <w:rtl/>
        </w:rPr>
        <w:t xml:space="preserve">ה </w:t>
      </w:r>
      <w:r w:rsidR="003F47E3">
        <w:rPr>
          <w:rFonts w:hint="cs"/>
          <w:rtl/>
        </w:rPr>
        <w:t>עולה במדרגות, נפחתה המדרגה מתחתיו</w:t>
      </w:r>
      <w:r>
        <w:rPr>
          <w:rtl/>
        </w:rPr>
        <w:t xml:space="preserve">, </w:t>
      </w:r>
      <w:r w:rsidR="003F47E3">
        <w:rPr>
          <w:rFonts w:hint="cs"/>
          <w:rtl/>
        </w:rPr>
        <w:t xml:space="preserve">השתתק </w:t>
      </w:r>
      <w:r>
        <w:rPr>
          <w:rtl/>
        </w:rPr>
        <w:t>ונח</w:t>
      </w:r>
      <w:r w:rsidR="003F47E3">
        <w:rPr>
          <w:rFonts w:hint="cs"/>
          <w:rtl/>
        </w:rPr>
        <w:t>ה</w:t>
      </w:r>
      <w:r>
        <w:rPr>
          <w:rtl/>
        </w:rPr>
        <w:t xml:space="preserve"> נפש</w:t>
      </w:r>
      <w:r w:rsidR="003F47E3">
        <w:rPr>
          <w:rFonts w:hint="cs"/>
          <w:rtl/>
        </w:rPr>
        <w:t>ו</w:t>
      </w:r>
      <w:r>
        <w:rPr>
          <w:rtl/>
        </w:rPr>
        <w:t>.</w:t>
      </w:r>
      <w:r w:rsidR="003F47E3">
        <w:rPr>
          <w:rStyle w:val="a5"/>
          <w:rtl/>
        </w:rPr>
        <w:footnoteReference w:id="18"/>
      </w:r>
      <w:r>
        <w:rPr>
          <w:rtl/>
        </w:rPr>
        <w:t xml:space="preserve"> שלח שלמה לבי</w:t>
      </w:r>
      <w:r w:rsidR="003F47E3">
        <w:rPr>
          <w:rFonts w:hint="cs"/>
          <w:rtl/>
        </w:rPr>
        <w:t>ת ה</w:t>
      </w:r>
      <w:r>
        <w:rPr>
          <w:rtl/>
        </w:rPr>
        <w:t>מדרש: אבא מת ומוטל בחמה, וכלבים של בית אבא רעבים, מה אעשה?</w:t>
      </w:r>
      <w:r w:rsidR="003C046A">
        <w:rPr>
          <w:rStyle w:val="a5"/>
          <w:rtl/>
        </w:rPr>
        <w:footnoteReference w:id="19"/>
      </w:r>
      <w:r>
        <w:rPr>
          <w:rtl/>
        </w:rPr>
        <w:t xml:space="preserve"> שלחו ליה: חתוך נבלה והנח לפני הכלבים, ואביך - הנח עליו ככר או תינוק וטלטלו.</w:t>
      </w:r>
      <w:r w:rsidR="00E7256B">
        <w:rPr>
          <w:rStyle w:val="a5"/>
          <w:rtl/>
        </w:rPr>
        <w:footnoteReference w:id="20"/>
      </w:r>
      <w:r>
        <w:rPr>
          <w:rtl/>
        </w:rPr>
        <w:t xml:space="preserve"> ולא יפה אמר שלמה</w:t>
      </w:r>
      <w:r w:rsidR="00E7256B">
        <w:rPr>
          <w:rFonts w:hint="cs"/>
          <w:rtl/>
        </w:rPr>
        <w:t>:</w:t>
      </w:r>
      <w:r>
        <w:rPr>
          <w:rtl/>
        </w:rPr>
        <w:t xml:space="preserve"> </w:t>
      </w:r>
      <w:r w:rsidR="00E7256B">
        <w:rPr>
          <w:rFonts w:hint="cs"/>
          <w:rtl/>
        </w:rPr>
        <w:t>"</w:t>
      </w:r>
      <w:r>
        <w:rPr>
          <w:rtl/>
        </w:rPr>
        <w:t>כי לכלב חי הוא טוב מן האריה המת</w:t>
      </w:r>
      <w:r w:rsidR="00E7256B">
        <w:rPr>
          <w:rFonts w:hint="cs"/>
          <w:rtl/>
        </w:rPr>
        <w:t>"</w:t>
      </w:r>
      <w:r>
        <w:rPr>
          <w:rtl/>
        </w:rPr>
        <w:t>?</w:t>
      </w:r>
      <w:r w:rsidR="005800B4">
        <w:rPr>
          <w:rStyle w:val="a5"/>
          <w:rtl/>
        </w:rPr>
        <w:footnoteReference w:id="21"/>
      </w:r>
      <w:r>
        <w:rPr>
          <w:rtl/>
        </w:rPr>
        <w:t xml:space="preserve"> </w:t>
      </w:r>
      <w:r w:rsidR="00F45AAB">
        <w:rPr>
          <w:rFonts w:hint="cs"/>
          <w:rtl/>
        </w:rPr>
        <w:t xml:space="preserve"> </w:t>
      </w:r>
    </w:p>
    <w:p w14:paraId="6C8A5901" w14:textId="77777777" w:rsidR="008A77E2" w:rsidRDefault="008A77E2" w:rsidP="00F45AAB">
      <w:pPr>
        <w:pStyle w:val="ac"/>
        <w:rPr>
          <w:rFonts w:hint="cs"/>
          <w:rtl/>
        </w:rPr>
      </w:pPr>
      <w:r>
        <w:rPr>
          <w:rtl/>
        </w:rPr>
        <w:t xml:space="preserve">ולענין שאילה דשאילנא קדמיכון: נר קרויה נר, ונשמתו של אדם קרויה נר, מוטב תכבה נר של בשר ודם מפני נרו של </w:t>
      </w:r>
      <w:r w:rsidR="005C7068">
        <w:rPr>
          <w:rtl/>
        </w:rPr>
        <w:t>הקב"ה</w:t>
      </w:r>
      <w:r>
        <w:rPr>
          <w:rtl/>
        </w:rPr>
        <w:t>.</w:t>
      </w:r>
      <w:r w:rsidR="00E7256B">
        <w:rPr>
          <w:rStyle w:val="a5"/>
          <w:rtl/>
        </w:rPr>
        <w:footnoteReference w:id="22"/>
      </w:r>
    </w:p>
    <w:p w14:paraId="128561DE" w14:textId="77777777" w:rsidR="008A77E2" w:rsidRDefault="008A77E2" w:rsidP="003C6320">
      <w:pPr>
        <w:pStyle w:val="ab"/>
        <w:rPr>
          <w:rtl/>
        </w:rPr>
      </w:pPr>
      <w:r>
        <w:rPr>
          <w:rtl/>
        </w:rPr>
        <w:t>רות רבה פרשה ג</w:t>
      </w:r>
      <w:r>
        <w:rPr>
          <w:rFonts w:hint="cs"/>
          <w:rtl/>
        </w:rPr>
        <w:t xml:space="preserve"> סימן </w:t>
      </w:r>
      <w:r w:rsidR="003C046A">
        <w:rPr>
          <w:rFonts w:hint="cs"/>
          <w:rtl/>
        </w:rPr>
        <w:t>ב</w:t>
      </w:r>
      <w:r w:rsidR="003C6320">
        <w:rPr>
          <w:rStyle w:val="a5"/>
          <w:rtl/>
        </w:rPr>
        <w:footnoteReference w:id="23"/>
      </w:r>
    </w:p>
    <w:p w14:paraId="220847B5" w14:textId="77777777" w:rsidR="008A77E2" w:rsidRDefault="003C046A" w:rsidP="002A4E51">
      <w:pPr>
        <w:pStyle w:val="ac"/>
        <w:rPr>
          <w:rFonts w:hint="cs"/>
          <w:rtl/>
        </w:rPr>
      </w:pPr>
      <w:r>
        <w:rPr>
          <w:rFonts w:hint="cs"/>
          <w:rtl/>
        </w:rPr>
        <w:t>"</w:t>
      </w:r>
      <w:r w:rsidR="008A77E2">
        <w:rPr>
          <w:rtl/>
        </w:rPr>
        <w:t>הודיעני ה' קצי ומדת ימי מה היא</w:t>
      </w:r>
      <w:r>
        <w:rPr>
          <w:rFonts w:hint="cs"/>
          <w:rtl/>
        </w:rPr>
        <w:t xml:space="preserve">" </w:t>
      </w:r>
      <w:r>
        <w:rPr>
          <w:rtl/>
        </w:rPr>
        <w:t>(תהלים לט</w:t>
      </w:r>
      <w:r>
        <w:rPr>
          <w:rFonts w:hint="cs"/>
          <w:rtl/>
        </w:rPr>
        <w:t xml:space="preserve"> ה</w:t>
      </w:r>
      <w:r>
        <w:rPr>
          <w:rtl/>
        </w:rPr>
        <w:t>)</w:t>
      </w:r>
      <w:r w:rsidR="008A77E2">
        <w:rPr>
          <w:rtl/>
        </w:rPr>
        <w:t xml:space="preserve">, אמר דוד לפני </w:t>
      </w:r>
      <w:r w:rsidR="005C7068">
        <w:rPr>
          <w:rtl/>
        </w:rPr>
        <w:t>הקב"ה</w:t>
      </w:r>
      <w:r>
        <w:rPr>
          <w:rFonts w:hint="cs"/>
          <w:rtl/>
        </w:rPr>
        <w:t>:</w:t>
      </w:r>
      <w:r w:rsidR="008A77E2">
        <w:rPr>
          <w:rtl/>
        </w:rPr>
        <w:t xml:space="preserve"> ר</w:t>
      </w:r>
      <w:r>
        <w:rPr>
          <w:rFonts w:hint="cs"/>
          <w:rtl/>
        </w:rPr>
        <w:t>י</w:t>
      </w:r>
      <w:r w:rsidR="008A77E2">
        <w:rPr>
          <w:rtl/>
        </w:rPr>
        <w:t>בון העולם</w:t>
      </w:r>
      <w:r>
        <w:rPr>
          <w:rFonts w:hint="cs"/>
          <w:rtl/>
        </w:rPr>
        <w:t>,</w:t>
      </w:r>
      <w:r w:rsidR="008A77E2">
        <w:rPr>
          <w:rtl/>
        </w:rPr>
        <w:t xml:space="preserve"> אודע לי אימתי אנ</w:t>
      </w:r>
      <w:r>
        <w:rPr>
          <w:rFonts w:hint="cs"/>
          <w:rtl/>
        </w:rPr>
        <w:t>י</w:t>
      </w:r>
      <w:r w:rsidR="008A77E2">
        <w:rPr>
          <w:rtl/>
        </w:rPr>
        <w:t xml:space="preserve"> מת</w:t>
      </w:r>
      <w:r>
        <w:rPr>
          <w:rFonts w:hint="cs"/>
          <w:rtl/>
        </w:rPr>
        <w:t>.</w:t>
      </w:r>
      <w:r w:rsidR="008A77E2">
        <w:rPr>
          <w:rtl/>
        </w:rPr>
        <w:t xml:space="preserve"> א</w:t>
      </w:r>
      <w:r>
        <w:rPr>
          <w:rFonts w:hint="cs"/>
          <w:rtl/>
        </w:rPr>
        <w:t>מר לו: סוד הוא ש</w:t>
      </w:r>
      <w:r>
        <w:rPr>
          <w:rtl/>
        </w:rPr>
        <w:t>לא מתגל</w:t>
      </w:r>
      <w:r>
        <w:rPr>
          <w:rFonts w:hint="cs"/>
          <w:rtl/>
        </w:rPr>
        <w:t>ה</w:t>
      </w:r>
      <w:r w:rsidR="008A77E2">
        <w:rPr>
          <w:rtl/>
        </w:rPr>
        <w:t xml:space="preserve"> לב</w:t>
      </w:r>
      <w:r>
        <w:rPr>
          <w:rFonts w:hint="cs"/>
          <w:rtl/>
        </w:rPr>
        <w:t xml:space="preserve">ן אדם ואי </w:t>
      </w:r>
      <w:r w:rsidR="008A77E2">
        <w:rPr>
          <w:rtl/>
        </w:rPr>
        <w:t xml:space="preserve">אפשר </w:t>
      </w:r>
      <w:r>
        <w:rPr>
          <w:rFonts w:hint="cs"/>
          <w:rtl/>
        </w:rPr>
        <w:t>ש</w:t>
      </w:r>
      <w:r w:rsidR="008A77E2">
        <w:rPr>
          <w:rtl/>
        </w:rPr>
        <w:t>יתגל</w:t>
      </w:r>
      <w:r>
        <w:rPr>
          <w:rFonts w:hint="cs"/>
          <w:rtl/>
        </w:rPr>
        <w:t>ה</w:t>
      </w:r>
      <w:r w:rsidR="008A77E2">
        <w:rPr>
          <w:rtl/>
        </w:rPr>
        <w:t xml:space="preserve"> לך</w:t>
      </w:r>
      <w:r w:rsidR="00B908C7">
        <w:rPr>
          <w:rFonts w:hint="cs"/>
          <w:rtl/>
        </w:rPr>
        <w:t>.</w:t>
      </w:r>
      <w:r w:rsidR="006228A9">
        <w:rPr>
          <w:rStyle w:val="a5"/>
          <w:rtl/>
        </w:rPr>
        <w:footnoteReference w:id="24"/>
      </w:r>
      <w:r w:rsidR="008A77E2">
        <w:rPr>
          <w:rtl/>
        </w:rPr>
        <w:t xml:space="preserve"> </w:t>
      </w:r>
      <w:r w:rsidR="00B908C7">
        <w:rPr>
          <w:rFonts w:hint="cs"/>
          <w:rtl/>
        </w:rPr>
        <w:t>"</w:t>
      </w:r>
      <w:r w:rsidR="008A77E2">
        <w:rPr>
          <w:rtl/>
        </w:rPr>
        <w:t>ומדת ימי מה היא</w:t>
      </w:r>
      <w:r w:rsidR="00B908C7">
        <w:rPr>
          <w:rFonts w:hint="cs"/>
          <w:rtl/>
        </w:rPr>
        <w:t>"</w:t>
      </w:r>
      <w:r w:rsidR="008A77E2">
        <w:rPr>
          <w:rtl/>
        </w:rPr>
        <w:t>, א</w:t>
      </w:r>
      <w:r w:rsidR="00B908C7">
        <w:rPr>
          <w:rFonts w:hint="cs"/>
          <w:rtl/>
        </w:rPr>
        <w:t xml:space="preserve">מר לו: שבעים </w:t>
      </w:r>
      <w:r w:rsidR="008A77E2">
        <w:rPr>
          <w:rtl/>
        </w:rPr>
        <w:t>שני</w:t>
      </w:r>
      <w:r w:rsidR="00B908C7">
        <w:rPr>
          <w:rFonts w:hint="cs"/>
          <w:rtl/>
        </w:rPr>
        <w:t>ם.</w:t>
      </w:r>
      <w:r w:rsidR="00B908C7">
        <w:rPr>
          <w:rStyle w:val="a5"/>
          <w:rtl/>
        </w:rPr>
        <w:footnoteReference w:id="25"/>
      </w:r>
      <w:r w:rsidR="008A77E2">
        <w:rPr>
          <w:rtl/>
        </w:rPr>
        <w:t xml:space="preserve"> </w:t>
      </w:r>
      <w:r w:rsidR="00B908C7">
        <w:rPr>
          <w:rFonts w:hint="cs"/>
          <w:rtl/>
        </w:rPr>
        <w:t>"</w:t>
      </w:r>
      <w:r w:rsidR="008A77E2">
        <w:rPr>
          <w:rtl/>
        </w:rPr>
        <w:t>ואדעה מה חדל אני</w:t>
      </w:r>
      <w:r w:rsidR="00B908C7">
        <w:rPr>
          <w:rFonts w:hint="cs"/>
          <w:rtl/>
        </w:rPr>
        <w:t>"</w:t>
      </w:r>
      <w:r w:rsidR="008A77E2">
        <w:rPr>
          <w:rtl/>
        </w:rPr>
        <w:t xml:space="preserve">, אודע לי </w:t>
      </w:r>
      <w:r w:rsidR="00B908C7">
        <w:rPr>
          <w:rFonts w:hint="cs"/>
          <w:rtl/>
        </w:rPr>
        <w:t xml:space="preserve">באיזה </w:t>
      </w:r>
      <w:r w:rsidR="008A77E2">
        <w:rPr>
          <w:rtl/>
        </w:rPr>
        <w:t>יו</w:t>
      </w:r>
      <w:r w:rsidR="00B908C7">
        <w:rPr>
          <w:rFonts w:hint="cs"/>
          <w:rtl/>
        </w:rPr>
        <w:t>ם</w:t>
      </w:r>
      <w:r w:rsidR="008A77E2">
        <w:rPr>
          <w:rtl/>
        </w:rPr>
        <w:t xml:space="preserve"> אנ</w:t>
      </w:r>
      <w:r w:rsidR="00B908C7">
        <w:rPr>
          <w:rFonts w:hint="cs"/>
          <w:rtl/>
        </w:rPr>
        <w:t xml:space="preserve">י </w:t>
      </w:r>
      <w:r w:rsidR="008A77E2">
        <w:rPr>
          <w:rtl/>
        </w:rPr>
        <w:t>מת,</w:t>
      </w:r>
      <w:r w:rsidR="006228A9">
        <w:rPr>
          <w:rStyle w:val="a5"/>
          <w:rtl/>
        </w:rPr>
        <w:footnoteReference w:id="26"/>
      </w:r>
      <w:r w:rsidR="008A77E2">
        <w:rPr>
          <w:rtl/>
        </w:rPr>
        <w:t xml:space="preserve"> </w:t>
      </w:r>
      <w:r w:rsidR="00350C84">
        <w:rPr>
          <w:rtl/>
        </w:rPr>
        <w:t>אמר לו</w:t>
      </w:r>
      <w:r w:rsidR="00B908C7">
        <w:rPr>
          <w:rFonts w:hint="cs"/>
          <w:rtl/>
        </w:rPr>
        <w:t>:</w:t>
      </w:r>
      <w:r w:rsidR="008A77E2">
        <w:rPr>
          <w:rtl/>
        </w:rPr>
        <w:t xml:space="preserve"> בשבת</w:t>
      </w:r>
      <w:r w:rsidR="00B908C7">
        <w:rPr>
          <w:rFonts w:hint="cs"/>
          <w:rtl/>
        </w:rPr>
        <w:t>.</w:t>
      </w:r>
      <w:r w:rsidR="008A77E2">
        <w:rPr>
          <w:rtl/>
        </w:rPr>
        <w:t xml:space="preserve"> </w:t>
      </w:r>
      <w:r w:rsidR="00350C84">
        <w:rPr>
          <w:rtl/>
        </w:rPr>
        <w:t>אמר לו</w:t>
      </w:r>
      <w:r w:rsidR="00B908C7">
        <w:rPr>
          <w:rFonts w:hint="cs"/>
          <w:rtl/>
        </w:rPr>
        <w:t>:</w:t>
      </w:r>
      <w:r w:rsidR="008A77E2">
        <w:rPr>
          <w:rtl/>
        </w:rPr>
        <w:t xml:space="preserve"> פ</w:t>
      </w:r>
      <w:r w:rsidR="002A4E51">
        <w:rPr>
          <w:rtl/>
        </w:rPr>
        <w:t>ְּ</w:t>
      </w:r>
      <w:r w:rsidR="008A77E2">
        <w:rPr>
          <w:rtl/>
        </w:rPr>
        <w:t>ח</w:t>
      </w:r>
      <w:r w:rsidR="00B908C7">
        <w:rPr>
          <w:rFonts w:hint="cs"/>
          <w:rtl/>
        </w:rPr>
        <w:t>ו</w:t>
      </w:r>
      <w:r w:rsidR="002A4E51">
        <w:rPr>
          <w:rFonts w:hint="eastAsia"/>
          <w:rtl/>
        </w:rPr>
        <w:t>ֹ</w:t>
      </w:r>
      <w:r w:rsidR="008A77E2">
        <w:rPr>
          <w:rtl/>
        </w:rPr>
        <w:t xml:space="preserve">ת לי </w:t>
      </w:r>
      <w:r w:rsidR="00B908C7">
        <w:rPr>
          <w:rFonts w:hint="cs"/>
          <w:rtl/>
        </w:rPr>
        <w:t>יום אחד מימי חיי.</w:t>
      </w:r>
      <w:r w:rsidR="008A77E2">
        <w:rPr>
          <w:rtl/>
        </w:rPr>
        <w:t xml:space="preserve"> </w:t>
      </w:r>
      <w:r w:rsidR="00350C84">
        <w:rPr>
          <w:rtl/>
        </w:rPr>
        <w:t>אמר לו</w:t>
      </w:r>
      <w:r w:rsidR="00B908C7">
        <w:rPr>
          <w:rFonts w:hint="cs"/>
          <w:rtl/>
        </w:rPr>
        <w:t>:</w:t>
      </w:r>
      <w:r w:rsidR="008A77E2">
        <w:rPr>
          <w:rtl/>
        </w:rPr>
        <w:t xml:space="preserve"> לא</w:t>
      </w:r>
      <w:r w:rsidR="00B908C7">
        <w:rPr>
          <w:rFonts w:hint="cs"/>
          <w:rtl/>
        </w:rPr>
        <w:t>.</w:t>
      </w:r>
      <w:r w:rsidR="008A77E2">
        <w:rPr>
          <w:rtl/>
        </w:rPr>
        <w:t xml:space="preserve"> </w:t>
      </w:r>
      <w:r w:rsidR="00350C84">
        <w:rPr>
          <w:rtl/>
        </w:rPr>
        <w:t>אמר לו</w:t>
      </w:r>
      <w:r w:rsidR="00B908C7">
        <w:rPr>
          <w:rFonts w:hint="cs"/>
          <w:rtl/>
        </w:rPr>
        <w:t>:</w:t>
      </w:r>
      <w:r w:rsidR="008A77E2">
        <w:rPr>
          <w:rtl/>
        </w:rPr>
        <w:t xml:space="preserve"> למה</w:t>
      </w:r>
      <w:r w:rsidR="00B908C7">
        <w:rPr>
          <w:rFonts w:hint="cs"/>
          <w:rtl/>
        </w:rPr>
        <w:t>?</w:t>
      </w:r>
      <w:r w:rsidR="008A77E2">
        <w:rPr>
          <w:rtl/>
        </w:rPr>
        <w:t xml:space="preserve"> </w:t>
      </w:r>
      <w:r w:rsidR="00350C84">
        <w:rPr>
          <w:rtl/>
        </w:rPr>
        <w:t>אמר לו</w:t>
      </w:r>
      <w:r w:rsidR="00B908C7">
        <w:rPr>
          <w:rFonts w:hint="cs"/>
          <w:rtl/>
        </w:rPr>
        <w:t>:</w:t>
      </w:r>
      <w:r w:rsidR="008A77E2">
        <w:rPr>
          <w:rtl/>
        </w:rPr>
        <w:t xml:space="preserve"> חביבה עלי תפ</w:t>
      </w:r>
      <w:r w:rsidR="00B908C7">
        <w:rPr>
          <w:rFonts w:hint="cs"/>
          <w:rtl/>
        </w:rPr>
        <w:t>י</w:t>
      </w:r>
      <w:r w:rsidR="008A77E2">
        <w:rPr>
          <w:rtl/>
        </w:rPr>
        <w:t>לה אחת שאתה עומד ומתפלל לפני</w:t>
      </w:r>
      <w:r w:rsidR="00B908C7">
        <w:rPr>
          <w:rFonts w:hint="cs"/>
          <w:rtl/>
        </w:rPr>
        <w:t>,</w:t>
      </w:r>
      <w:r w:rsidR="008A77E2">
        <w:rPr>
          <w:rtl/>
        </w:rPr>
        <w:t xml:space="preserve"> מאלף עולות שעתיד שלמה בנך להעלות לפני</w:t>
      </w:r>
      <w:r w:rsidR="00B908C7">
        <w:rPr>
          <w:rFonts w:hint="cs"/>
          <w:rtl/>
        </w:rPr>
        <w:t>,</w:t>
      </w:r>
      <w:r w:rsidR="008A77E2">
        <w:rPr>
          <w:rtl/>
        </w:rPr>
        <w:t xml:space="preserve"> שנאמר</w:t>
      </w:r>
      <w:r w:rsidR="00B908C7">
        <w:rPr>
          <w:rFonts w:hint="cs"/>
          <w:rtl/>
        </w:rPr>
        <w:t>:</w:t>
      </w:r>
      <w:r w:rsidR="008A77E2">
        <w:rPr>
          <w:rtl/>
        </w:rPr>
        <w:t xml:space="preserve"> </w:t>
      </w:r>
      <w:r w:rsidR="00B908C7">
        <w:rPr>
          <w:rFonts w:hint="cs"/>
          <w:rtl/>
        </w:rPr>
        <w:t>"</w:t>
      </w:r>
      <w:r w:rsidR="008A77E2">
        <w:rPr>
          <w:rtl/>
        </w:rPr>
        <w:t>אלף עולות יעלה שלמה על המזבח ההוא</w:t>
      </w:r>
      <w:r w:rsidR="00B908C7">
        <w:rPr>
          <w:rFonts w:hint="cs"/>
          <w:rtl/>
        </w:rPr>
        <w:t xml:space="preserve">" </w:t>
      </w:r>
      <w:r w:rsidR="00B908C7">
        <w:rPr>
          <w:rtl/>
        </w:rPr>
        <w:t>(מלכים א ג</w:t>
      </w:r>
      <w:r w:rsidR="00B908C7">
        <w:rPr>
          <w:rFonts w:hint="cs"/>
          <w:rtl/>
        </w:rPr>
        <w:t xml:space="preserve"> ד</w:t>
      </w:r>
      <w:r w:rsidR="00B908C7">
        <w:rPr>
          <w:rtl/>
        </w:rPr>
        <w:t>)</w:t>
      </w:r>
      <w:r w:rsidR="00B908C7">
        <w:rPr>
          <w:rFonts w:hint="cs"/>
          <w:rtl/>
        </w:rPr>
        <w:t>.</w:t>
      </w:r>
      <w:r w:rsidR="008A77E2">
        <w:rPr>
          <w:rtl/>
        </w:rPr>
        <w:t xml:space="preserve"> </w:t>
      </w:r>
      <w:r w:rsidR="00350C84">
        <w:rPr>
          <w:rtl/>
        </w:rPr>
        <w:t>אמר לו</w:t>
      </w:r>
      <w:r w:rsidR="00B908C7">
        <w:rPr>
          <w:rFonts w:hint="cs"/>
          <w:rtl/>
        </w:rPr>
        <w:t>: הוסף</w:t>
      </w:r>
      <w:r w:rsidR="008A77E2">
        <w:rPr>
          <w:rtl/>
        </w:rPr>
        <w:t xml:space="preserve"> לי </w:t>
      </w:r>
      <w:r w:rsidR="00B908C7">
        <w:rPr>
          <w:rFonts w:hint="cs"/>
          <w:rtl/>
        </w:rPr>
        <w:t xml:space="preserve">יום אחד. </w:t>
      </w:r>
      <w:r w:rsidR="00350C84">
        <w:rPr>
          <w:rtl/>
        </w:rPr>
        <w:t>אמר לו</w:t>
      </w:r>
      <w:r w:rsidR="008A77E2">
        <w:rPr>
          <w:rtl/>
        </w:rPr>
        <w:t xml:space="preserve"> ל</w:t>
      </w:r>
      <w:r w:rsidR="00B908C7">
        <w:rPr>
          <w:rFonts w:hint="cs"/>
          <w:rtl/>
        </w:rPr>
        <w:t xml:space="preserve">ו: </w:t>
      </w:r>
      <w:r w:rsidR="008A77E2">
        <w:rPr>
          <w:rtl/>
        </w:rPr>
        <w:t>לא</w:t>
      </w:r>
      <w:r w:rsidR="00B908C7">
        <w:rPr>
          <w:rFonts w:hint="cs"/>
          <w:rtl/>
        </w:rPr>
        <w:t>.</w:t>
      </w:r>
      <w:r w:rsidR="008A77E2">
        <w:rPr>
          <w:rtl/>
        </w:rPr>
        <w:t xml:space="preserve"> </w:t>
      </w:r>
      <w:r w:rsidR="00350C84">
        <w:rPr>
          <w:rtl/>
        </w:rPr>
        <w:t>אמר לו</w:t>
      </w:r>
      <w:r w:rsidR="00B908C7">
        <w:rPr>
          <w:rFonts w:hint="cs"/>
          <w:rtl/>
        </w:rPr>
        <w:t>:</w:t>
      </w:r>
      <w:r w:rsidR="008A77E2">
        <w:rPr>
          <w:rtl/>
        </w:rPr>
        <w:t xml:space="preserve"> למה</w:t>
      </w:r>
      <w:r w:rsidR="00B908C7">
        <w:rPr>
          <w:rFonts w:hint="cs"/>
          <w:rtl/>
        </w:rPr>
        <w:t>?</w:t>
      </w:r>
      <w:r w:rsidR="008A77E2">
        <w:rPr>
          <w:rtl/>
        </w:rPr>
        <w:t xml:space="preserve"> </w:t>
      </w:r>
      <w:r w:rsidR="00350C84">
        <w:rPr>
          <w:rtl/>
        </w:rPr>
        <w:t>אמר לו</w:t>
      </w:r>
      <w:r w:rsidR="00B908C7">
        <w:rPr>
          <w:rFonts w:hint="cs"/>
          <w:rtl/>
        </w:rPr>
        <w:t>:</w:t>
      </w:r>
      <w:r w:rsidR="008A77E2">
        <w:rPr>
          <w:rtl/>
        </w:rPr>
        <w:t xml:space="preserve"> ארכי של בנך דוחקת, </w:t>
      </w:r>
      <w:r w:rsidR="00B908C7">
        <w:rPr>
          <w:rFonts w:hint="cs"/>
          <w:rtl/>
        </w:rPr>
        <w:t xml:space="preserve">שאמר ר' </w:t>
      </w:r>
      <w:r w:rsidR="008A77E2">
        <w:rPr>
          <w:rtl/>
        </w:rPr>
        <w:t>שמעון בר אבא בשם ר' יוחנן</w:t>
      </w:r>
      <w:r w:rsidR="00B908C7">
        <w:rPr>
          <w:rFonts w:hint="cs"/>
          <w:rtl/>
        </w:rPr>
        <w:t>:</w:t>
      </w:r>
      <w:r w:rsidR="008A77E2">
        <w:rPr>
          <w:rtl/>
        </w:rPr>
        <w:t xml:space="preserve"> ארכיות ארכיות הן ואין אחד מהן נכנס לתוך ארכי</w:t>
      </w:r>
      <w:r w:rsidR="00F45AAB">
        <w:rPr>
          <w:rStyle w:val="a5"/>
          <w:rtl/>
        </w:rPr>
        <w:footnoteReference w:id="27"/>
      </w:r>
      <w:r w:rsidR="008A77E2">
        <w:rPr>
          <w:rtl/>
        </w:rPr>
        <w:t xml:space="preserve"> של חברו אפי</w:t>
      </w:r>
      <w:r w:rsidR="00B908C7">
        <w:rPr>
          <w:rFonts w:hint="cs"/>
          <w:rtl/>
        </w:rPr>
        <w:t>לו</w:t>
      </w:r>
      <w:r w:rsidR="008A77E2">
        <w:rPr>
          <w:rtl/>
        </w:rPr>
        <w:t xml:space="preserve"> כמל</w:t>
      </w:r>
      <w:r w:rsidR="00B908C7">
        <w:rPr>
          <w:rFonts w:hint="cs"/>
          <w:rtl/>
        </w:rPr>
        <w:t>ו</w:t>
      </w:r>
      <w:r w:rsidR="008A77E2">
        <w:rPr>
          <w:rtl/>
        </w:rPr>
        <w:t>א נימא</w:t>
      </w:r>
      <w:r w:rsidR="00B908C7">
        <w:rPr>
          <w:rFonts w:hint="cs"/>
          <w:rtl/>
        </w:rPr>
        <w:t>.</w:t>
      </w:r>
      <w:r w:rsidR="00946B03">
        <w:rPr>
          <w:rStyle w:val="a5"/>
          <w:rtl/>
        </w:rPr>
        <w:footnoteReference w:id="28"/>
      </w:r>
      <w:r w:rsidR="008A77E2">
        <w:rPr>
          <w:rtl/>
        </w:rPr>
        <w:t xml:space="preserve"> ומת </w:t>
      </w:r>
      <w:r w:rsidR="008A77E2">
        <w:rPr>
          <w:rtl/>
        </w:rPr>
        <w:lastRenderedPageBreak/>
        <w:t>בעצרת שחל להיות בשבת</w:t>
      </w:r>
      <w:r w:rsidR="0063696F">
        <w:rPr>
          <w:rStyle w:val="a5"/>
          <w:rtl/>
        </w:rPr>
        <w:footnoteReference w:id="29"/>
      </w:r>
      <w:r w:rsidR="008A77E2">
        <w:rPr>
          <w:rtl/>
        </w:rPr>
        <w:t xml:space="preserve"> ו</w:t>
      </w:r>
      <w:r w:rsidR="00B908C7">
        <w:rPr>
          <w:rFonts w:hint="cs"/>
          <w:rtl/>
        </w:rPr>
        <w:t xml:space="preserve">עלתה </w:t>
      </w:r>
      <w:r w:rsidR="008A77E2">
        <w:rPr>
          <w:rtl/>
        </w:rPr>
        <w:t xml:space="preserve">סנהדרין </w:t>
      </w:r>
      <w:r w:rsidR="00B908C7">
        <w:rPr>
          <w:rFonts w:hint="cs"/>
          <w:rtl/>
        </w:rPr>
        <w:t xml:space="preserve">להראות פנים </w:t>
      </w:r>
      <w:r w:rsidR="008A77E2">
        <w:rPr>
          <w:rtl/>
        </w:rPr>
        <w:t>לשלמה</w:t>
      </w:r>
      <w:r w:rsidR="00B908C7">
        <w:rPr>
          <w:rFonts w:hint="cs"/>
          <w:rtl/>
        </w:rPr>
        <w:t>.</w:t>
      </w:r>
      <w:r w:rsidR="00F1611A">
        <w:rPr>
          <w:rStyle w:val="a5"/>
          <w:rtl/>
        </w:rPr>
        <w:footnoteReference w:id="30"/>
      </w:r>
      <w:r w:rsidR="008A77E2">
        <w:rPr>
          <w:rtl/>
        </w:rPr>
        <w:t xml:space="preserve"> אמר לה</w:t>
      </w:r>
      <w:r w:rsidR="00B908C7">
        <w:rPr>
          <w:rFonts w:hint="cs"/>
          <w:rtl/>
        </w:rPr>
        <w:t xml:space="preserve">ם: (מה הדין) להעביר אותו ממקום למקום? אמרו לו: </w:t>
      </w:r>
      <w:r w:rsidR="008A77E2">
        <w:rPr>
          <w:rtl/>
        </w:rPr>
        <w:t>ולא</w:t>
      </w:r>
      <w:r w:rsidR="00B908C7">
        <w:rPr>
          <w:rFonts w:hint="cs"/>
          <w:rtl/>
        </w:rPr>
        <w:t xml:space="preserve"> משנה היא</w:t>
      </w:r>
      <w:r w:rsidR="0063696F">
        <w:rPr>
          <w:rFonts w:hint="cs"/>
          <w:rtl/>
        </w:rPr>
        <w:t xml:space="preserve">? </w:t>
      </w:r>
      <w:r w:rsidR="00B908C7">
        <w:rPr>
          <w:rFonts w:hint="cs"/>
          <w:rtl/>
        </w:rPr>
        <w:t>"</w:t>
      </w:r>
      <w:r w:rsidR="0063696F">
        <w:rPr>
          <w:rtl/>
        </w:rPr>
        <w:t>עושין כל צורכי המת סכין ומדיחין אותו ובלבד שלא יזיזו בו אבר</w:t>
      </w:r>
      <w:r w:rsidR="0063696F">
        <w:rPr>
          <w:rFonts w:hint="cs"/>
          <w:rtl/>
        </w:rPr>
        <w:t>" (</w:t>
      </w:r>
      <w:r w:rsidR="0063696F">
        <w:rPr>
          <w:rtl/>
        </w:rPr>
        <w:t>מסכת שבת פרק כג</w:t>
      </w:r>
      <w:r w:rsidR="0063696F">
        <w:rPr>
          <w:rFonts w:hint="cs"/>
          <w:rtl/>
        </w:rPr>
        <w:t xml:space="preserve"> </w:t>
      </w:r>
      <w:r w:rsidR="0063696F">
        <w:rPr>
          <w:rtl/>
        </w:rPr>
        <w:t>משנה ה</w:t>
      </w:r>
      <w:r w:rsidR="0063696F">
        <w:rPr>
          <w:rFonts w:hint="cs"/>
          <w:rtl/>
        </w:rPr>
        <w:t xml:space="preserve">)! </w:t>
      </w:r>
      <w:r w:rsidR="008A77E2">
        <w:rPr>
          <w:rtl/>
        </w:rPr>
        <w:t>אמר</w:t>
      </w:r>
      <w:r w:rsidR="0063696F">
        <w:rPr>
          <w:rFonts w:hint="cs"/>
          <w:rtl/>
        </w:rPr>
        <w:t>:</w:t>
      </w:r>
      <w:r w:rsidR="008A77E2">
        <w:rPr>
          <w:rtl/>
        </w:rPr>
        <w:t xml:space="preserve"> כלבים של בית אבא רעבי</w:t>
      </w:r>
      <w:r w:rsidR="0063696F">
        <w:rPr>
          <w:rFonts w:hint="cs"/>
          <w:rtl/>
        </w:rPr>
        <w:t>ם.</w:t>
      </w:r>
      <w:r w:rsidR="008A77E2">
        <w:rPr>
          <w:rtl/>
        </w:rPr>
        <w:t xml:space="preserve"> אמר</w:t>
      </w:r>
      <w:r w:rsidR="0063696F">
        <w:rPr>
          <w:rFonts w:hint="cs"/>
          <w:rtl/>
        </w:rPr>
        <w:t>ו לו: ולא משנה היא? "</w:t>
      </w:r>
      <w:r w:rsidR="0063696F">
        <w:rPr>
          <w:rtl/>
        </w:rPr>
        <w:t>מחתכין את הדילועין לפני הבהמה ואת הנבלה לפני הכלבים</w:t>
      </w:r>
      <w:r w:rsidR="0063696F">
        <w:rPr>
          <w:rFonts w:hint="cs"/>
          <w:rtl/>
        </w:rPr>
        <w:t>" (</w:t>
      </w:r>
      <w:r w:rsidR="0063696F">
        <w:rPr>
          <w:rtl/>
        </w:rPr>
        <w:t>מסכת שבת פרק כד</w:t>
      </w:r>
      <w:r w:rsidR="0063696F">
        <w:rPr>
          <w:rFonts w:hint="cs"/>
          <w:rtl/>
        </w:rPr>
        <w:t xml:space="preserve"> </w:t>
      </w:r>
      <w:r w:rsidR="0063696F">
        <w:rPr>
          <w:rtl/>
        </w:rPr>
        <w:t>משנה ד</w:t>
      </w:r>
      <w:r w:rsidR="0063696F">
        <w:rPr>
          <w:rFonts w:hint="cs"/>
          <w:rtl/>
        </w:rPr>
        <w:t>).</w:t>
      </w:r>
      <w:r w:rsidR="00925E1A">
        <w:rPr>
          <w:rStyle w:val="a5"/>
          <w:rtl/>
        </w:rPr>
        <w:footnoteReference w:id="31"/>
      </w:r>
      <w:r w:rsidR="0063696F">
        <w:rPr>
          <w:rFonts w:hint="cs"/>
          <w:rtl/>
        </w:rPr>
        <w:t xml:space="preserve"> </w:t>
      </w:r>
      <w:r w:rsidR="008A77E2">
        <w:rPr>
          <w:rtl/>
        </w:rPr>
        <w:t>מה עשה</w:t>
      </w:r>
      <w:r w:rsidR="0063696F">
        <w:rPr>
          <w:rFonts w:hint="cs"/>
          <w:rtl/>
        </w:rPr>
        <w:t>?</w:t>
      </w:r>
      <w:r w:rsidR="008A77E2">
        <w:rPr>
          <w:rtl/>
        </w:rPr>
        <w:t xml:space="preserve"> נטל פיפקין</w:t>
      </w:r>
      <w:r w:rsidR="0063696F">
        <w:rPr>
          <w:rStyle w:val="a5"/>
          <w:rtl/>
        </w:rPr>
        <w:footnoteReference w:id="32"/>
      </w:r>
      <w:r w:rsidR="008A77E2">
        <w:rPr>
          <w:rtl/>
        </w:rPr>
        <w:t xml:space="preserve"> ופרש עליו כדי שלא תרד השמש</w:t>
      </w:r>
      <w:r w:rsidR="00392059">
        <w:rPr>
          <w:rFonts w:hint="cs"/>
          <w:rtl/>
        </w:rPr>
        <w:t>.</w:t>
      </w:r>
      <w:r w:rsidR="008A77E2">
        <w:rPr>
          <w:rtl/>
        </w:rPr>
        <w:t xml:space="preserve"> ויש אומרים לנשרים קרא ופרשו עליו אגפיהון כדי שלא תרד עליו השמש.</w:t>
      </w:r>
      <w:r w:rsidR="00322BCC">
        <w:rPr>
          <w:rStyle w:val="a5"/>
          <w:rtl/>
        </w:rPr>
        <w:footnoteReference w:id="33"/>
      </w:r>
    </w:p>
    <w:p w14:paraId="32B3BE3A" w14:textId="77777777" w:rsidR="003F5DEC" w:rsidRDefault="003F5DEC" w:rsidP="003F5DEC">
      <w:pPr>
        <w:pStyle w:val="ab"/>
        <w:rPr>
          <w:rtl/>
        </w:rPr>
      </w:pPr>
      <w:r>
        <w:rPr>
          <w:rtl/>
        </w:rPr>
        <w:t>תוספתא מסכת שבת (ליברמן) פרק יז</w:t>
      </w:r>
      <w:r>
        <w:rPr>
          <w:rFonts w:hint="cs"/>
          <w:rtl/>
        </w:rPr>
        <w:t xml:space="preserve"> </w:t>
      </w:r>
      <w:r>
        <w:rPr>
          <w:rtl/>
        </w:rPr>
        <w:t>הלכה יט</w:t>
      </w:r>
    </w:p>
    <w:p w14:paraId="349577E2" w14:textId="77777777" w:rsidR="003F5DEC" w:rsidRDefault="003F5DEC" w:rsidP="00332E5A">
      <w:pPr>
        <w:pStyle w:val="ac"/>
        <w:rPr>
          <w:rFonts w:hint="cs"/>
          <w:rtl/>
        </w:rPr>
      </w:pPr>
      <w:r>
        <w:rPr>
          <w:rFonts w:hint="cs"/>
          <w:rtl/>
        </w:rPr>
        <w:t xml:space="preserve">... </w:t>
      </w:r>
      <w:r>
        <w:rPr>
          <w:rtl/>
        </w:rPr>
        <w:t>וכן היה ר' שמעון בן לעזר אומ</w:t>
      </w:r>
      <w:r>
        <w:rPr>
          <w:rFonts w:hint="cs"/>
          <w:rtl/>
        </w:rPr>
        <w:t>ר:</w:t>
      </w:r>
      <w:r>
        <w:rPr>
          <w:rtl/>
        </w:rPr>
        <w:t xml:space="preserve"> אפי</w:t>
      </w:r>
      <w:r w:rsidR="00322BCC">
        <w:rPr>
          <w:rFonts w:hint="cs"/>
          <w:rtl/>
        </w:rPr>
        <w:t>לו</w:t>
      </w:r>
      <w:r>
        <w:rPr>
          <w:rtl/>
        </w:rPr>
        <w:t xml:space="preserve"> קטן בן יומו חי </w:t>
      </w:r>
      <w:r w:rsidR="00322BCC">
        <w:rPr>
          <w:rFonts w:hint="cs"/>
          <w:rtl/>
        </w:rPr>
        <w:t xml:space="preserve">- </w:t>
      </w:r>
      <w:r>
        <w:rPr>
          <w:rtl/>
        </w:rPr>
        <w:t>מחללין עליו את השבת</w:t>
      </w:r>
      <w:r w:rsidR="00322BCC">
        <w:rPr>
          <w:rFonts w:hint="cs"/>
          <w:rtl/>
        </w:rPr>
        <w:t>,</w:t>
      </w:r>
      <w:r>
        <w:rPr>
          <w:rtl/>
        </w:rPr>
        <w:t xml:space="preserve"> ואפי</w:t>
      </w:r>
      <w:r w:rsidR="00322BCC">
        <w:rPr>
          <w:rFonts w:hint="cs"/>
          <w:rtl/>
        </w:rPr>
        <w:t>לו</w:t>
      </w:r>
      <w:r>
        <w:rPr>
          <w:rtl/>
        </w:rPr>
        <w:t xml:space="preserve"> דוד מלך ישראל מת </w:t>
      </w:r>
      <w:r w:rsidR="00322BCC">
        <w:rPr>
          <w:rFonts w:hint="cs"/>
          <w:rtl/>
        </w:rPr>
        <w:t xml:space="preserve">- </w:t>
      </w:r>
      <w:r>
        <w:rPr>
          <w:rtl/>
        </w:rPr>
        <w:t>אין מחללין עליו את השבת</w:t>
      </w:r>
      <w:r w:rsidR="00322BCC">
        <w:rPr>
          <w:rFonts w:hint="cs"/>
          <w:rtl/>
        </w:rPr>
        <w:t>.</w:t>
      </w:r>
      <w:r>
        <w:rPr>
          <w:rtl/>
        </w:rPr>
        <w:t xml:space="preserve"> שכל זמן שאדם חי עוסק במצות לפיכך מחללין עליו את השבת</w:t>
      </w:r>
      <w:r w:rsidR="00322BCC">
        <w:rPr>
          <w:rFonts w:hint="cs"/>
          <w:rtl/>
        </w:rPr>
        <w:t>.</w:t>
      </w:r>
      <w:r>
        <w:rPr>
          <w:rtl/>
        </w:rPr>
        <w:t xml:space="preserve"> מת בטל מן המצות לפיכך אין מחללין עליו את השבת</w:t>
      </w:r>
      <w:r w:rsidR="00322BCC">
        <w:rPr>
          <w:rFonts w:hint="cs"/>
          <w:rtl/>
        </w:rPr>
        <w:t>.</w:t>
      </w:r>
      <w:r>
        <w:rPr>
          <w:rtl/>
        </w:rPr>
        <w:t xml:space="preserve"> וכן היה ר' שמעון בן לעזר או</w:t>
      </w:r>
      <w:r w:rsidR="00322BCC">
        <w:rPr>
          <w:rFonts w:hint="cs"/>
          <w:rtl/>
        </w:rPr>
        <w:t xml:space="preserve">מר: </w:t>
      </w:r>
      <w:r>
        <w:rPr>
          <w:rtl/>
        </w:rPr>
        <w:t>אפי</w:t>
      </w:r>
      <w:r w:rsidR="00322BCC">
        <w:rPr>
          <w:rFonts w:hint="cs"/>
          <w:rtl/>
        </w:rPr>
        <w:t>לו</w:t>
      </w:r>
      <w:r>
        <w:rPr>
          <w:rtl/>
        </w:rPr>
        <w:t xml:space="preserve"> קטן בן יומו אין משמרין אותו לא מן החולדה ולא מן העכברים</w:t>
      </w:r>
      <w:r w:rsidR="00322BCC">
        <w:rPr>
          <w:rFonts w:hint="cs"/>
          <w:rtl/>
        </w:rPr>
        <w:t>.</w:t>
      </w:r>
      <w:r>
        <w:rPr>
          <w:rtl/>
        </w:rPr>
        <w:t xml:space="preserve"> שהכלב רואה אותו ובורח נחש רואה אותו ובורח</w:t>
      </w:r>
      <w:r w:rsidR="00322BCC">
        <w:rPr>
          <w:rFonts w:hint="cs"/>
          <w:rtl/>
        </w:rPr>
        <w:t>.</w:t>
      </w:r>
      <w:r>
        <w:rPr>
          <w:rtl/>
        </w:rPr>
        <w:t xml:space="preserve"> ואפי</w:t>
      </w:r>
      <w:r w:rsidR="00322BCC">
        <w:rPr>
          <w:rFonts w:hint="cs"/>
          <w:rtl/>
        </w:rPr>
        <w:t>לו</w:t>
      </w:r>
      <w:r>
        <w:rPr>
          <w:rtl/>
        </w:rPr>
        <w:t xml:space="preserve"> עוג מלך הבשן מת משמרין אותו מן חולדה ומן עכברים</w:t>
      </w:r>
      <w:r w:rsidR="00322BCC">
        <w:rPr>
          <w:rFonts w:hint="cs"/>
          <w:rtl/>
        </w:rPr>
        <w:t>.</w:t>
      </w:r>
      <w:r>
        <w:rPr>
          <w:rtl/>
        </w:rPr>
        <w:t xml:space="preserve"> שכל זמן שאדם חי מוראו מוטל על הבריות</w:t>
      </w:r>
      <w:r w:rsidR="00322BCC">
        <w:rPr>
          <w:rFonts w:hint="cs"/>
          <w:rtl/>
        </w:rPr>
        <w:t>,</w:t>
      </w:r>
      <w:r>
        <w:rPr>
          <w:rtl/>
        </w:rPr>
        <w:t xml:space="preserve"> שנ</w:t>
      </w:r>
      <w:r w:rsidR="00322BCC">
        <w:rPr>
          <w:rFonts w:hint="cs"/>
          <w:rtl/>
        </w:rPr>
        <w:t>אמר: "</w:t>
      </w:r>
      <w:r w:rsidR="00322BCC">
        <w:rPr>
          <w:rtl/>
        </w:rPr>
        <w:t>וּמוֹרַאֲכֶם וְחִתְּכֶם יִהְיֶה עַל כָּל חַיַּת הָאָרֶץ וְעַל כָּל עוֹף הַשָּׁמָיִם</w:t>
      </w:r>
      <w:r w:rsidR="00322BCC">
        <w:rPr>
          <w:rFonts w:hint="cs"/>
          <w:rtl/>
        </w:rPr>
        <w:t xml:space="preserve"> וכו' " (</w:t>
      </w:r>
      <w:r w:rsidR="00322BCC">
        <w:rPr>
          <w:rtl/>
        </w:rPr>
        <w:t>בראשית ט</w:t>
      </w:r>
      <w:r w:rsidR="00322BCC">
        <w:rPr>
          <w:rFonts w:hint="cs"/>
          <w:rtl/>
        </w:rPr>
        <w:t xml:space="preserve"> </w:t>
      </w:r>
      <w:r w:rsidR="00322BCC">
        <w:rPr>
          <w:rtl/>
        </w:rPr>
        <w:t>ב)</w:t>
      </w:r>
      <w:r w:rsidR="00332E5A">
        <w:rPr>
          <w:rFonts w:hint="cs"/>
          <w:rtl/>
        </w:rPr>
        <w:t>.</w:t>
      </w:r>
      <w:r w:rsidR="00332E5A">
        <w:rPr>
          <w:rStyle w:val="a5"/>
          <w:rtl/>
        </w:rPr>
        <w:footnoteReference w:id="34"/>
      </w:r>
      <w:r w:rsidR="00322BCC">
        <w:rPr>
          <w:rtl/>
        </w:rPr>
        <w:t xml:space="preserve"> </w:t>
      </w:r>
      <w:r>
        <w:rPr>
          <w:rtl/>
        </w:rPr>
        <w:t>מת</w:t>
      </w:r>
      <w:r w:rsidR="00332E5A">
        <w:rPr>
          <w:rFonts w:hint="cs"/>
          <w:rtl/>
        </w:rPr>
        <w:t>,</w:t>
      </w:r>
      <w:r>
        <w:rPr>
          <w:rtl/>
        </w:rPr>
        <w:t xml:space="preserve"> בטל מוראו מן הבריות</w:t>
      </w:r>
      <w:r>
        <w:rPr>
          <w:rFonts w:hint="cs"/>
          <w:rtl/>
        </w:rPr>
        <w:t>.</w:t>
      </w:r>
      <w:r w:rsidR="00392059">
        <w:rPr>
          <w:rStyle w:val="a5"/>
          <w:rtl/>
        </w:rPr>
        <w:footnoteReference w:id="35"/>
      </w:r>
    </w:p>
    <w:p w14:paraId="6524F782" w14:textId="77777777" w:rsidR="00222841" w:rsidRDefault="00222841" w:rsidP="00332E5A">
      <w:pPr>
        <w:pStyle w:val="ab"/>
        <w:rPr>
          <w:rtl/>
        </w:rPr>
      </w:pPr>
      <w:r>
        <w:rPr>
          <w:rtl/>
        </w:rPr>
        <w:t>פרקי דרבי אליעזר פרק מג</w:t>
      </w:r>
    </w:p>
    <w:p w14:paraId="56383155" w14:textId="77777777" w:rsidR="00222841" w:rsidRDefault="00222841" w:rsidP="00332E5A">
      <w:pPr>
        <w:pStyle w:val="ac"/>
        <w:rPr>
          <w:rFonts w:hint="cs"/>
          <w:rtl/>
        </w:rPr>
      </w:pPr>
      <w:r>
        <w:rPr>
          <w:rtl/>
        </w:rPr>
        <w:t xml:space="preserve"> וּבְשָׁלֹשׁ שָׁעוֹת נָפְלוּ מִיִּשְׂרָאֵל שִׁבְעִים אֶלֶף אִישׁ. </w:t>
      </w:r>
      <w:r w:rsidR="00332E5A">
        <w:rPr>
          <w:rFonts w:hint="cs"/>
          <w:rtl/>
        </w:rPr>
        <w:t>...</w:t>
      </w:r>
      <w:r>
        <w:rPr>
          <w:rtl/>
        </w:rPr>
        <w:t xml:space="preserve"> וְשָׁמַע דָּוִד וְקָרַע אֶת בְּגָדָיו, וְלָבַשׁ שַׂק וָאֵפֶר, וְנָפַל עַל פָּנָיו אַרְצָה לִפְנֵי אֲרוֹן בְּרִית ה', וְהָיָה מְבַקֵּשׁ תְּשׁוּבָה לִפְנֵי הַ</w:t>
      </w:r>
      <w:r w:rsidR="00332E5A">
        <w:rPr>
          <w:rFonts w:hint="cs"/>
          <w:rtl/>
        </w:rPr>
        <w:t>קב"ה</w:t>
      </w:r>
      <w:r>
        <w:rPr>
          <w:rtl/>
        </w:rPr>
        <w:t xml:space="preserve"> וְאָמַר</w:t>
      </w:r>
      <w:r w:rsidR="00332E5A">
        <w:rPr>
          <w:rFonts w:hint="cs"/>
          <w:rtl/>
        </w:rPr>
        <w:t>:</w:t>
      </w:r>
      <w:r>
        <w:rPr>
          <w:rtl/>
        </w:rPr>
        <w:t xml:space="preserve"> רִבּוֹן כָּל הָעוֹלָמִים, אָנֹכִי הוּא שֶׁחָטָאתִי, הַעֲבֵר נָא חַטָּאתִי, וְנִרְצֵית תְּשׁוּבָתוֹ</w:t>
      </w:r>
      <w:r w:rsidR="00332E5A">
        <w:rPr>
          <w:rFonts w:hint="cs"/>
          <w:rtl/>
        </w:rPr>
        <w:t>.</w:t>
      </w:r>
      <w:r>
        <w:rPr>
          <w:rtl/>
        </w:rPr>
        <w:t xml:space="preserve"> וְאָמַר לְמַּלְאָךְ הַמַּשְׁחִית בָּעָם רַב עַתָּה הֶרֶף יָדֶךָ [ש</w:t>
      </w:r>
      <w:r w:rsidR="00332E5A">
        <w:rPr>
          <w:rFonts w:hint="cs"/>
          <w:rtl/>
        </w:rPr>
        <w:t xml:space="preserve">מואל </w:t>
      </w:r>
      <w:r>
        <w:rPr>
          <w:rtl/>
        </w:rPr>
        <w:t xml:space="preserve">ב כד טז]. </w:t>
      </w:r>
      <w:r w:rsidR="00332E5A">
        <w:rPr>
          <w:rFonts w:hint="cs"/>
          <w:rtl/>
        </w:rPr>
        <w:t>...</w:t>
      </w:r>
      <w:r>
        <w:rPr>
          <w:rtl/>
        </w:rPr>
        <w:t xml:space="preserve"> מֶה עָשׂ</w:t>
      </w:r>
      <w:r w:rsidR="00332E5A">
        <w:rPr>
          <w:rtl/>
        </w:rPr>
        <w:t>ָה הַמַּלְאָךְ</w:t>
      </w:r>
      <w:r w:rsidR="00332E5A">
        <w:rPr>
          <w:rFonts w:hint="cs"/>
          <w:rtl/>
        </w:rPr>
        <w:t>?</w:t>
      </w:r>
      <w:r>
        <w:rPr>
          <w:rtl/>
        </w:rPr>
        <w:t xml:space="preserve"> לָקַח אֶת חַרְבּוֹ וְקִנְּחָהּ בְּטַלִּיתוֹ שֶׁל דָּוִד. וְרָאָה דָוִד חַרְבּוֹ שֶׁל מַלְאַךְ הַמָּוֶת, וְהָיָה מַרְתִּיעַ בְּכָל אֵבָרָיו עַד יוֹם מוֹתוֹ, שֶׁנֶּאֱמַר [דברי הימים א, כא, ל] וְלֹא יָכֹל דָּוִד לָלֶכֶת לְפָנָיו לִדְרֹשׁ אֱלֹהִים כִּי נִבְעַת מִפְּנֵי חֶרֶב מַלְאַךְ ה':</w:t>
      </w:r>
      <w:r w:rsidR="00641F04">
        <w:rPr>
          <w:rStyle w:val="a5"/>
          <w:rtl/>
        </w:rPr>
        <w:footnoteReference w:id="36"/>
      </w:r>
      <w:r>
        <w:rPr>
          <w:rtl/>
        </w:rPr>
        <w:t xml:space="preserve"> </w:t>
      </w:r>
    </w:p>
    <w:p w14:paraId="44C9746D" w14:textId="77777777" w:rsidR="00824C75" w:rsidRDefault="00824C75" w:rsidP="00B139EA">
      <w:pPr>
        <w:pStyle w:val="ab"/>
        <w:rPr>
          <w:rtl/>
        </w:rPr>
      </w:pPr>
      <w:r>
        <w:rPr>
          <w:rtl/>
        </w:rPr>
        <w:lastRenderedPageBreak/>
        <w:t>מסכת ברכות דף ז עמוד ב</w:t>
      </w:r>
    </w:p>
    <w:p w14:paraId="7F845EAC" w14:textId="77777777" w:rsidR="00824C75" w:rsidRDefault="00824C75" w:rsidP="00824C75">
      <w:pPr>
        <w:pStyle w:val="ac"/>
        <w:rPr>
          <w:rFonts w:hint="cs"/>
          <w:rtl/>
        </w:rPr>
      </w:pPr>
      <w:r>
        <w:rPr>
          <w:rtl/>
        </w:rPr>
        <w:t>מאי רות? אמר רבי יוחנן: שזכתה ויצא ממנה דוד שריוהו ל</w:t>
      </w:r>
      <w:r w:rsidR="005C7068">
        <w:rPr>
          <w:rtl/>
        </w:rPr>
        <w:t>הקב"ה</w:t>
      </w:r>
      <w:r>
        <w:rPr>
          <w:rtl/>
        </w:rPr>
        <w:t xml:space="preserve"> בשירות ותשבחות.</w:t>
      </w:r>
      <w:r w:rsidR="00B139EA">
        <w:rPr>
          <w:rStyle w:val="a5"/>
          <w:rtl/>
        </w:rPr>
        <w:footnoteReference w:id="37"/>
      </w:r>
    </w:p>
    <w:p w14:paraId="1430EDF7" w14:textId="77777777" w:rsidR="00E2669E" w:rsidRPr="00FD1578" w:rsidRDefault="005516DF" w:rsidP="00B139EA">
      <w:pPr>
        <w:pStyle w:val="ad"/>
        <w:spacing w:before="240"/>
        <w:rPr>
          <w:rFonts w:hint="cs"/>
          <w:rtl/>
        </w:rPr>
      </w:pPr>
      <w:r w:rsidRPr="00FD1578">
        <w:rPr>
          <w:rtl/>
        </w:rPr>
        <w:t>חג שמח</w:t>
      </w:r>
      <w:r w:rsidR="002665DC" w:rsidRPr="00FD1578">
        <w:rPr>
          <w:rFonts w:hint="cs"/>
          <w:rtl/>
        </w:rPr>
        <w:t xml:space="preserve"> ולימוד מחכים ומהנה</w:t>
      </w:r>
      <w:r w:rsidRPr="00FD1578">
        <w:rPr>
          <w:rtl/>
        </w:rPr>
        <w:t xml:space="preserve"> </w:t>
      </w:r>
    </w:p>
    <w:p w14:paraId="3425CB69" w14:textId="77777777" w:rsidR="00A2190E" w:rsidRPr="008D7C8E" w:rsidRDefault="005516DF" w:rsidP="004B56B9">
      <w:pPr>
        <w:pStyle w:val="ad"/>
        <w:rPr>
          <w:rFonts w:hint="cs"/>
          <w:b w:val="0"/>
          <w:bCs w:val="0"/>
          <w:szCs w:val="22"/>
          <w:rtl/>
        </w:rPr>
      </w:pPr>
      <w:r w:rsidRPr="00FD1578">
        <w:rPr>
          <w:rtl/>
        </w:rPr>
        <w:t>מחלקי המים</w:t>
      </w:r>
      <w:r w:rsidR="00083AB0" w:rsidRPr="008D7C8E">
        <w:rPr>
          <w:rFonts w:hint="cs"/>
          <w:b w:val="0"/>
          <w:bCs w:val="0"/>
          <w:szCs w:val="22"/>
          <w:rtl/>
        </w:rPr>
        <w:t xml:space="preserve">  </w:t>
      </w:r>
    </w:p>
    <w:sectPr w:rsidR="00A2190E" w:rsidRPr="008D7C8E" w:rsidSect="002D3AC4">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8F9FF" w14:textId="77777777" w:rsidR="004F1EDC" w:rsidRDefault="004F1EDC">
      <w:r>
        <w:separator/>
      </w:r>
    </w:p>
  </w:endnote>
  <w:endnote w:type="continuationSeparator" w:id="0">
    <w:p w14:paraId="56516C37" w14:textId="77777777" w:rsidR="004F1EDC" w:rsidRDefault="004F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64BF6" w14:textId="77777777" w:rsidR="00791C65" w:rsidRPr="00F8747C" w:rsidRDefault="00791C65"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67828">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67828">
      <w:rPr>
        <w:rStyle w:val="af0"/>
        <w:noProof/>
        <w:rtl/>
      </w:rPr>
      <w:t>5</w:t>
    </w:r>
    <w:r w:rsidRPr="00F8747C">
      <w:rPr>
        <w:rStyle w:val="af0"/>
      </w:rPr>
      <w:fldChar w:fldCharType="end"/>
    </w:r>
  </w:p>
  <w:p w14:paraId="76ECFCB9" w14:textId="77777777" w:rsidR="00791C65" w:rsidRPr="0083453C" w:rsidRDefault="00791C65" w:rsidP="00834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FAE74" w14:textId="77777777" w:rsidR="004F1EDC" w:rsidRDefault="004F1EDC">
      <w:r>
        <w:separator/>
      </w:r>
    </w:p>
  </w:footnote>
  <w:footnote w:type="continuationSeparator" w:id="0">
    <w:p w14:paraId="25BB5CB5" w14:textId="77777777" w:rsidR="004F1EDC" w:rsidRDefault="004F1EDC">
      <w:r>
        <w:continuationSeparator/>
      </w:r>
    </w:p>
  </w:footnote>
  <w:footnote w:id="1">
    <w:p w14:paraId="54E44706" w14:textId="77777777" w:rsidR="005C69AC" w:rsidRDefault="005C69AC" w:rsidP="005C69AC">
      <w:pPr>
        <w:pStyle w:val="a3"/>
        <w:rPr>
          <w:rFonts w:hint="cs"/>
        </w:rPr>
      </w:pPr>
      <w:r>
        <w:rPr>
          <w:rStyle w:val="a5"/>
        </w:rPr>
        <w:footnoteRef/>
      </w:r>
      <w:r>
        <w:rPr>
          <w:rtl/>
        </w:rPr>
        <w:t xml:space="preserve"> </w:t>
      </w:r>
      <w:r>
        <w:rPr>
          <w:rFonts w:hint="cs"/>
          <w:rtl/>
        </w:rPr>
        <w:t xml:space="preserve">לסקירה מפורטת ראה </w:t>
      </w:r>
      <w:r>
        <w:rPr>
          <w:rFonts w:hint="cs"/>
          <w:rtl/>
          <w:lang w:eastAsia="en-US"/>
        </w:rPr>
        <w:t>הרב ש. י. זוין המועדים בהלכה, ספר התודעה לרב אליהו כי טוב וכן במבוא למגילת רות בפירוש דעת מקרא בידי פיבל מלצר עמוד 20.</w:t>
      </w:r>
    </w:p>
  </w:footnote>
  <w:footnote w:id="2">
    <w:p w14:paraId="5485986E" w14:textId="77777777" w:rsidR="005C69AC" w:rsidRDefault="005C69AC" w:rsidP="007C0814">
      <w:pPr>
        <w:pStyle w:val="a3"/>
        <w:rPr>
          <w:rFonts w:hint="cs"/>
          <w:rtl/>
        </w:rPr>
      </w:pPr>
      <w:r>
        <w:rPr>
          <w:rStyle w:val="a5"/>
        </w:rPr>
        <w:footnoteRef/>
      </w:r>
      <w:r>
        <w:rPr>
          <w:rtl/>
        </w:rPr>
        <w:t xml:space="preserve"> </w:t>
      </w:r>
      <w:r>
        <w:rPr>
          <w:rFonts w:hint="cs"/>
          <w:rtl/>
          <w:lang w:eastAsia="en-US"/>
        </w:rPr>
        <w:t>ופרק ב מסתיים בפסוק: "</w:t>
      </w:r>
      <w:r>
        <w:rPr>
          <w:rtl/>
          <w:lang w:eastAsia="en-US"/>
        </w:rPr>
        <w:t>וַתִּדְבַּק בְּנַעֲרוֹת בֹּעַז לְלַקֵּט עַד כְּלוֹת קְצִיר הַשְּׂעֹרִים וּקְצִיר הַחִטִּים וַתֵּשֶׁב אֶת חֲמוֹתָהּ</w:t>
      </w:r>
      <w:r>
        <w:rPr>
          <w:rFonts w:hint="cs"/>
          <w:rtl/>
          <w:lang w:eastAsia="en-US"/>
        </w:rPr>
        <w:t xml:space="preserve">". </w:t>
      </w:r>
      <w:r w:rsidR="00BE7D6E">
        <w:rPr>
          <w:rFonts w:hint="cs"/>
          <w:rtl/>
          <w:lang w:eastAsia="en-US"/>
        </w:rPr>
        <w:t>בפשטות, אחת ה</w:t>
      </w:r>
      <w:r>
        <w:rPr>
          <w:rFonts w:hint="cs"/>
          <w:rtl/>
          <w:lang w:eastAsia="en-US"/>
        </w:rPr>
        <w:t xml:space="preserve">סיבות </w:t>
      </w:r>
      <w:r w:rsidR="007C0814">
        <w:rPr>
          <w:rFonts w:hint="cs"/>
          <w:rtl/>
          <w:lang w:eastAsia="en-US"/>
        </w:rPr>
        <w:t xml:space="preserve">לקריאת מגילת רות בשבועות </w:t>
      </w:r>
      <w:r w:rsidR="00BE7D6E">
        <w:rPr>
          <w:rFonts w:hint="cs"/>
          <w:rtl/>
          <w:lang w:eastAsia="en-US"/>
        </w:rPr>
        <w:t>טמונה במגילה עצמה</w:t>
      </w:r>
      <w:r w:rsidR="00C21DE0">
        <w:rPr>
          <w:rFonts w:hint="cs"/>
          <w:rtl/>
          <w:lang w:eastAsia="en-US"/>
        </w:rPr>
        <w:t>.</w:t>
      </w:r>
      <w:r>
        <w:rPr>
          <w:rFonts w:hint="cs"/>
          <w:rtl/>
          <w:lang w:eastAsia="en-US"/>
        </w:rPr>
        <w:t xml:space="preserve"> סיפור חזרתן של נעמי ורות לבית לחם, שהוא עיקר המגילה, מתרחש בין קציר שעורים (העומר, פסח) ובין קציר חטים (שתי הלחם, מנחה חדשה, שבועות), וסביר שייקרא </w:t>
      </w:r>
      <w:r w:rsidR="007C0814">
        <w:rPr>
          <w:rFonts w:hint="cs"/>
          <w:rtl/>
          <w:lang w:eastAsia="en-US"/>
        </w:rPr>
        <w:t>בחג שהתורה מכנה "</w:t>
      </w:r>
      <w:hyperlink r:id="rId1" w:history="1">
        <w:r w:rsidR="007C0814" w:rsidRPr="007C0814">
          <w:rPr>
            <w:rStyle w:val="Hyperlink"/>
            <w:rFonts w:hint="cs"/>
            <w:rtl/>
            <w:lang w:eastAsia="en-US"/>
          </w:rPr>
          <w:t>חג הקציר</w:t>
        </w:r>
      </w:hyperlink>
      <w:r w:rsidR="007C0814">
        <w:rPr>
          <w:rFonts w:hint="cs"/>
          <w:rtl/>
          <w:lang w:eastAsia="en-US"/>
        </w:rPr>
        <w:t xml:space="preserve">" (הגם שהעת </w:t>
      </w:r>
      <w:r>
        <w:rPr>
          <w:rFonts w:hint="cs"/>
          <w:rtl/>
          <w:lang w:eastAsia="en-US"/>
        </w:rPr>
        <w:t>שבעז מסיים את הגורן ורות מתוודעת אליו</w:t>
      </w:r>
      <w:r w:rsidR="007C0814">
        <w:rPr>
          <w:rFonts w:hint="cs"/>
          <w:rtl/>
          <w:lang w:eastAsia="en-US"/>
        </w:rPr>
        <w:t xml:space="preserve"> היה בסוף עונת הקציר, </w:t>
      </w:r>
      <w:r>
        <w:rPr>
          <w:rFonts w:hint="cs"/>
          <w:rtl/>
          <w:lang w:eastAsia="en-US"/>
        </w:rPr>
        <w:t xml:space="preserve">היינו </w:t>
      </w:r>
      <w:r w:rsidR="007C0814">
        <w:rPr>
          <w:rFonts w:hint="cs"/>
          <w:rtl/>
          <w:lang w:eastAsia="en-US"/>
        </w:rPr>
        <w:t xml:space="preserve">לאחר </w:t>
      </w:r>
      <w:r>
        <w:rPr>
          <w:rFonts w:hint="cs"/>
          <w:rtl/>
          <w:lang w:eastAsia="en-US"/>
        </w:rPr>
        <w:t>חג השבועות</w:t>
      </w:r>
      <w:r w:rsidR="007C0814">
        <w:rPr>
          <w:rFonts w:hint="cs"/>
          <w:rtl/>
          <w:lang w:eastAsia="en-US"/>
        </w:rPr>
        <w:t xml:space="preserve"> בו מתחיל קציר החטים)</w:t>
      </w:r>
      <w:r>
        <w:rPr>
          <w:rFonts w:hint="cs"/>
          <w:rtl/>
          <w:lang w:eastAsia="en-US"/>
        </w:rPr>
        <w:t xml:space="preserve">. </w:t>
      </w:r>
      <w:r w:rsidR="00CE14E3">
        <w:rPr>
          <w:rFonts w:hint="cs"/>
          <w:rtl/>
          <w:lang w:eastAsia="en-US"/>
        </w:rPr>
        <w:t>מגילת רות, מסוף פרק א לאורך כל פרק ב</w:t>
      </w:r>
      <w:r w:rsidR="00CE14E3">
        <w:rPr>
          <w:rtl/>
          <w:lang w:eastAsia="en-US"/>
        </w:rPr>
        <w:t xml:space="preserve">, </w:t>
      </w:r>
      <w:r w:rsidR="00CE14E3">
        <w:rPr>
          <w:rFonts w:hint="cs"/>
          <w:rtl/>
          <w:lang w:eastAsia="en-US"/>
        </w:rPr>
        <w:t>מחזירה אותנו לספר שמות</w:t>
      </w:r>
      <w:r w:rsidR="00BE7D6E">
        <w:rPr>
          <w:rFonts w:hint="cs"/>
          <w:rtl/>
          <w:lang w:eastAsia="en-US"/>
        </w:rPr>
        <w:t xml:space="preserve"> </w:t>
      </w:r>
      <w:r w:rsidR="00CE14E3">
        <w:rPr>
          <w:rFonts w:hint="cs"/>
          <w:rtl/>
          <w:lang w:eastAsia="en-US"/>
        </w:rPr>
        <w:t>ל"חג הקציר ביכורי מעשיך"</w:t>
      </w:r>
      <w:r w:rsidR="00BE7D6E">
        <w:rPr>
          <w:rFonts w:hint="cs"/>
          <w:rtl/>
          <w:lang w:eastAsia="en-US"/>
        </w:rPr>
        <w:t xml:space="preserve"> (כג טז, פרשת משפטים)</w:t>
      </w:r>
      <w:r w:rsidR="00CE14E3">
        <w:rPr>
          <w:rFonts w:hint="cs"/>
          <w:rtl/>
          <w:lang w:eastAsia="en-US"/>
        </w:rPr>
        <w:t xml:space="preserve"> ול"ביכורי קציר חיטים"</w:t>
      </w:r>
      <w:r w:rsidR="00BE7D6E">
        <w:rPr>
          <w:rFonts w:hint="cs"/>
          <w:rtl/>
          <w:lang w:eastAsia="en-US"/>
        </w:rPr>
        <w:t xml:space="preserve"> (לד כד, פרשת כי תשא)</w:t>
      </w:r>
      <w:r w:rsidR="00CE14E3">
        <w:rPr>
          <w:rFonts w:hint="cs"/>
          <w:rtl/>
          <w:lang w:eastAsia="en-US"/>
        </w:rPr>
        <w:t>.</w:t>
      </w:r>
      <w:r w:rsidR="00C21DE0" w:rsidRPr="00C21DE0">
        <w:rPr>
          <w:rFonts w:hint="cs"/>
          <w:rtl/>
        </w:rPr>
        <w:t xml:space="preserve"> </w:t>
      </w:r>
      <w:r w:rsidR="00C21DE0">
        <w:rPr>
          <w:rFonts w:hint="cs"/>
          <w:rtl/>
        </w:rPr>
        <w:t>וכמאמר מדרש רות רבה ד ב: "</w:t>
      </w:r>
      <w:r w:rsidR="00C21DE0">
        <w:rPr>
          <w:rtl/>
        </w:rPr>
        <w:t>כל מקום שנאמר קציר שעורים בקציר העומר הכתוב מדבר, קציר חטים בשתי הלחם הכתוב מדבר</w:t>
      </w:r>
      <w:r w:rsidR="00C21DE0">
        <w:rPr>
          <w:rFonts w:hint="cs"/>
          <w:rtl/>
        </w:rPr>
        <w:t>".</w:t>
      </w:r>
    </w:p>
  </w:footnote>
  <w:footnote w:id="3">
    <w:p w14:paraId="24359957" w14:textId="77777777" w:rsidR="00BF3913" w:rsidRDefault="00BF3913">
      <w:pPr>
        <w:pStyle w:val="a3"/>
        <w:rPr>
          <w:rFonts w:hint="cs"/>
          <w:rtl/>
        </w:rPr>
      </w:pPr>
      <w:r>
        <w:rPr>
          <w:rStyle w:val="a5"/>
        </w:rPr>
        <w:footnoteRef/>
      </w:r>
      <w:r>
        <w:rPr>
          <w:rtl/>
        </w:rPr>
        <w:t xml:space="preserve"> </w:t>
      </w:r>
      <w:r>
        <w:rPr>
          <w:rFonts w:hint="cs"/>
          <w:rtl/>
        </w:rPr>
        <w:t xml:space="preserve">מקור זה מתקופת הגאונים הוא אחד האזכורים הראשונים של קריאת מגילת רות בעצרת, היינו בחג השבועות. </w:t>
      </w:r>
      <w:r w:rsidR="007C0814">
        <w:rPr>
          <w:rFonts w:hint="cs"/>
          <w:rtl/>
        </w:rPr>
        <w:t xml:space="preserve">("עצרת" בתורה הוא שמיני עצרת. "עצרת" בלשון חז"ל הוא חג השבועות). </w:t>
      </w:r>
      <w:r>
        <w:rPr>
          <w:rFonts w:hint="cs"/>
          <w:rtl/>
        </w:rPr>
        <w:t>עיקר עניינו שם הוא קריאת מגילת אסתר וממנה הוא עובר לשיר השירים ול</w:t>
      </w:r>
      <w:r w:rsidR="007C0814">
        <w:rPr>
          <w:rFonts w:hint="cs"/>
          <w:rtl/>
        </w:rPr>
        <w:t xml:space="preserve">מגילת </w:t>
      </w:r>
      <w:r>
        <w:rPr>
          <w:rFonts w:hint="cs"/>
          <w:rtl/>
        </w:rPr>
        <w:t xml:space="preserve">רות (לא נזכרים </w:t>
      </w:r>
      <w:r w:rsidR="007C0814">
        <w:rPr>
          <w:rFonts w:hint="cs"/>
          <w:rtl/>
        </w:rPr>
        <w:t xml:space="preserve">שם </w:t>
      </w:r>
      <w:r>
        <w:rPr>
          <w:rFonts w:hint="cs"/>
          <w:rtl/>
        </w:rPr>
        <w:t>איכה וקהלת). אבל הוא לא מזכיר את סיבת מיקום מגילת רות בחג השבועות דווקא. ראה אגב המנהג לקרוא את המגילות במוצאי שבתות: "</w:t>
      </w:r>
      <w:r>
        <w:rPr>
          <w:rtl/>
        </w:rPr>
        <w:t>ונהגו העם לאומרה במוצאי שבתות של אדר</w:t>
      </w:r>
      <w:r>
        <w:rPr>
          <w:rFonts w:hint="cs"/>
          <w:rtl/>
        </w:rPr>
        <w:t xml:space="preserve"> ... </w:t>
      </w:r>
      <w:r>
        <w:rPr>
          <w:rtl/>
        </w:rPr>
        <w:t>בשבת ראשונה של אדר קורין העם ביחד, עד בלילה ההוא, ובמוצאי שבת שנייה קורין מן בלילה ההוא, עד ודובר שלום לכל זרעו. בשיר השירים, קורין אותו בלילי שני ימים טובים של גליות האחרונים, חציו בלילה אחד, וחציו בלילה השני. ברות, במוצאי יום טוב הראשון של עצרת עד חציו, ומשלים במוצאי יום טוב האחרון, ויש אומרים בכולן מתחילין במוצאי שבת שלפניהם</w:t>
      </w:r>
      <w:r>
        <w:rPr>
          <w:rFonts w:hint="cs"/>
          <w:rtl/>
        </w:rPr>
        <w:t>"</w:t>
      </w:r>
      <w:r>
        <w:rPr>
          <w:rtl/>
        </w:rPr>
        <w:t xml:space="preserve">. </w:t>
      </w:r>
      <w:r>
        <w:rPr>
          <w:rFonts w:hint="cs"/>
          <w:rtl/>
        </w:rPr>
        <w:t>ומדבריו שם משתמע שעדיין היה זה יותר מנהג מאשר הלכה פסוקה. ראה שם.</w:t>
      </w:r>
    </w:p>
  </w:footnote>
  <w:footnote w:id="4">
    <w:p w14:paraId="37486F3B" w14:textId="77777777" w:rsidR="00D178C8" w:rsidRDefault="00D178C8" w:rsidP="009A3CC2">
      <w:pPr>
        <w:pStyle w:val="a3"/>
        <w:rPr>
          <w:rFonts w:hint="cs"/>
        </w:rPr>
      </w:pPr>
      <w:r>
        <w:rPr>
          <w:rStyle w:val="a5"/>
        </w:rPr>
        <w:footnoteRef/>
      </w:r>
      <w:r>
        <w:rPr>
          <w:rtl/>
        </w:rPr>
        <w:t xml:space="preserve"> </w:t>
      </w:r>
      <w:r>
        <w:rPr>
          <w:rFonts w:hint="cs"/>
          <w:rtl/>
        </w:rPr>
        <w:t>למדרש זה נראה שיש את זכות הבכורה על מטבע הלשון: "מה ענין רות אצל עצרת?"</w:t>
      </w:r>
      <w:r w:rsidR="009A3CC2">
        <w:rPr>
          <w:rFonts w:hint="cs"/>
          <w:rtl/>
        </w:rPr>
        <w:t>.</w:t>
      </w:r>
      <w:r>
        <w:rPr>
          <w:rFonts w:hint="cs"/>
          <w:rtl/>
        </w:rPr>
        <w:t xml:space="preserve"> לא משום שהמנהג היה עדיין רופף, אלא במשתמע בדיוק ההפך. המנהג כבר היה ידוע, הקשר לסיפור במגילה עליו הערנו בראש דברינו היה ידוע ופשוט, ואף על פי כן, באים ושואלים: מה לרות ולעצרת היינו לחג השבועות? </w:t>
      </w:r>
      <w:r w:rsidR="00F163AB">
        <w:rPr>
          <w:rFonts w:hint="cs"/>
          <w:rtl/>
        </w:rPr>
        <w:t xml:space="preserve">וזה </w:t>
      </w:r>
      <w:r>
        <w:rPr>
          <w:rFonts w:hint="cs"/>
          <w:rtl/>
        </w:rPr>
        <w:t xml:space="preserve">נשמע כמו שאלה רטורית שהתשובה תבוא מיד והיא העיקר. </w:t>
      </w:r>
      <w:r w:rsidR="00F163AB">
        <w:rPr>
          <w:rFonts w:hint="cs"/>
          <w:rtl/>
        </w:rPr>
        <w:t xml:space="preserve">אך </w:t>
      </w:r>
      <w:r>
        <w:rPr>
          <w:rFonts w:hint="cs"/>
          <w:rtl/>
        </w:rPr>
        <w:t xml:space="preserve">התשובה קצת מפתיעה ויכולה ללמד שבתקופת מדרש זה כבר הוכתר חג השבועות כחג מתן תורה </w:t>
      </w:r>
      <w:r w:rsidR="007C0814">
        <w:rPr>
          <w:rFonts w:hint="cs"/>
          <w:rtl/>
        </w:rPr>
        <w:t>(</w:t>
      </w:r>
      <w:r w:rsidR="009A3CC2">
        <w:rPr>
          <w:rFonts w:hint="cs"/>
          <w:rtl/>
        </w:rPr>
        <w:t>שזה</w:t>
      </w:r>
      <w:r w:rsidR="007C0814">
        <w:rPr>
          <w:rFonts w:hint="cs"/>
          <w:rtl/>
        </w:rPr>
        <w:t xml:space="preserve"> עצמו נושא חשוב לדון בו</w:t>
      </w:r>
      <w:r w:rsidR="009A3CC2">
        <w:rPr>
          <w:rFonts w:hint="cs"/>
          <w:rtl/>
        </w:rPr>
        <w:t>, כיצד הפך חג שבועות לחג מתן תורה</w:t>
      </w:r>
      <w:r w:rsidR="007C0814">
        <w:rPr>
          <w:rFonts w:hint="cs"/>
          <w:rtl/>
        </w:rPr>
        <w:t xml:space="preserve">) </w:t>
      </w:r>
      <w:r>
        <w:rPr>
          <w:rFonts w:hint="cs"/>
          <w:rtl/>
        </w:rPr>
        <w:t xml:space="preserve">ולכן יש לנו תשובה פשוטה: </w:t>
      </w:r>
      <w:r w:rsidR="009A3CC2">
        <w:rPr>
          <w:rFonts w:hint="cs"/>
          <w:rtl/>
        </w:rPr>
        <w:t xml:space="preserve">עניין רות אצל עצרת הוא </w:t>
      </w:r>
      <w:r>
        <w:rPr>
          <w:rFonts w:hint="cs"/>
          <w:rtl/>
        </w:rPr>
        <w:t xml:space="preserve">התורה </w:t>
      </w:r>
      <w:r w:rsidR="009A3CC2">
        <w:rPr>
          <w:rFonts w:hint="cs"/>
          <w:rtl/>
        </w:rPr>
        <w:t>ש</w:t>
      </w:r>
      <w:r>
        <w:rPr>
          <w:rFonts w:hint="cs"/>
          <w:rtl/>
        </w:rPr>
        <w:t>נקנית בייסורים ובעוני (מסכת אבות פרק ו משנה ד). רות שסבלה והתאמצה לא מעט בדרכה ליהדות מתחברת לתורה שנקנית בסבל</w:t>
      </w:r>
      <w:r w:rsidR="00F163AB">
        <w:rPr>
          <w:rFonts w:hint="cs"/>
          <w:rtl/>
        </w:rPr>
        <w:t xml:space="preserve">, </w:t>
      </w:r>
      <w:r>
        <w:rPr>
          <w:rFonts w:hint="cs"/>
          <w:rtl/>
        </w:rPr>
        <w:t>במאמצים</w:t>
      </w:r>
      <w:r w:rsidR="00F163AB">
        <w:rPr>
          <w:rFonts w:hint="cs"/>
          <w:rtl/>
        </w:rPr>
        <w:t xml:space="preserve"> ואף בייסורים</w:t>
      </w:r>
      <w:r>
        <w:rPr>
          <w:rFonts w:hint="cs"/>
          <w:rtl/>
        </w:rPr>
        <w:t xml:space="preserve">. ראה דברינו </w:t>
      </w:r>
      <w:hyperlink r:id="rId2" w:history="1">
        <w:r w:rsidRPr="00D178C8">
          <w:rPr>
            <w:rStyle w:val="Hyperlink"/>
            <w:rFonts w:hint="cs"/>
            <w:rtl/>
          </w:rPr>
          <w:t>כולנו גרים</w:t>
        </w:r>
      </w:hyperlink>
      <w:r>
        <w:rPr>
          <w:rFonts w:hint="cs"/>
          <w:rtl/>
        </w:rPr>
        <w:t xml:space="preserve"> בחג השבועות. באופן זה יכול הדרשן להוסיף לקח ומוסר לקהל שומעיו וליצור מעין קל וחומר מרות</w:t>
      </w:r>
      <w:r>
        <w:rPr>
          <w:rtl/>
        </w:rPr>
        <w:t>.</w:t>
      </w:r>
      <w:r>
        <w:rPr>
          <w:rFonts w:hint="cs"/>
          <w:rtl/>
        </w:rPr>
        <w:t xml:space="preserve"> אם רות התאמצה וקיבלה עליה גירות, חיי עוני ואמרה: "עמך עמי ואלוהיך אלוהי", קל וחומר אנחנו. </w:t>
      </w:r>
    </w:p>
  </w:footnote>
  <w:footnote w:id="5">
    <w:p w14:paraId="70DFEEFE" w14:textId="77777777" w:rsidR="00824C75" w:rsidRDefault="00824C75" w:rsidP="009A3CC2">
      <w:pPr>
        <w:pStyle w:val="a3"/>
        <w:rPr>
          <w:rFonts w:hint="cs"/>
          <w:rtl/>
        </w:rPr>
      </w:pPr>
      <w:r>
        <w:rPr>
          <w:rStyle w:val="a5"/>
        </w:rPr>
        <w:footnoteRef/>
      </w:r>
      <w:r>
        <w:rPr>
          <w:rtl/>
        </w:rPr>
        <w:t xml:space="preserve"> </w:t>
      </w:r>
      <w:r>
        <w:rPr>
          <w:rFonts w:hint="cs"/>
          <w:rtl/>
        </w:rPr>
        <w:t>זה המקור הארצישראלי והעיקרי לכך שדוד נפטר בחג השבועות</w:t>
      </w:r>
      <w:r w:rsidRPr="00824C75">
        <w:rPr>
          <w:rFonts w:hint="cs"/>
          <w:rtl/>
        </w:rPr>
        <w:t xml:space="preserve"> </w:t>
      </w:r>
      <w:r>
        <w:rPr>
          <w:rFonts w:hint="cs"/>
          <w:rtl/>
        </w:rPr>
        <w:t xml:space="preserve">הנקרא עצרת בלשון חכמים </w:t>
      </w:r>
      <w:r w:rsidR="009A3CC2">
        <w:rPr>
          <w:rFonts w:hint="cs"/>
          <w:rtl/>
        </w:rPr>
        <w:t xml:space="preserve">(בלשון המקרא </w:t>
      </w:r>
      <w:r w:rsidR="00F062FE">
        <w:rPr>
          <w:rFonts w:hint="cs"/>
          <w:rtl/>
        </w:rPr>
        <w:t xml:space="preserve">"עצרת" </w:t>
      </w:r>
      <w:r w:rsidR="009A3CC2">
        <w:rPr>
          <w:rFonts w:hint="cs"/>
          <w:rtl/>
        </w:rPr>
        <w:t xml:space="preserve">הוא </w:t>
      </w:r>
      <w:r>
        <w:rPr>
          <w:rFonts w:hint="cs"/>
          <w:rtl/>
        </w:rPr>
        <w:t>שמיני עצרת). בעלי ההלכה מקשרים מקור זה לדין שלחג השבועות יש תשלומים שבעה ימים בדומה לפסח וסוכות, ואת כל הקרבנות שהיו מביאים לחג ולא הספיקו להקריב, היו מקריבים בשבעה ימים שלאחר החג</w:t>
      </w:r>
      <w:r w:rsidR="009A3CC2">
        <w:rPr>
          <w:rFonts w:hint="cs"/>
          <w:rtl/>
        </w:rPr>
        <w:t xml:space="preserve"> (שנקראים ימי טבוח בשל ריבוי הקרבנות, משנה חגיגה ב ד)</w:t>
      </w:r>
      <w:r>
        <w:rPr>
          <w:rFonts w:hint="cs"/>
          <w:rtl/>
        </w:rPr>
        <w:t>. כך למשל מובא בתוספות חגיגה יז ע"א. לא ניכנס כאן לכל הדיון ההלכתי, לנו חשוב מקור זה, שקודם בהרבה למסכת סופרים הנ"ל</w:t>
      </w:r>
      <w:r w:rsidR="00F062FE">
        <w:rPr>
          <w:rFonts w:hint="cs"/>
          <w:rtl/>
        </w:rPr>
        <w:t>,</w:t>
      </w:r>
      <w:r>
        <w:rPr>
          <w:rFonts w:hint="cs"/>
          <w:rtl/>
        </w:rPr>
        <w:t xml:space="preserve"> שיכול לשמש סיבה טובה לקריאת מגילת רות בחג השבועות. חג השבועות הוא יום פטירת דוד ולפיכך אנו קוראים במגילה שהיא כתב הייחוסין שלו</w:t>
      </w:r>
      <w:r w:rsidR="00F163AB">
        <w:rPr>
          <w:rFonts w:hint="cs"/>
          <w:rtl/>
        </w:rPr>
        <w:t xml:space="preserve"> ושל שושלתו</w:t>
      </w:r>
      <w:r>
        <w:rPr>
          <w:rFonts w:hint="cs"/>
          <w:rtl/>
        </w:rPr>
        <w:t>. חג השבועות הוא היארצייט של דוד המלך.</w:t>
      </w:r>
    </w:p>
  </w:footnote>
  <w:footnote w:id="6">
    <w:p w14:paraId="59E067D4" w14:textId="77777777" w:rsidR="00B61AB9" w:rsidRDefault="00B61AB9" w:rsidP="00B61AB9">
      <w:pPr>
        <w:pStyle w:val="a3"/>
        <w:rPr>
          <w:rFonts w:hint="cs"/>
          <w:rtl/>
        </w:rPr>
      </w:pPr>
      <w:r>
        <w:rPr>
          <w:rStyle w:val="a5"/>
        </w:rPr>
        <w:footnoteRef/>
      </w:r>
      <w:r>
        <w:rPr>
          <w:rtl/>
        </w:rPr>
        <w:t xml:space="preserve"> </w:t>
      </w:r>
      <w:r>
        <w:rPr>
          <w:rFonts w:hint="cs"/>
          <w:rtl/>
        </w:rPr>
        <w:t xml:space="preserve">הגמרא שם דנה בסדר כתבי הקודש ומי כתב כל ספר ואגב, מזכירה משפט זה שעוד נחזור אליו.  </w:t>
      </w:r>
    </w:p>
  </w:footnote>
  <w:footnote w:id="7">
    <w:p w14:paraId="10FC1D0A" w14:textId="77777777" w:rsidR="00B61AB9" w:rsidRDefault="00B61AB9" w:rsidP="00B61AB9">
      <w:pPr>
        <w:pStyle w:val="a3"/>
        <w:rPr>
          <w:rFonts w:hint="cs"/>
          <w:rtl/>
        </w:rPr>
      </w:pPr>
      <w:r>
        <w:rPr>
          <w:rStyle w:val="a5"/>
        </w:rPr>
        <w:footnoteRef/>
      </w:r>
      <w:r>
        <w:rPr>
          <w:rtl/>
        </w:rPr>
        <w:t xml:space="preserve"> </w:t>
      </w:r>
      <w:r>
        <w:rPr>
          <w:rFonts w:hint="cs"/>
          <w:rtl/>
        </w:rPr>
        <w:t xml:space="preserve">זה </w:t>
      </w:r>
      <w:r w:rsidR="00350C84">
        <w:rPr>
          <w:rFonts w:hint="cs"/>
          <w:rtl/>
        </w:rPr>
        <w:t>ה</w:t>
      </w:r>
      <w:r>
        <w:rPr>
          <w:rFonts w:hint="cs"/>
          <w:rtl/>
        </w:rPr>
        <w:t>סימן שנותן מדרש רות זוטא הנ"ל: "</w:t>
      </w:r>
      <w:r w:rsidRPr="00B61AB9">
        <w:rPr>
          <w:rtl/>
        </w:rPr>
        <w:t xml:space="preserve"> </w:t>
      </w:r>
      <w:r>
        <w:rPr>
          <w:rtl/>
        </w:rPr>
        <w:t>ללמדך שלא ניתנה תורה אלא על ידי יסורין ועוני</w:t>
      </w:r>
      <w:r>
        <w:rPr>
          <w:rFonts w:hint="cs"/>
          <w:rtl/>
        </w:rPr>
        <w:t>". ראה שם גם הסיבה לשיר השירים ולקהלת: "</w:t>
      </w:r>
      <w:r>
        <w:rPr>
          <w:rtl/>
        </w:rPr>
        <w:t>שיר השירים. מפני שמפורש בו ענין יציאת מצרים ובסכות קהלת מפני שהם ימי שמחה וכתוב בקהל</w:t>
      </w:r>
      <w:r>
        <w:rPr>
          <w:rFonts w:hint="cs"/>
          <w:rtl/>
        </w:rPr>
        <w:t>ת</w:t>
      </w:r>
      <w:r>
        <w:rPr>
          <w:rtl/>
        </w:rPr>
        <w:t xml:space="preserve"> ולשמחה</w:t>
      </w:r>
      <w:r>
        <w:rPr>
          <w:rFonts w:hint="cs"/>
          <w:rtl/>
        </w:rPr>
        <w:t xml:space="preserve"> מה זו עושה". זה מנהג אשכנז שקבע את שלוש המגילות בשלושת המועדים, מלבד מגילת אסתר ואיכה שמועדם ברור בלוח השנה.</w:t>
      </w:r>
    </w:p>
  </w:footnote>
  <w:footnote w:id="8">
    <w:p w14:paraId="32F2C720" w14:textId="77777777" w:rsidR="006E4EA0" w:rsidRDefault="006E4EA0">
      <w:pPr>
        <w:pStyle w:val="a3"/>
        <w:rPr>
          <w:rFonts w:hint="cs"/>
        </w:rPr>
      </w:pPr>
      <w:r>
        <w:rPr>
          <w:rStyle w:val="a5"/>
        </w:rPr>
        <w:footnoteRef/>
      </w:r>
      <w:r>
        <w:rPr>
          <w:rtl/>
        </w:rPr>
        <w:t xml:space="preserve"> </w:t>
      </w:r>
      <w:r>
        <w:rPr>
          <w:rFonts w:hint="cs"/>
          <w:rtl/>
        </w:rPr>
        <w:t>מה שהביא בתחילת דבריו מהגמרא בבבא בתרא: "</w:t>
      </w:r>
      <w:r>
        <w:rPr>
          <w:rtl/>
        </w:rPr>
        <w:t>למה נקרא שמה רות? שיצא ממנה דוד שריוהו להקב"ה בשירות ותושבחות</w:t>
      </w:r>
      <w:r>
        <w:rPr>
          <w:rFonts w:hint="cs"/>
          <w:rtl/>
        </w:rPr>
        <w:t>".</w:t>
      </w:r>
    </w:p>
  </w:footnote>
  <w:footnote w:id="9">
    <w:p w14:paraId="26CDDCD6" w14:textId="77777777" w:rsidR="003337F2" w:rsidRDefault="003337F2" w:rsidP="004C72B3">
      <w:pPr>
        <w:pStyle w:val="a3"/>
        <w:rPr>
          <w:rFonts w:hint="cs"/>
          <w:rtl/>
        </w:rPr>
      </w:pPr>
      <w:r>
        <w:rPr>
          <w:rStyle w:val="a5"/>
        </w:rPr>
        <w:footnoteRef/>
      </w:r>
      <w:r>
        <w:rPr>
          <w:rtl/>
        </w:rPr>
        <w:t xml:space="preserve"> </w:t>
      </w:r>
      <w:r>
        <w:rPr>
          <w:rFonts w:hint="cs"/>
          <w:rtl/>
        </w:rPr>
        <w:t>פירוש בכור שור (</w:t>
      </w:r>
      <w:r>
        <w:rPr>
          <w:rtl/>
        </w:rPr>
        <w:t>רבי אלכסנדר סנדר ב"ר אפרים זלמן שור</w:t>
      </w:r>
      <w:r>
        <w:rPr>
          <w:rFonts w:hint="cs"/>
          <w:rtl/>
        </w:rPr>
        <w:t xml:space="preserve">, </w:t>
      </w:r>
      <w:r>
        <w:rPr>
          <w:rtl/>
        </w:rPr>
        <w:t xml:space="preserve">פולין </w:t>
      </w:r>
      <w:r>
        <w:rPr>
          <w:rFonts w:hint="cs"/>
          <w:rtl/>
        </w:rPr>
        <w:t xml:space="preserve">מאה 17, </w:t>
      </w:r>
      <w:r>
        <w:rPr>
          <w:rtl/>
        </w:rPr>
        <w:t>למשפחת הרבנים שור, שלפי המסורת הייתה מצאצאי רבי יוסף בכור שור, פרשן המקרא מתקופת רש"י</w:t>
      </w:r>
      <w:r>
        <w:rPr>
          <w:rFonts w:hint="cs"/>
          <w:rtl/>
        </w:rPr>
        <w:t xml:space="preserve">, מתוך פרויקט השו"ת) אינו מוכן להסתפק ביום הפטירה של דוד ומציע שזה גם יום הולדתו, </w:t>
      </w:r>
      <w:r w:rsidR="00350C84">
        <w:rPr>
          <w:rFonts w:hint="cs"/>
          <w:rtl/>
        </w:rPr>
        <w:t>בדומה ל</w:t>
      </w:r>
      <w:r>
        <w:rPr>
          <w:rFonts w:hint="cs"/>
          <w:rtl/>
        </w:rPr>
        <w:t>דרשות, שמקורן במשה שנולד ונפטר בז' באדר, עפ"י הפסוק ב</w:t>
      </w:r>
      <w:r>
        <w:rPr>
          <w:rtl/>
        </w:rPr>
        <w:t>שמות כג</w:t>
      </w:r>
      <w:r>
        <w:rPr>
          <w:rFonts w:hint="cs"/>
          <w:rtl/>
        </w:rPr>
        <w:t xml:space="preserve"> </w:t>
      </w:r>
      <w:r>
        <w:rPr>
          <w:rtl/>
        </w:rPr>
        <w:t>כו</w:t>
      </w:r>
      <w:r>
        <w:rPr>
          <w:rFonts w:hint="cs"/>
          <w:rtl/>
        </w:rPr>
        <w:t xml:space="preserve">: " ... </w:t>
      </w:r>
      <w:r>
        <w:rPr>
          <w:rtl/>
        </w:rPr>
        <w:t>אֶת מִסְפַּר יָמֶיךָ אֲמַלֵּא</w:t>
      </w:r>
      <w:r>
        <w:rPr>
          <w:rFonts w:hint="cs"/>
          <w:rtl/>
        </w:rPr>
        <w:t xml:space="preserve">". ראה </w:t>
      </w:r>
      <w:r>
        <w:rPr>
          <w:rtl/>
        </w:rPr>
        <w:t xml:space="preserve">תוספתא סוטה </w:t>
      </w:r>
      <w:r>
        <w:rPr>
          <w:rFonts w:hint="cs"/>
          <w:rtl/>
        </w:rPr>
        <w:t>יא ו: "</w:t>
      </w:r>
      <w:r>
        <w:rPr>
          <w:rtl/>
        </w:rPr>
        <w:t>ומניין שבשבעה באדר נולד משה</w:t>
      </w:r>
      <w:r>
        <w:rPr>
          <w:rFonts w:hint="cs"/>
          <w:rtl/>
        </w:rPr>
        <w:t>?</w:t>
      </w:r>
      <w:r>
        <w:rPr>
          <w:rtl/>
        </w:rPr>
        <w:t xml:space="preserve"> שנ</w:t>
      </w:r>
      <w:r>
        <w:rPr>
          <w:rFonts w:hint="cs"/>
          <w:rtl/>
        </w:rPr>
        <w:t xml:space="preserve">אמר: </w:t>
      </w:r>
      <w:r>
        <w:rPr>
          <w:rtl/>
        </w:rPr>
        <w:t>ויאמר אליהם בן מאה ועשרים שנה אנכי היום</w:t>
      </w:r>
      <w:r>
        <w:rPr>
          <w:rFonts w:hint="cs"/>
          <w:rtl/>
        </w:rPr>
        <w:t xml:space="preserve"> ... </w:t>
      </w:r>
      <w:r>
        <w:rPr>
          <w:rtl/>
        </w:rPr>
        <w:t>מלמד שהקב"ה משלים שנותן של צדיקים ברצון ובשמחה</w:t>
      </w:r>
      <w:r>
        <w:rPr>
          <w:rFonts w:hint="cs"/>
          <w:rtl/>
        </w:rPr>
        <w:t xml:space="preserve">, שנאמר: </w:t>
      </w:r>
      <w:r>
        <w:rPr>
          <w:rtl/>
        </w:rPr>
        <w:t>את מספר ימיך אמלא</w:t>
      </w:r>
      <w:r>
        <w:rPr>
          <w:rFonts w:hint="cs"/>
          <w:rtl/>
        </w:rPr>
        <w:t>". וכן הוא בראש השנה יא ע"א ועוד. באופן דומה כותב גם החיד"א בפירושו חומת אנך לתהלים פרק קי על צמד הפסוקים ג-ד: "</w:t>
      </w:r>
      <w:r>
        <w:rPr>
          <w:rtl/>
        </w:rPr>
        <w:t>עַמְּךָ נְדָבֹת בְּיוֹם חֵילֶךָ בְּהַדְרֵי קֹדֶשׁ מֵרֶחֶם מִשְׁחָר לְךָ טַל יַלְדֻתֶיךָ:</w:t>
      </w:r>
      <w:r>
        <w:rPr>
          <w:rFonts w:hint="cs"/>
          <w:rtl/>
        </w:rPr>
        <w:t xml:space="preserve"> </w:t>
      </w:r>
      <w:r>
        <w:rPr>
          <w:rtl/>
        </w:rPr>
        <w:t>נִשְׁבַּע ה' וְלֹא יִנָּחֵם אַתָּה כֹהֵן לְעוֹלָם עַל דִּבְרָתִי מַלְכִּי צֶדֶק</w:t>
      </w:r>
      <w:r>
        <w:rPr>
          <w:rFonts w:hint="cs"/>
          <w:rtl/>
        </w:rPr>
        <w:t xml:space="preserve">". כותב </w:t>
      </w:r>
      <w:hyperlink r:id="rId3" w:history="1">
        <w:r w:rsidRPr="003337F2">
          <w:rPr>
            <w:rStyle w:val="Hyperlink"/>
            <w:rFonts w:hint="cs"/>
            <w:rtl/>
          </w:rPr>
          <w:t>החיד"א</w:t>
        </w:r>
      </w:hyperlink>
      <w:r>
        <w:rPr>
          <w:rFonts w:hint="cs"/>
          <w:rtl/>
        </w:rPr>
        <w:t xml:space="preserve"> שכנראה לא הכיר את פירוש בכור שור: "</w:t>
      </w:r>
      <w:r>
        <w:rPr>
          <w:rtl/>
        </w:rPr>
        <w:t>מרחם משחר לך טל ילדותך נשבע ה' ולא ינחם וכו' על דברתי מלכי צדק. רד"ק ז"ל פירש על דוד המלך ע"ה דביום יציאתו מרחם אותו השחר לו היה כלומר לטובתו</w:t>
      </w:r>
      <w:r>
        <w:rPr>
          <w:rFonts w:hint="cs"/>
          <w:rtl/>
        </w:rPr>
        <w:t xml:space="preserve">. </w:t>
      </w:r>
      <w:r>
        <w:rPr>
          <w:rtl/>
        </w:rPr>
        <w:t>ואפשר במה שכתבתי אני בעניי בדרושים דדוד המלך עליו השלום נולד בעצרת שהוא לשון מלוכה</w:t>
      </w:r>
      <w:r>
        <w:rPr>
          <w:rFonts w:hint="cs"/>
          <w:rtl/>
        </w:rPr>
        <w:t>".</w:t>
      </w:r>
      <w:r w:rsidR="00B959BB">
        <w:rPr>
          <w:rFonts w:hint="cs"/>
          <w:rtl/>
        </w:rPr>
        <w:t xml:space="preserve"> שניהם חידשו מדעתם, זה בפולין וזה בירושלים, ומקור לשניהם</w:t>
      </w:r>
      <w:r w:rsidR="00350C84">
        <w:rPr>
          <w:rFonts w:hint="cs"/>
          <w:rtl/>
        </w:rPr>
        <w:t>, לדעתנו,</w:t>
      </w:r>
      <w:r w:rsidR="00B959BB">
        <w:rPr>
          <w:rFonts w:hint="cs"/>
          <w:rtl/>
        </w:rPr>
        <w:t xml:space="preserve"> הוא ירושלמי שקלים </w:t>
      </w:r>
      <w:r w:rsidR="00F062FE">
        <w:rPr>
          <w:rtl/>
        </w:rPr>
        <w:t>פרק ב הלכה ה</w:t>
      </w:r>
      <w:r w:rsidR="00F062FE">
        <w:rPr>
          <w:rFonts w:hint="cs"/>
          <w:rtl/>
        </w:rPr>
        <w:t>, שמובא בהערה 1</w:t>
      </w:r>
      <w:r w:rsidR="004C72B3">
        <w:rPr>
          <w:rFonts w:hint="cs"/>
          <w:rtl/>
        </w:rPr>
        <w:t>4</w:t>
      </w:r>
      <w:r w:rsidR="00F062FE">
        <w:rPr>
          <w:rFonts w:hint="cs"/>
          <w:rtl/>
        </w:rPr>
        <w:t xml:space="preserve"> להלן: "</w:t>
      </w:r>
      <w:r w:rsidR="00F062FE">
        <w:rPr>
          <w:rtl/>
        </w:rPr>
        <w:t>אמר לו הק</w:t>
      </w:r>
      <w:r w:rsidR="00F062FE">
        <w:rPr>
          <w:rFonts w:hint="cs"/>
          <w:rtl/>
        </w:rPr>
        <w:t xml:space="preserve">ב"ה </w:t>
      </w:r>
      <w:r w:rsidR="00F062FE">
        <w:rPr>
          <w:rtl/>
        </w:rPr>
        <w:t>לדוד</w:t>
      </w:r>
      <w:r w:rsidR="00F062FE">
        <w:rPr>
          <w:rFonts w:hint="cs"/>
          <w:rtl/>
        </w:rPr>
        <w:t>:</w:t>
      </w:r>
      <w:r w:rsidR="00F062FE">
        <w:rPr>
          <w:rtl/>
        </w:rPr>
        <w:t xml:space="preserve"> ימים שלמים אני מונה לך ולא ימים חסרים</w:t>
      </w:r>
      <w:r w:rsidR="00F062FE">
        <w:rPr>
          <w:rFonts w:hint="cs"/>
          <w:rtl/>
        </w:rPr>
        <w:t>".</w:t>
      </w:r>
      <w:r w:rsidR="00F062FE">
        <w:rPr>
          <w:rtl/>
        </w:rPr>
        <w:t xml:space="preserve"> </w:t>
      </w:r>
    </w:p>
  </w:footnote>
  <w:footnote w:id="10">
    <w:p w14:paraId="429DB8C9" w14:textId="77777777" w:rsidR="00CD69CA" w:rsidRDefault="00CD69CA" w:rsidP="00350C84">
      <w:pPr>
        <w:pStyle w:val="a3"/>
        <w:rPr>
          <w:rFonts w:hint="cs"/>
          <w:rtl/>
        </w:rPr>
      </w:pPr>
      <w:r>
        <w:rPr>
          <w:rStyle w:val="a5"/>
        </w:rPr>
        <w:footnoteRef/>
      </w:r>
      <w:r>
        <w:rPr>
          <w:rtl/>
        </w:rPr>
        <w:t xml:space="preserve"> </w:t>
      </w:r>
      <w:r>
        <w:rPr>
          <w:rFonts w:hint="cs"/>
          <w:rtl/>
        </w:rPr>
        <w:t xml:space="preserve">זו הכותרת / המוטיב לסיפור מותו של דוד שנראה להלן ותחילת מלכותו של שלמה. טוב אדם נחות (כלב) שחי מאדם חשוב ככל שיהיה (אריה) שכבר איננו בחיים. ראה שם בתחילת הסוגיה שהגמרא מוצאת לכאורה סתירה בין דברי שלמה: </w:t>
      </w:r>
      <w:r>
        <w:rPr>
          <w:rFonts w:hint="cs"/>
          <w:rtl/>
          <w:lang w:val="he-IL"/>
        </w:rPr>
        <w:t xml:space="preserve">"ושבח אני את המתים שכבר מתו" (קהלת ד ב), ובין פסוק זה: "כי לכלב חי הוא טוב מן האריה המת" (כולל חציו הראשון: "כי מי אשר יחובר אל החיים יש ביטחון"). וכבר הארכנו לדון במוטיב זה בדברינו </w:t>
      </w:r>
      <w:hyperlink r:id="rId4" w:history="1">
        <w:r w:rsidRPr="00CD69CA">
          <w:rPr>
            <w:rStyle w:val="Hyperlink"/>
            <w:rFonts w:hint="cs"/>
            <w:rtl/>
          </w:rPr>
          <w:t>על ארי מת וכלב</w:t>
        </w:r>
      </w:hyperlink>
      <w:r w:rsidR="00350C84">
        <w:rPr>
          <w:rFonts w:hint="cs"/>
          <w:rtl/>
        </w:rPr>
        <w:t xml:space="preserve"> חי</w:t>
      </w:r>
      <w:r>
        <w:rPr>
          <w:rFonts w:hint="cs"/>
          <w:rtl/>
        </w:rPr>
        <w:t xml:space="preserve"> בקהלת</w:t>
      </w:r>
      <w:r w:rsidR="00350C84">
        <w:rPr>
          <w:rFonts w:hint="cs"/>
          <w:rtl/>
        </w:rPr>
        <w:t>,</w:t>
      </w:r>
      <w:r>
        <w:rPr>
          <w:rFonts w:hint="cs"/>
          <w:rtl/>
        </w:rPr>
        <w:t xml:space="preserve"> וכ</w:t>
      </w:r>
      <w:r w:rsidR="00350C84">
        <w:rPr>
          <w:rFonts w:hint="cs"/>
          <w:rtl/>
        </w:rPr>
        <w:t>א</w:t>
      </w:r>
      <w:r>
        <w:rPr>
          <w:rFonts w:hint="cs"/>
          <w:rtl/>
        </w:rPr>
        <w:t>ן נמשיך בתיאור מותו של הארי.</w:t>
      </w:r>
    </w:p>
  </w:footnote>
  <w:footnote w:id="11">
    <w:p w14:paraId="37C6D5F4" w14:textId="77777777" w:rsidR="009D194C" w:rsidRDefault="009D194C" w:rsidP="008837F1">
      <w:pPr>
        <w:pStyle w:val="a3"/>
        <w:rPr>
          <w:rFonts w:hint="cs"/>
          <w:rtl/>
        </w:rPr>
      </w:pPr>
      <w:r>
        <w:rPr>
          <w:rStyle w:val="a5"/>
        </w:rPr>
        <w:footnoteRef/>
      </w:r>
      <w:r>
        <w:rPr>
          <w:rtl/>
        </w:rPr>
        <w:t xml:space="preserve"> </w:t>
      </w:r>
      <w:r>
        <w:rPr>
          <w:rFonts w:hint="cs"/>
          <w:rtl/>
        </w:rPr>
        <w:t>נראה שקיצו של אדם הוא ה</w:t>
      </w:r>
      <w:r w:rsidR="006228A9">
        <w:rPr>
          <w:rFonts w:hint="cs"/>
          <w:rtl/>
        </w:rPr>
        <w:t>תאריך</w:t>
      </w:r>
      <w:r>
        <w:rPr>
          <w:rFonts w:hint="cs"/>
          <w:rtl/>
        </w:rPr>
        <w:t xml:space="preserve"> המדויק ואילו מידת ימיו של אדם הוא מספר השנים שיחיה. </w:t>
      </w:r>
      <w:r w:rsidR="001B0A09">
        <w:rPr>
          <w:rFonts w:hint="cs"/>
          <w:rtl/>
        </w:rPr>
        <w:t>ר</w:t>
      </w:r>
      <w:r>
        <w:rPr>
          <w:rFonts w:hint="cs"/>
          <w:rtl/>
        </w:rPr>
        <w:t>אה רש"י ושטיינזלץ שם.</w:t>
      </w:r>
      <w:r w:rsidR="00A64713">
        <w:rPr>
          <w:rFonts w:hint="cs"/>
          <w:rtl/>
        </w:rPr>
        <w:t xml:space="preserve"> שני אלה הם בבחינת גזירה מלפני המקום שאין לדעת אותה. </w:t>
      </w:r>
      <w:r w:rsidR="00F062FE">
        <w:rPr>
          <w:rFonts w:hint="cs"/>
          <w:rtl/>
        </w:rPr>
        <w:t>אולי על מנת שאדם יעשה תשובה</w:t>
      </w:r>
      <w:r w:rsidR="008837F1">
        <w:rPr>
          <w:rFonts w:hint="cs"/>
          <w:rtl/>
        </w:rPr>
        <w:t xml:space="preserve">. ראה </w:t>
      </w:r>
      <w:r w:rsidR="008837F1">
        <w:rPr>
          <w:rtl/>
        </w:rPr>
        <w:t>אבות דרבי נתן נוסח ב פרק כט</w:t>
      </w:r>
      <w:r w:rsidR="008837F1">
        <w:rPr>
          <w:rFonts w:hint="cs"/>
          <w:rtl/>
        </w:rPr>
        <w:t>: "</w:t>
      </w:r>
      <w:r w:rsidR="008837F1">
        <w:rPr>
          <w:rtl/>
        </w:rPr>
        <w:t>ושוב יום אחד לפני מיתתך. מעשה ברבי אליעזר בן הורקנוס שהיה אומר לתלמידיו</w:t>
      </w:r>
      <w:r w:rsidR="008837F1">
        <w:rPr>
          <w:rFonts w:hint="cs"/>
          <w:rtl/>
        </w:rPr>
        <w:t>:</w:t>
      </w:r>
      <w:r w:rsidR="008837F1">
        <w:rPr>
          <w:rtl/>
        </w:rPr>
        <w:t xml:space="preserve"> שובו לפני מיתתכם יום אחד. אמרו</w:t>
      </w:r>
      <w:r w:rsidR="008837F1">
        <w:rPr>
          <w:rFonts w:hint="cs"/>
          <w:rtl/>
        </w:rPr>
        <w:t>:</w:t>
      </w:r>
      <w:r w:rsidR="008837F1">
        <w:rPr>
          <w:rtl/>
        </w:rPr>
        <w:t xml:space="preserve"> וכי אדם יודע אימתי ימות שיעשה תשובה</w:t>
      </w:r>
      <w:r w:rsidR="008837F1">
        <w:rPr>
          <w:rFonts w:hint="cs"/>
          <w:rtl/>
        </w:rPr>
        <w:t xml:space="preserve">? אמר להם: </w:t>
      </w:r>
      <w:r w:rsidR="008837F1">
        <w:rPr>
          <w:rtl/>
        </w:rPr>
        <w:t>בכל יום יאמר אדם היום אעשה תשובה שמא אמות למחר נמצאו כל ימיו באים בתשובה</w:t>
      </w:r>
      <w:r w:rsidR="008837F1">
        <w:rPr>
          <w:rFonts w:hint="cs"/>
          <w:rtl/>
        </w:rPr>
        <w:t xml:space="preserve">. </w:t>
      </w:r>
      <w:r w:rsidR="008837F1">
        <w:rPr>
          <w:rtl/>
        </w:rPr>
        <w:t>וזה פירושו של דבר</w:t>
      </w:r>
      <w:r w:rsidR="008837F1">
        <w:rPr>
          <w:rFonts w:hint="cs"/>
          <w:rtl/>
        </w:rPr>
        <w:t>:</w:t>
      </w:r>
      <w:r w:rsidR="008837F1">
        <w:rPr>
          <w:rtl/>
        </w:rPr>
        <w:t xml:space="preserve"> בכל עת יהיו בגדיך לבנים (קהלת ט ח)</w:t>
      </w:r>
      <w:r w:rsidR="008837F1">
        <w:rPr>
          <w:rFonts w:hint="cs"/>
          <w:rtl/>
        </w:rPr>
        <w:t xml:space="preserve">". </w:t>
      </w:r>
      <w:r w:rsidR="00A64713">
        <w:rPr>
          <w:rFonts w:hint="cs"/>
          <w:rtl/>
        </w:rPr>
        <w:t xml:space="preserve">ראה הביטוי "גזירה היא מלפני" בהקשר עם מותו של משה ואי כניסתו לארץ (ספרי דברים שלט, דברים רבה יא) ויש עוד. נושא מעניין לחקור. </w:t>
      </w:r>
    </w:p>
  </w:footnote>
  <w:footnote w:id="12">
    <w:p w14:paraId="620AD0CC" w14:textId="77777777" w:rsidR="009D194C" w:rsidRDefault="009D194C">
      <w:pPr>
        <w:pStyle w:val="a3"/>
        <w:rPr>
          <w:rFonts w:hint="cs"/>
          <w:rtl/>
        </w:rPr>
      </w:pPr>
      <w:r>
        <w:rPr>
          <w:rStyle w:val="a5"/>
        </w:rPr>
        <w:footnoteRef/>
      </w:r>
      <w:r>
        <w:rPr>
          <w:rtl/>
        </w:rPr>
        <w:t xml:space="preserve"> </w:t>
      </w:r>
      <w:r w:rsidR="008837F1">
        <w:rPr>
          <w:rFonts w:hint="cs"/>
          <w:rtl/>
        </w:rPr>
        <w:t xml:space="preserve">ברשה של דוד. </w:t>
      </w:r>
      <w:r>
        <w:rPr>
          <w:rFonts w:hint="cs"/>
          <w:rtl/>
        </w:rPr>
        <w:t>"שיוכלו להתעסק בי ובהספדי", רש"י. "שלא יתנגש כבוד שבת בצער המות", שטיינזלץ.</w:t>
      </w:r>
    </w:p>
  </w:footnote>
  <w:footnote w:id="13">
    <w:p w14:paraId="53F9162C" w14:textId="77777777" w:rsidR="00182AEF" w:rsidRDefault="00182AEF" w:rsidP="00C363B7">
      <w:pPr>
        <w:pStyle w:val="a3"/>
        <w:rPr>
          <w:rFonts w:hint="cs"/>
        </w:rPr>
      </w:pPr>
      <w:r>
        <w:rPr>
          <w:rStyle w:val="a5"/>
        </w:rPr>
        <w:footnoteRef/>
      </w:r>
      <w:r>
        <w:rPr>
          <w:rtl/>
        </w:rPr>
        <w:t xml:space="preserve"> </w:t>
      </w:r>
      <w:r>
        <w:rPr>
          <w:rFonts w:hint="cs"/>
          <w:rtl/>
        </w:rPr>
        <w:t xml:space="preserve">כך גם בהעברת השלטון משמואל לשאול </w:t>
      </w:r>
      <w:r>
        <w:rPr>
          <w:rtl/>
        </w:rPr>
        <w:t>–</w:t>
      </w:r>
      <w:r>
        <w:rPr>
          <w:rFonts w:hint="cs"/>
          <w:rtl/>
        </w:rPr>
        <w:t xml:space="preserve"> ברכות מח ע"ב, וכן בהעברת המלכות משאול לדוד - גמרא תענית ה ע"ב. וכך גם בהעברת הסמכות בין החכמים </w:t>
      </w:r>
      <w:r>
        <w:rPr>
          <w:rtl/>
        </w:rPr>
        <w:t>–</w:t>
      </w:r>
      <w:r>
        <w:rPr>
          <w:rFonts w:hint="cs"/>
          <w:rtl/>
        </w:rPr>
        <w:t xml:space="preserve"> מועד קטן כח ע"א. וראש לכולם העברת השלטון ממשה ליהושע</w:t>
      </w:r>
      <w:r w:rsidR="00C363B7">
        <w:rPr>
          <w:rFonts w:hint="cs"/>
          <w:rtl/>
        </w:rPr>
        <w:t xml:space="preserve"> - </w:t>
      </w:r>
      <w:r w:rsidR="00C363B7">
        <w:rPr>
          <w:rtl/>
        </w:rPr>
        <w:t xml:space="preserve">מדרש תנאים לדברים </w:t>
      </w:r>
      <w:r w:rsidR="00C363B7">
        <w:rPr>
          <w:rFonts w:hint="cs"/>
          <w:rtl/>
        </w:rPr>
        <w:t>ג כו ושם הלשון היא: "</w:t>
      </w:r>
      <w:r w:rsidR="00C363B7">
        <w:rPr>
          <w:rtl/>
        </w:rPr>
        <w:t>עכש</w:t>
      </w:r>
      <w:r w:rsidR="00C363B7">
        <w:rPr>
          <w:rFonts w:hint="cs"/>
          <w:rtl/>
        </w:rPr>
        <w:t>י</w:t>
      </w:r>
      <w:r w:rsidR="00C363B7">
        <w:rPr>
          <w:rtl/>
        </w:rPr>
        <w:t>ו ארכי של יהושע דוחקת לפני</w:t>
      </w:r>
      <w:r w:rsidR="00C363B7">
        <w:rPr>
          <w:rFonts w:hint="cs"/>
          <w:rtl/>
        </w:rPr>
        <w:t xml:space="preserve">". ראה דברינו </w:t>
      </w:r>
      <w:hyperlink r:id="rId5" w:history="1">
        <w:r w:rsidR="00C363B7" w:rsidRPr="00C363B7">
          <w:rPr>
            <w:rStyle w:val="Hyperlink"/>
            <w:rFonts w:hint="cs"/>
            <w:rtl/>
          </w:rPr>
          <w:t>עזה כמוות אהבה קשה כשאול קנאה</w:t>
        </w:r>
      </w:hyperlink>
      <w:r w:rsidR="00C363B7">
        <w:rPr>
          <w:rFonts w:hint="cs"/>
          <w:rtl/>
        </w:rPr>
        <w:t xml:space="preserve"> בפרשת וילך.</w:t>
      </w:r>
    </w:p>
  </w:footnote>
  <w:footnote w:id="14">
    <w:p w14:paraId="15D47DB0" w14:textId="77777777" w:rsidR="005C7068" w:rsidRDefault="005C7068" w:rsidP="00350C84">
      <w:pPr>
        <w:pStyle w:val="a3"/>
        <w:rPr>
          <w:rFonts w:hint="cs"/>
          <w:rtl/>
        </w:rPr>
      </w:pPr>
      <w:r>
        <w:rPr>
          <w:rStyle w:val="a5"/>
        </w:rPr>
        <w:footnoteRef/>
      </w:r>
      <w:r>
        <w:rPr>
          <w:rtl/>
        </w:rPr>
        <w:t xml:space="preserve"> </w:t>
      </w:r>
      <w:r w:rsidR="006E4EA0">
        <w:rPr>
          <w:rFonts w:hint="cs"/>
          <w:rtl/>
        </w:rPr>
        <w:t>האם רק שבח כאן לדוד או שמא גם 'עקיצה' לשלמה שהעלה אלף קרבנות על הבמה בגבעון עו</w:t>
      </w:r>
      <w:r w:rsidR="00350C84">
        <w:rPr>
          <w:rFonts w:hint="cs"/>
          <w:rtl/>
        </w:rPr>
        <w:t>ד</w:t>
      </w:r>
      <w:r w:rsidR="006E4EA0">
        <w:rPr>
          <w:rFonts w:hint="cs"/>
          <w:rtl/>
        </w:rPr>
        <w:t xml:space="preserve"> לפני </w:t>
      </w:r>
      <w:r w:rsidR="008837F1">
        <w:rPr>
          <w:rFonts w:hint="cs"/>
          <w:rtl/>
        </w:rPr>
        <w:t xml:space="preserve">הקמת </w:t>
      </w:r>
      <w:r w:rsidR="006E4EA0">
        <w:rPr>
          <w:rFonts w:hint="cs"/>
          <w:rtl/>
        </w:rPr>
        <w:t>בית המקדש (</w:t>
      </w:r>
      <w:r w:rsidR="006E4EA0">
        <w:rPr>
          <w:rtl/>
        </w:rPr>
        <w:t>מלכים א ג</w:t>
      </w:r>
      <w:r w:rsidR="006E4EA0">
        <w:rPr>
          <w:rFonts w:hint="cs"/>
          <w:rtl/>
        </w:rPr>
        <w:t xml:space="preserve"> </w:t>
      </w:r>
      <w:r w:rsidR="006E4EA0">
        <w:rPr>
          <w:rtl/>
        </w:rPr>
        <w:t>ד)</w:t>
      </w:r>
      <w:r w:rsidR="006E4EA0">
        <w:rPr>
          <w:rFonts w:hint="cs"/>
          <w:rtl/>
        </w:rPr>
        <w:t xml:space="preserve">? ראה דברינו </w:t>
      </w:r>
      <w:hyperlink r:id="rId6" w:history="1">
        <w:r w:rsidR="006E4EA0" w:rsidRPr="006E4EA0">
          <w:rPr>
            <w:rStyle w:val="Hyperlink"/>
            <w:rFonts w:hint="cs"/>
            <w:rtl/>
          </w:rPr>
          <w:t>על דברי עולה וזבח</w:t>
        </w:r>
      </w:hyperlink>
      <w:r w:rsidR="006E4EA0">
        <w:rPr>
          <w:rFonts w:hint="cs"/>
          <w:rtl/>
        </w:rPr>
        <w:t xml:space="preserve"> בפרשת צו. כך או כך, </w:t>
      </w:r>
      <w:r w:rsidR="006E4EA0">
        <w:rPr>
          <w:rtl/>
        </w:rPr>
        <w:t xml:space="preserve"> </w:t>
      </w:r>
      <w:r>
        <w:rPr>
          <w:rFonts w:hint="cs"/>
          <w:rtl/>
        </w:rPr>
        <w:t xml:space="preserve">השווה עם גמרא </w:t>
      </w:r>
      <w:r>
        <w:rPr>
          <w:rtl/>
        </w:rPr>
        <w:t>מכות י ע</w:t>
      </w:r>
      <w:r>
        <w:rPr>
          <w:rFonts w:hint="cs"/>
          <w:rtl/>
        </w:rPr>
        <w:t>"א: "</w:t>
      </w:r>
      <w:r>
        <w:rPr>
          <w:rtl/>
        </w:rPr>
        <w:t>א"ר יהושע בן לוי</w:t>
      </w:r>
      <w:r>
        <w:rPr>
          <w:rFonts w:hint="cs"/>
          <w:rtl/>
        </w:rPr>
        <w:t>:</w:t>
      </w:r>
      <w:r>
        <w:rPr>
          <w:rtl/>
        </w:rPr>
        <w:t xml:space="preserve"> מאי דכתיב: שיר המעלות לדוד שמחתי באומרים לי בית ה' נלך? אמר דוד לפני הקב"ה: רבש"ע, שמעתי בני אדם שהיו אומרים</w:t>
      </w:r>
      <w:r>
        <w:rPr>
          <w:rFonts w:hint="cs"/>
          <w:rtl/>
        </w:rPr>
        <w:t>:</w:t>
      </w:r>
      <w:r>
        <w:rPr>
          <w:rtl/>
        </w:rPr>
        <w:t xml:space="preserve"> מתי ימות זקן זה ויב</w:t>
      </w:r>
      <w:r>
        <w:rPr>
          <w:rFonts w:hint="cs"/>
          <w:rtl/>
        </w:rPr>
        <w:t>ו</w:t>
      </w:r>
      <w:r>
        <w:rPr>
          <w:rtl/>
        </w:rPr>
        <w:t>א שלמה בנו ויבנה בית הבחירה ונעלה לרגל</w:t>
      </w:r>
      <w:r>
        <w:rPr>
          <w:rFonts w:hint="cs"/>
          <w:rtl/>
        </w:rPr>
        <w:t>?</w:t>
      </w:r>
      <w:r>
        <w:rPr>
          <w:rtl/>
        </w:rPr>
        <w:t xml:space="preserve"> ושמחתי; אמר לו הקב"ה: כי טוב יום בחצריך מאלף, טוב לי יום אחד שאתה עוסק בתורה לפני, מאלף עולות שעתיד שלמה בנך להקריב לפני על גבי המזבח</w:t>
      </w:r>
      <w:r>
        <w:rPr>
          <w:rFonts w:hint="cs"/>
          <w:rtl/>
        </w:rPr>
        <w:t>"</w:t>
      </w:r>
      <w:r>
        <w:rPr>
          <w:rtl/>
        </w:rPr>
        <w:t>.</w:t>
      </w:r>
      <w:r>
        <w:rPr>
          <w:rFonts w:hint="cs"/>
          <w:rtl/>
        </w:rPr>
        <w:t xml:space="preserve"> </w:t>
      </w:r>
      <w:r w:rsidR="00350C84">
        <w:rPr>
          <w:rFonts w:hint="cs"/>
          <w:rtl/>
        </w:rPr>
        <w:t xml:space="preserve">ראה </w:t>
      </w:r>
      <w:r>
        <w:rPr>
          <w:rFonts w:hint="cs"/>
          <w:rtl/>
        </w:rPr>
        <w:t xml:space="preserve">כמו כן בירושלמי </w:t>
      </w:r>
      <w:r>
        <w:rPr>
          <w:rtl/>
        </w:rPr>
        <w:t>שקלים פרק ב הלכה ה</w:t>
      </w:r>
      <w:r>
        <w:rPr>
          <w:rFonts w:hint="cs"/>
          <w:rtl/>
        </w:rPr>
        <w:t>: "</w:t>
      </w:r>
      <w:r>
        <w:rPr>
          <w:rtl/>
        </w:rPr>
        <w:t>אין דור שאין בו ליצנין כדורו של דוד</w:t>
      </w:r>
      <w:r w:rsidR="00B959BB">
        <w:rPr>
          <w:rFonts w:hint="cs"/>
          <w:rtl/>
        </w:rPr>
        <w:t>.</w:t>
      </w:r>
      <w:r>
        <w:rPr>
          <w:rtl/>
        </w:rPr>
        <w:t xml:space="preserve"> מה היו פרוצי הדור עושין</w:t>
      </w:r>
      <w:r w:rsidR="00B959BB">
        <w:rPr>
          <w:rFonts w:hint="cs"/>
          <w:rtl/>
        </w:rPr>
        <w:t>?</w:t>
      </w:r>
      <w:r>
        <w:rPr>
          <w:rtl/>
        </w:rPr>
        <w:t xml:space="preserve"> היו הולכין אצל חלונותיו של דוד אומרין לו</w:t>
      </w:r>
      <w:r w:rsidR="00B959BB">
        <w:rPr>
          <w:rFonts w:hint="cs"/>
          <w:rtl/>
        </w:rPr>
        <w:t>:</w:t>
      </w:r>
      <w:r>
        <w:rPr>
          <w:rtl/>
        </w:rPr>
        <w:t xml:space="preserve"> דוד דוד</w:t>
      </w:r>
      <w:r w:rsidR="00B959BB">
        <w:rPr>
          <w:rFonts w:hint="cs"/>
          <w:rtl/>
        </w:rPr>
        <w:t>,</w:t>
      </w:r>
      <w:r>
        <w:rPr>
          <w:rtl/>
        </w:rPr>
        <w:t xml:space="preserve"> אימתי יבנה ב</w:t>
      </w:r>
      <w:r w:rsidR="00B959BB">
        <w:rPr>
          <w:rFonts w:hint="cs"/>
          <w:rtl/>
        </w:rPr>
        <w:t xml:space="preserve">ית המקדש? </w:t>
      </w:r>
      <w:r>
        <w:rPr>
          <w:rtl/>
        </w:rPr>
        <w:t>אימתי בית ה' נלך</w:t>
      </w:r>
      <w:r w:rsidR="00B959BB">
        <w:rPr>
          <w:rFonts w:hint="cs"/>
          <w:rtl/>
        </w:rPr>
        <w:t>?</w:t>
      </w:r>
      <w:r>
        <w:rPr>
          <w:rtl/>
        </w:rPr>
        <w:t xml:space="preserve"> והיה דוד אומר</w:t>
      </w:r>
      <w:r w:rsidR="00B959BB">
        <w:rPr>
          <w:rFonts w:hint="cs"/>
          <w:rtl/>
        </w:rPr>
        <w:t>:</w:t>
      </w:r>
      <w:r>
        <w:rPr>
          <w:rtl/>
        </w:rPr>
        <w:t xml:space="preserve"> אף על פי שמתכוונין להכעיסני</w:t>
      </w:r>
      <w:r w:rsidR="00B959BB">
        <w:rPr>
          <w:rFonts w:hint="cs"/>
          <w:rtl/>
        </w:rPr>
        <w:t>,</w:t>
      </w:r>
      <w:r>
        <w:rPr>
          <w:rtl/>
        </w:rPr>
        <w:t xml:space="preserve"> יב</w:t>
      </w:r>
      <w:r w:rsidR="00B959BB">
        <w:rPr>
          <w:rFonts w:hint="cs"/>
          <w:rtl/>
        </w:rPr>
        <w:t>ו</w:t>
      </w:r>
      <w:r>
        <w:rPr>
          <w:rtl/>
        </w:rPr>
        <w:t>א עלי אם לא הייתי שמח בדבריהם</w:t>
      </w:r>
      <w:r w:rsidR="00B959BB">
        <w:rPr>
          <w:rFonts w:hint="cs"/>
          <w:rtl/>
        </w:rPr>
        <w:t>,</w:t>
      </w:r>
      <w:r>
        <w:rPr>
          <w:rtl/>
        </w:rPr>
        <w:t xml:space="preserve"> דכתיב</w:t>
      </w:r>
      <w:r w:rsidR="00B959BB">
        <w:rPr>
          <w:rFonts w:hint="cs"/>
          <w:rtl/>
        </w:rPr>
        <w:t>:</w:t>
      </w:r>
      <w:r>
        <w:rPr>
          <w:rtl/>
        </w:rPr>
        <w:t xml:space="preserve"> שמחתי באומרים לי בית ה' נלך</w:t>
      </w:r>
      <w:r w:rsidR="00B959BB">
        <w:rPr>
          <w:rFonts w:hint="cs"/>
          <w:rtl/>
        </w:rPr>
        <w:t xml:space="preserve"> </w:t>
      </w:r>
      <w:r w:rsidR="00B959BB">
        <w:rPr>
          <w:rtl/>
        </w:rPr>
        <w:t>[תהילים קכב א]</w:t>
      </w:r>
      <w:r w:rsidR="00B959BB">
        <w:rPr>
          <w:rFonts w:hint="cs"/>
          <w:rtl/>
        </w:rPr>
        <w:t>.</w:t>
      </w:r>
      <w:r>
        <w:rPr>
          <w:rtl/>
        </w:rPr>
        <w:t xml:space="preserve"> והיה כי ימלאו ימיך ושכבת את אבותיך </w:t>
      </w:r>
      <w:r w:rsidR="00B959BB">
        <w:rPr>
          <w:rtl/>
        </w:rPr>
        <w:t xml:space="preserve">[שמואל ב ז יב] </w:t>
      </w:r>
      <w:r w:rsidR="00B959BB">
        <w:rPr>
          <w:rFonts w:hint="cs"/>
          <w:rtl/>
        </w:rPr>
        <w:t xml:space="preserve">- </w:t>
      </w:r>
      <w:r>
        <w:rPr>
          <w:rtl/>
        </w:rPr>
        <w:t>אמר לו הק</w:t>
      </w:r>
      <w:r w:rsidR="00B959BB">
        <w:rPr>
          <w:rFonts w:hint="cs"/>
          <w:rtl/>
        </w:rPr>
        <w:t xml:space="preserve">ב"ה </w:t>
      </w:r>
      <w:r>
        <w:rPr>
          <w:rtl/>
        </w:rPr>
        <w:t>לדוד</w:t>
      </w:r>
      <w:r w:rsidR="00B959BB">
        <w:rPr>
          <w:rFonts w:hint="cs"/>
          <w:rtl/>
        </w:rPr>
        <w:t>:</w:t>
      </w:r>
      <w:r>
        <w:rPr>
          <w:rtl/>
        </w:rPr>
        <w:t xml:space="preserve"> ימים שלמים אני מונה לך ולא ימים חסרים</w:t>
      </w:r>
      <w:r w:rsidR="00B959BB">
        <w:rPr>
          <w:rFonts w:hint="cs"/>
          <w:rtl/>
        </w:rPr>
        <w:t>.</w:t>
      </w:r>
      <w:r>
        <w:rPr>
          <w:rtl/>
        </w:rPr>
        <w:t xml:space="preserve"> כלום שלמה בנך יבנה ב</w:t>
      </w:r>
      <w:r w:rsidR="00B959BB">
        <w:rPr>
          <w:rFonts w:hint="cs"/>
          <w:rtl/>
        </w:rPr>
        <w:t xml:space="preserve">ית המקדש </w:t>
      </w:r>
      <w:r>
        <w:rPr>
          <w:rtl/>
        </w:rPr>
        <w:t>אלא להקריב קרבנות ציבור</w:t>
      </w:r>
      <w:r w:rsidR="00B959BB">
        <w:rPr>
          <w:rFonts w:hint="cs"/>
          <w:rtl/>
        </w:rPr>
        <w:t>,</w:t>
      </w:r>
      <w:r>
        <w:rPr>
          <w:rtl/>
        </w:rPr>
        <w:t xml:space="preserve"> חביב עלי צדקה ומשפט שאתה עושה יותר מן הקרבן</w:t>
      </w:r>
      <w:r w:rsidR="00B959BB">
        <w:rPr>
          <w:rFonts w:hint="cs"/>
          <w:rtl/>
        </w:rPr>
        <w:t>,</w:t>
      </w:r>
      <w:r>
        <w:rPr>
          <w:rtl/>
        </w:rPr>
        <w:t xml:space="preserve"> שנאמר</w:t>
      </w:r>
      <w:r w:rsidR="00B959BB">
        <w:rPr>
          <w:rFonts w:hint="cs"/>
          <w:rtl/>
        </w:rPr>
        <w:t>:</w:t>
      </w:r>
      <w:r>
        <w:rPr>
          <w:rtl/>
        </w:rPr>
        <w:t xml:space="preserve"> </w:t>
      </w:r>
      <w:r w:rsidR="00B959BB">
        <w:rPr>
          <w:rtl/>
        </w:rPr>
        <w:t>עשה צדקה ומשפט נבחר לה' מזב</w:t>
      </w:r>
      <w:r w:rsidR="00B959BB">
        <w:rPr>
          <w:rFonts w:hint="cs"/>
          <w:rtl/>
        </w:rPr>
        <w:t>ח</w:t>
      </w:r>
      <w:r w:rsidR="00B959BB" w:rsidRPr="00B959BB">
        <w:rPr>
          <w:rtl/>
        </w:rPr>
        <w:t xml:space="preserve"> </w:t>
      </w:r>
      <w:r w:rsidR="00B959BB">
        <w:rPr>
          <w:rtl/>
        </w:rPr>
        <w:t>[משלי כא ג]</w:t>
      </w:r>
      <w:r w:rsidR="00B959BB">
        <w:rPr>
          <w:rFonts w:hint="cs"/>
          <w:rtl/>
        </w:rPr>
        <w:t xml:space="preserve">". </w:t>
      </w:r>
      <w:r w:rsidR="005E32FF">
        <w:rPr>
          <w:rFonts w:hint="cs"/>
          <w:rtl/>
        </w:rPr>
        <w:t xml:space="preserve">וזה </w:t>
      </w:r>
      <w:r w:rsidR="00F062FE">
        <w:rPr>
          <w:rFonts w:hint="cs"/>
          <w:rtl/>
        </w:rPr>
        <w:t xml:space="preserve">כאמור </w:t>
      </w:r>
      <w:r w:rsidR="005E32FF">
        <w:rPr>
          <w:rFonts w:hint="cs"/>
          <w:rtl/>
        </w:rPr>
        <w:t>מקור ו</w:t>
      </w:r>
      <w:r w:rsidR="00B959BB">
        <w:rPr>
          <w:rFonts w:hint="cs"/>
          <w:rtl/>
        </w:rPr>
        <w:t>ראיה טובה לפירוש בכור שור והחיד"א לעיל.</w:t>
      </w:r>
    </w:p>
  </w:footnote>
  <w:footnote w:id="15">
    <w:p w14:paraId="13E68B67" w14:textId="77777777" w:rsidR="00E60CA4" w:rsidRDefault="00E60CA4" w:rsidP="008837F1">
      <w:pPr>
        <w:pStyle w:val="a3"/>
        <w:rPr>
          <w:rFonts w:hint="cs"/>
          <w:rtl/>
        </w:rPr>
      </w:pPr>
      <w:r>
        <w:rPr>
          <w:rStyle w:val="a5"/>
        </w:rPr>
        <w:footnoteRef/>
      </w:r>
      <w:r>
        <w:rPr>
          <w:rtl/>
        </w:rPr>
        <w:t xml:space="preserve"> </w:t>
      </w:r>
      <w:r>
        <w:rPr>
          <w:rFonts w:hint="cs"/>
          <w:rtl/>
        </w:rPr>
        <w:t>כאן נזכר יום מותו של דוד בשבת. ולהלן בנוסח ברות רבה: "בעצרת שחל להיות בשבת", מה שלא ייתכן בלוח השנה שלנו לפי הכלל: "לא אד"ו ראש (השנה) ולא בד"ו חג (הפסח)"</w:t>
      </w:r>
      <w:r w:rsidR="002D3AC4">
        <w:rPr>
          <w:rFonts w:hint="cs"/>
          <w:rtl/>
        </w:rPr>
        <w:t xml:space="preserve"> וממילא </w:t>
      </w:r>
      <w:r w:rsidR="007A2919">
        <w:rPr>
          <w:rFonts w:hint="cs"/>
          <w:rtl/>
        </w:rPr>
        <w:t xml:space="preserve">גם </w:t>
      </w:r>
      <w:r w:rsidR="002D3AC4">
        <w:rPr>
          <w:rFonts w:hint="cs"/>
          <w:rtl/>
        </w:rPr>
        <w:t>לא גה"ש שבועות.</w:t>
      </w:r>
      <w:r>
        <w:rPr>
          <w:rFonts w:hint="cs"/>
          <w:rtl/>
        </w:rPr>
        <w:t xml:space="preserve"> אבל ייתכן בתקופה בה לוח השנה נקבע עפ"י הראייה. אך בעלי תריסין לא נחה דעתם </w:t>
      </w:r>
      <w:r w:rsidR="007A2919">
        <w:rPr>
          <w:rFonts w:hint="cs"/>
          <w:rtl/>
        </w:rPr>
        <w:t xml:space="preserve">גם מאפשרות זו </w:t>
      </w:r>
      <w:r>
        <w:rPr>
          <w:rFonts w:hint="cs"/>
          <w:rtl/>
        </w:rPr>
        <w:t xml:space="preserve">והרבו להתפלפל בנושא. ראה הדיון </w:t>
      </w:r>
      <w:hyperlink r:id="rId7" w:history="1">
        <w:r w:rsidRPr="00BE4200">
          <w:rPr>
            <w:rStyle w:val="Hyperlink"/>
            <w:rFonts w:hint="cs"/>
            <w:rtl/>
          </w:rPr>
          <w:t>בפורום א</w:t>
        </w:r>
        <w:r w:rsidRPr="00BE4200">
          <w:rPr>
            <w:rStyle w:val="Hyperlink"/>
            <w:rFonts w:hint="cs"/>
            <w:rtl/>
          </w:rPr>
          <w:t>ו</w:t>
        </w:r>
        <w:r w:rsidRPr="00BE4200">
          <w:rPr>
            <w:rStyle w:val="Hyperlink"/>
            <w:rFonts w:hint="cs"/>
            <w:rtl/>
          </w:rPr>
          <w:t>צר החכמה</w:t>
        </w:r>
      </w:hyperlink>
      <w:r>
        <w:rPr>
          <w:rFonts w:hint="cs"/>
          <w:rtl/>
        </w:rPr>
        <w:t xml:space="preserve"> איך ייתכן שחג השבועות חל אז בשבת ומתי באיזה יום בסיון נפטר דוד, אם בה</w:t>
      </w:r>
      <w:r w:rsidR="004041AC">
        <w:rPr>
          <w:rFonts w:hint="cs"/>
          <w:rtl/>
        </w:rPr>
        <w:t>'</w:t>
      </w:r>
      <w:r>
        <w:rPr>
          <w:rFonts w:hint="cs"/>
          <w:rtl/>
        </w:rPr>
        <w:t>, בו' או בז' בסיון.</w:t>
      </w:r>
    </w:p>
  </w:footnote>
  <w:footnote w:id="16">
    <w:p w14:paraId="0E7EA651" w14:textId="77777777" w:rsidR="00924257" w:rsidRDefault="00924257">
      <w:pPr>
        <w:pStyle w:val="a3"/>
        <w:rPr>
          <w:rFonts w:hint="cs"/>
          <w:rtl/>
        </w:rPr>
      </w:pPr>
      <w:r>
        <w:rPr>
          <w:rStyle w:val="a5"/>
        </w:rPr>
        <w:footnoteRef/>
      </w:r>
      <w:r>
        <w:rPr>
          <w:rtl/>
        </w:rPr>
        <w:t xml:space="preserve"> </w:t>
      </w:r>
      <w:r w:rsidR="004041AC">
        <w:rPr>
          <w:rFonts w:hint="cs"/>
          <w:rtl/>
        </w:rPr>
        <w:t>מכאן ואילך תרגמנו את נוסח הגמרא לעברית בסיוע תלמוד שטיינזלץ. השגיאות אם יש, הן שלנו.</w:t>
      </w:r>
    </w:p>
  </w:footnote>
  <w:footnote w:id="17">
    <w:p w14:paraId="2BBF383C" w14:textId="77777777" w:rsidR="003F47E3" w:rsidRDefault="003F47E3">
      <w:pPr>
        <w:pStyle w:val="a3"/>
        <w:rPr>
          <w:rFonts w:hint="cs"/>
        </w:rPr>
      </w:pPr>
      <w:r>
        <w:rPr>
          <w:rStyle w:val="a5"/>
        </w:rPr>
        <w:footnoteRef/>
      </w:r>
      <w:r>
        <w:rPr>
          <w:rtl/>
        </w:rPr>
        <w:t xml:space="preserve"> </w:t>
      </w:r>
      <w:r>
        <w:rPr>
          <w:rFonts w:hint="cs"/>
          <w:rtl/>
        </w:rPr>
        <w:t>שואל מלאך המוות.</w:t>
      </w:r>
    </w:p>
  </w:footnote>
  <w:footnote w:id="18">
    <w:p w14:paraId="61DD2239" w14:textId="77777777" w:rsidR="003F47E3" w:rsidRDefault="003F47E3" w:rsidP="007A2919">
      <w:pPr>
        <w:pStyle w:val="a3"/>
        <w:rPr>
          <w:rFonts w:hint="cs"/>
        </w:rPr>
      </w:pPr>
      <w:r>
        <w:rPr>
          <w:rStyle w:val="a5"/>
        </w:rPr>
        <w:footnoteRef/>
      </w:r>
      <w:r>
        <w:rPr>
          <w:rtl/>
        </w:rPr>
        <w:t xml:space="preserve"> </w:t>
      </w:r>
      <w:r>
        <w:rPr>
          <w:rFonts w:hint="cs"/>
          <w:rtl/>
        </w:rPr>
        <w:t>הפסיק דוד לרגע מלימודו ומת.</w:t>
      </w:r>
      <w:r w:rsidR="007A2919">
        <w:rPr>
          <w:rFonts w:hint="cs"/>
          <w:rtl/>
        </w:rPr>
        <w:t xml:space="preserve"> ראה מוטיב זה גם ב</w:t>
      </w:r>
      <w:r w:rsidR="007A2919">
        <w:rPr>
          <w:rtl/>
        </w:rPr>
        <w:t>מסכת מועד קטן כח ע</w:t>
      </w:r>
      <w:r w:rsidR="007A2919">
        <w:rPr>
          <w:rFonts w:hint="cs"/>
          <w:rtl/>
        </w:rPr>
        <w:t xml:space="preserve">"א על </w:t>
      </w:r>
      <w:r w:rsidR="007A2919">
        <w:rPr>
          <w:rtl/>
        </w:rPr>
        <w:t>רב חסדא</w:t>
      </w:r>
      <w:r w:rsidR="004C72B3">
        <w:rPr>
          <w:rFonts w:hint="cs"/>
          <w:rtl/>
        </w:rPr>
        <w:t xml:space="preserve"> שמלאך המוות לא יכל לו כי כל העת עסק בתורה</w:t>
      </w:r>
      <w:r w:rsidR="007A2919">
        <w:rPr>
          <w:rFonts w:hint="cs"/>
          <w:rtl/>
        </w:rPr>
        <w:t xml:space="preserve">. וראה שם גם על </w:t>
      </w:r>
      <w:r w:rsidR="007A2919">
        <w:rPr>
          <w:rtl/>
        </w:rPr>
        <w:t xml:space="preserve">רבי חייא </w:t>
      </w:r>
      <w:r w:rsidR="007A2919">
        <w:rPr>
          <w:rFonts w:hint="cs"/>
          <w:rtl/>
        </w:rPr>
        <w:t>איך התחכם עליו מלאך המוות</w:t>
      </w:r>
      <w:r w:rsidR="004C72B3">
        <w:rPr>
          <w:rFonts w:hint="cs"/>
          <w:rtl/>
        </w:rPr>
        <w:t xml:space="preserve"> שהתחפש לעני</w:t>
      </w:r>
      <w:r w:rsidR="007A2919">
        <w:rPr>
          <w:rFonts w:hint="cs"/>
          <w:rtl/>
        </w:rPr>
        <w:t xml:space="preserve">. וחובבי עגנון יעיינו בסיפור המופלא </w:t>
      </w:r>
      <w:hyperlink r:id="rId8" w:history="1">
        <w:r w:rsidR="007A2919" w:rsidRPr="007A2919">
          <w:rPr>
            <w:rStyle w:val="Hyperlink"/>
            <w:rFonts w:hint="cs"/>
            <w:rtl/>
          </w:rPr>
          <w:t>מלאך המוות</w:t>
        </w:r>
        <w:r w:rsidR="007A2919" w:rsidRPr="007A2919">
          <w:rPr>
            <w:rStyle w:val="Hyperlink"/>
            <w:rFonts w:hint="cs"/>
            <w:rtl/>
          </w:rPr>
          <w:t xml:space="preserve"> </w:t>
        </w:r>
        <w:r w:rsidR="007A2919" w:rsidRPr="007A2919">
          <w:rPr>
            <w:rStyle w:val="Hyperlink"/>
            <w:rFonts w:hint="cs"/>
            <w:rtl/>
          </w:rPr>
          <w:t>והשוחט</w:t>
        </w:r>
      </w:hyperlink>
      <w:r w:rsidR="007A2919">
        <w:rPr>
          <w:rFonts w:hint="cs"/>
          <w:rtl/>
        </w:rPr>
        <w:t xml:space="preserve"> בכרך האש והעצים.</w:t>
      </w:r>
    </w:p>
  </w:footnote>
  <w:footnote w:id="19">
    <w:p w14:paraId="7B76C908" w14:textId="77777777" w:rsidR="003C046A" w:rsidRDefault="003C046A" w:rsidP="007A2919">
      <w:pPr>
        <w:pStyle w:val="a3"/>
        <w:rPr>
          <w:rFonts w:hint="cs"/>
          <w:rtl/>
        </w:rPr>
      </w:pPr>
      <w:r>
        <w:rPr>
          <w:rStyle w:val="a5"/>
        </w:rPr>
        <w:footnoteRef/>
      </w:r>
      <w:r>
        <w:rPr>
          <w:rtl/>
        </w:rPr>
        <w:t xml:space="preserve"> </w:t>
      </w:r>
      <w:r>
        <w:rPr>
          <w:rFonts w:hint="cs"/>
          <w:rtl/>
        </w:rPr>
        <w:t>רש"י מסביר שאלה שתי שאלות נפרדות: "לשתי שאלות</w:t>
      </w:r>
      <w:r w:rsidR="00E7256B">
        <w:rPr>
          <w:rFonts w:hint="cs"/>
          <w:rtl/>
        </w:rPr>
        <w:t xml:space="preserve"> הללו הוצרך", אבל שטיינזלץ מסביר שזו בעצם שאלה אחת: "אבא מת מוטל בחמה וכלבים של בית אבא רעבים ויש לחשוש שמא יבואו להזיקו".</w:t>
      </w:r>
      <w:r>
        <w:rPr>
          <w:rFonts w:hint="cs"/>
          <w:rtl/>
        </w:rPr>
        <w:t xml:space="preserve"> </w:t>
      </w:r>
    </w:p>
  </w:footnote>
  <w:footnote w:id="20">
    <w:p w14:paraId="170B406E" w14:textId="77777777" w:rsidR="00E7256B" w:rsidRDefault="00E7256B" w:rsidP="005800B4">
      <w:pPr>
        <w:pStyle w:val="a3"/>
        <w:rPr>
          <w:rFonts w:hint="cs"/>
        </w:rPr>
      </w:pPr>
      <w:r>
        <w:rPr>
          <w:rStyle w:val="a5"/>
        </w:rPr>
        <w:footnoteRef/>
      </w:r>
      <w:r>
        <w:rPr>
          <w:rtl/>
        </w:rPr>
        <w:t xml:space="preserve"> </w:t>
      </w:r>
      <w:r>
        <w:rPr>
          <w:rFonts w:hint="cs"/>
          <w:rtl/>
        </w:rPr>
        <w:t>את הכלבים מותר להאכיל בשבת ולצורך זה גם לטלטל, לחתוך וכו', אבל לטלטל את גופת דוד המלך, האריה המת, רק אגב כיכר לחם או תינוק וכיו"ב</w:t>
      </w:r>
      <w:r w:rsidR="00F45AAB">
        <w:rPr>
          <w:rFonts w:hint="cs"/>
          <w:rtl/>
        </w:rPr>
        <w:t xml:space="preserve"> שמותרים בטלטול</w:t>
      </w:r>
      <w:r>
        <w:rPr>
          <w:rFonts w:hint="cs"/>
          <w:rtl/>
        </w:rPr>
        <w:t>. ראה פירוש רש"י כאן: "</w:t>
      </w:r>
      <w:r>
        <w:rPr>
          <w:rtl/>
        </w:rPr>
        <w:t>שלתקנת הכלבים לא הצריכוהו לשנות טלטול נבילה, ואת האריה המת אסרו לטלטל אלא על ידי ככר או תינוק, לשון אחר: שהקדימוהו תשובת הכלב לתשובת האריה - לשון רבותי</w:t>
      </w:r>
      <w:r>
        <w:rPr>
          <w:rFonts w:hint="cs"/>
          <w:rtl/>
        </w:rPr>
        <w:t>"</w:t>
      </w:r>
      <w:r>
        <w:rPr>
          <w:rtl/>
        </w:rPr>
        <w:t>.</w:t>
      </w:r>
      <w:r>
        <w:rPr>
          <w:rFonts w:hint="cs"/>
          <w:rtl/>
        </w:rPr>
        <w:t xml:space="preserve"> ופירוש שטיינזלץ: "שבשביל הכלבים הרעבים מותר לטלטל את הנבילה ולהאכיל אותה בה. וביחס לאביך, אין היתר לטלטלו במישרין אלא הנח עליו כיכר לחם או תינוק וטלטל אותו לצל אגב התינוק או הכיכר". </w:t>
      </w:r>
    </w:p>
  </w:footnote>
  <w:footnote w:id="21">
    <w:p w14:paraId="25B36DA4" w14:textId="77777777" w:rsidR="005800B4" w:rsidRDefault="005800B4">
      <w:pPr>
        <w:pStyle w:val="a3"/>
        <w:rPr>
          <w:rFonts w:hint="cs"/>
          <w:rtl/>
        </w:rPr>
      </w:pPr>
      <w:r>
        <w:rPr>
          <w:rStyle w:val="a5"/>
        </w:rPr>
        <w:footnoteRef/>
      </w:r>
      <w:r>
        <w:rPr>
          <w:rtl/>
        </w:rPr>
        <w:t xml:space="preserve"> </w:t>
      </w:r>
      <w:r>
        <w:rPr>
          <w:rFonts w:hint="cs"/>
          <w:rtl/>
        </w:rPr>
        <w:t xml:space="preserve">ראה דברינו </w:t>
      </w:r>
      <w:hyperlink r:id="rId9" w:history="1">
        <w:r w:rsidRPr="00DA2D8C">
          <w:rPr>
            <w:rStyle w:val="Hyperlink"/>
            <w:rFonts w:hint="cs"/>
            <w:rtl/>
          </w:rPr>
          <w:t>על כלב חי וארי המת</w:t>
        </w:r>
      </w:hyperlink>
      <w:r>
        <w:rPr>
          <w:rFonts w:hint="cs"/>
          <w:rtl/>
        </w:rPr>
        <w:t xml:space="preserve"> בקהלת שבת המועד סוכות.</w:t>
      </w:r>
    </w:p>
  </w:footnote>
  <w:footnote w:id="22">
    <w:p w14:paraId="6F81F076" w14:textId="77777777" w:rsidR="00E7256B" w:rsidRDefault="00E7256B" w:rsidP="00222841">
      <w:pPr>
        <w:pStyle w:val="a3"/>
        <w:rPr>
          <w:rFonts w:hint="cs"/>
          <w:rtl/>
        </w:rPr>
      </w:pPr>
      <w:r>
        <w:rPr>
          <w:rStyle w:val="a5"/>
        </w:rPr>
        <w:footnoteRef/>
      </w:r>
      <w:r>
        <w:rPr>
          <w:rtl/>
        </w:rPr>
        <w:t xml:space="preserve"> </w:t>
      </w:r>
      <w:r>
        <w:rPr>
          <w:rFonts w:hint="cs"/>
          <w:rtl/>
        </w:rPr>
        <w:t xml:space="preserve">סיומת זו סוגרת את התחלת הדיון </w:t>
      </w:r>
      <w:r w:rsidR="00222841">
        <w:rPr>
          <w:rFonts w:hint="cs"/>
          <w:rtl/>
        </w:rPr>
        <w:t>בגמרא שם: "מהו לכבות נר לפני חולה בשבת?" (ראה פרק במה מדליקין</w:t>
      </w:r>
      <w:r w:rsidR="004C72B3">
        <w:rPr>
          <w:rFonts w:hint="cs"/>
          <w:rtl/>
        </w:rPr>
        <w:t xml:space="preserve"> במסכת שבת</w:t>
      </w:r>
      <w:r w:rsidR="00222841">
        <w:rPr>
          <w:rFonts w:hint="cs"/>
          <w:rtl/>
        </w:rPr>
        <w:t>). ותשובתה אחרי דיון ארוך שם במתים מול החיים, כולל הסיפור שלנו, היא שמוטב לכבות נר של בשר ודם, הנר שלפני החולה, מפני נרו של הקב"ה, הוא נשמת האדם וחייו. ואולי גם זה שייך לעניינינו, שכל עוד שהנר דולק (האדם חי) מותר לחלל שבת לצורך, אבל משעה שנר הקב"ה כבה, אין יותר היתר גם לא לטלטול, גם לא לדוד המלך. זה הקשר ההלכתי של פטירת דוד לעצרת היא חג מתן תורה.</w:t>
      </w:r>
    </w:p>
  </w:footnote>
  <w:footnote w:id="23">
    <w:p w14:paraId="66F2CE6F" w14:textId="77777777" w:rsidR="003C6320" w:rsidRDefault="003C6320" w:rsidP="004C72B3">
      <w:pPr>
        <w:pStyle w:val="a3"/>
      </w:pPr>
      <w:r>
        <w:rPr>
          <w:rStyle w:val="a5"/>
        </w:rPr>
        <w:footnoteRef/>
      </w:r>
      <w:r>
        <w:rPr>
          <w:rtl/>
        </w:rPr>
        <w:t xml:space="preserve"> </w:t>
      </w:r>
      <w:r>
        <w:rPr>
          <w:rFonts w:hint="cs"/>
          <w:rtl/>
        </w:rPr>
        <w:t>מקור נוסף</w:t>
      </w:r>
      <w:r w:rsidR="005800B4">
        <w:rPr>
          <w:rFonts w:hint="cs"/>
          <w:rtl/>
        </w:rPr>
        <w:t xml:space="preserve"> לסיפור פטירתו של דוד המלך מצוי ב</w:t>
      </w:r>
      <w:r w:rsidR="004C72B3">
        <w:rPr>
          <w:rFonts w:hint="cs"/>
          <w:rtl/>
        </w:rPr>
        <w:t xml:space="preserve">מדרש </w:t>
      </w:r>
      <w:r w:rsidR="005800B4">
        <w:rPr>
          <w:rFonts w:hint="cs"/>
          <w:rtl/>
        </w:rPr>
        <w:t xml:space="preserve">רות רבה. </w:t>
      </w:r>
      <w:r w:rsidR="00867CD8">
        <w:rPr>
          <w:rFonts w:hint="cs"/>
          <w:rtl/>
        </w:rPr>
        <w:t xml:space="preserve">אירוע מות דוד בעצרת נזכר בירושלמי </w:t>
      </w:r>
      <w:r w:rsidR="004C72B3">
        <w:rPr>
          <w:rFonts w:hint="cs"/>
          <w:rtl/>
        </w:rPr>
        <w:t xml:space="preserve">מסכתות </w:t>
      </w:r>
      <w:r w:rsidR="00867CD8">
        <w:rPr>
          <w:rFonts w:hint="cs"/>
          <w:rtl/>
        </w:rPr>
        <w:t>ביצה וחגיגה שמובא</w:t>
      </w:r>
      <w:r w:rsidR="004C72B3">
        <w:rPr>
          <w:rFonts w:hint="cs"/>
          <w:rtl/>
        </w:rPr>
        <w:t>ות</w:t>
      </w:r>
      <w:r w:rsidR="00867CD8">
        <w:rPr>
          <w:rFonts w:hint="cs"/>
          <w:rtl/>
        </w:rPr>
        <w:t xml:space="preserve"> לעיל, אבל לא הסיפור המפורט על מותו. מדרש רות רבה </w:t>
      </w:r>
      <w:r w:rsidR="005800B4">
        <w:rPr>
          <w:rFonts w:hint="cs"/>
          <w:rtl/>
        </w:rPr>
        <w:t>נחשב כ'ארצישראלי' עם קרבה לירושלמי</w:t>
      </w:r>
      <w:r w:rsidR="00867CD8">
        <w:rPr>
          <w:rFonts w:hint="cs"/>
          <w:rtl/>
        </w:rPr>
        <w:t xml:space="preserve"> ויש רגליים להשערה שהנוסח ברות רבה משמר את הסיפור הארצישראלי שנשמט משום מה מהתלמוד הירושלמי. לפיכך, נתמקד בהשוואה של נוסח רות רבה עם נוסח התלמוד הבבלי שראינו עד כאן. </w:t>
      </w:r>
      <w:r w:rsidR="005800B4">
        <w:rPr>
          <w:rFonts w:hint="cs"/>
          <w:rtl/>
        </w:rPr>
        <w:t xml:space="preserve">מקור </w:t>
      </w:r>
      <w:r>
        <w:rPr>
          <w:rFonts w:hint="cs"/>
          <w:rtl/>
        </w:rPr>
        <w:t>שלישי</w:t>
      </w:r>
      <w:r w:rsidR="005800B4">
        <w:rPr>
          <w:rFonts w:hint="cs"/>
          <w:rtl/>
        </w:rPr>
        <w:t xml:space="preserve"> </w:t>
      </w:r>
      <w:r>
        <w:rPr>
          <w:rFonts w:hint="cs"/>
          <w:rtl/>
        </w:rPr>
        <w:t xml:space="preserve">נמצא בקהלת רבה ה ב, </w:t>
      </w:r>
      <w:r w:rsidR="00641F04">
        <w:rPr>
          <w:rFonts w:hint="cs"/>
          <w:rtl/>
        </w:rPr>
        <w:t xml:space="preserve">על </w:t>
      </w:r>
      <w:r>
        <w:rPr>
          <w:rFonts w:hint="cs"/>
          <w:rtl/>
        </w:rPr>
        <w:t xml:space="preserve">הפסוק: "כי לכלב חי טוב הוא מן האריה המת". אלא שהנוסח שם דומה מאד לזה של </w:t>
      </w:r>
      <w:r w:rsidR="00867CD8">
        <w:rPr>
          <w:rFonts w:hint="cs"/>
          <w:rtl/>
        </w:rPr>
        <w:t xml:space="preserve">בבלי </w:t>
      </w:r>
      <w:r>
        <w:rPr>
          <w:rFonts w:hint="cs"/>
          <w:rtl/>
        </w:rPr>
        <w:t xml:space="preserve">שבת לעיל. </w:t>
      </w:r>
    </w:p>
  </w:footnote>
  <w:footnote w:id="24">
    <w:p w14:paraId="0BE66400" w14:textId="77777777" w:rsidR="006228A9" w:rsidRDefault="006228A9" w:rsidP="006228A9">
      <w:pPr>
        <w:pStyle w:val="a3"/>
        <w:rPr>
          <w:rFonts w:hint="cs"/>
        </w:rPr>
      </w:pPr>
      <w:r>
        <w:rPr>
          <w:rStyle w:val="a5"/>
        </w:rPr>
        <w:footnoteRef/>
      </w:r>
      <w:r>
        <w:rPr>
          <w:rtl/>
        </w:rPr>
        <w:t xml:space="preserve"> </w:t>
      </w:r>
      <w:r>
        <w:rPr>
          <w:rFonts w:hint="cs"/>
          <w:rtl/>
        </w:rPr>
        <w:t xml:space="preserve">פה </w:t>
      </w:r>
      <w:r w:rsidR="008837F1">
        <w:rPr>
          <w:rFonts w:hint="cs"/>
          <w:rtl/>
        </w:rPr>
        <w:t xml:space="preserve">מצוי </w:t>
      </w:r>
      <w:r>
        <w:rPr>
          <w:rFonts w:hint="cs"/>
          <w:rtl/>
        </w:rPr>
        <w:t xml:space="preserve">הבדל ראשון בין נוסח רות רבה וגמרא שבת הן בשאלת דוד והן בתשובה הקב"ה. </w:t>
      </w:r>
      <w:r w:rsidR="00867CD8">
        <w:rPr>
          <w:rFonts w:hint="cs"/>
          <w:rtl/>
        </w:rPr>
        <w:t xml:space="preserve">אך </w:t>
      </w:r>
      <w:r>
        <w:rPr>
          <w:rFonts w:hint="cs"/>
          <w:rtl/>
        </w:rPr>
        <w:t>האם יש הבדל בין "גזירה היא מלפני" ובין "סוד הוא ש</w:t>
      </w:r>
      <w:r>
        <w:rPr>
          <w:rtl/>
        </w:rPr>
        <w:t>לא מתגל</w:t>
      </w:r>
      <w:r>
        <w:rPr>
          <w:rFonts w:hint="cs"/>
          <w:rtl/>
        </w:rPr>
        <w:t>ה</w:t>
      </w:r>
      <w:r>
        <w:rPr>
          <w:rtl/>
        </w:rPr>
        <w:t xml:space="preserve"> לב</w:t>
      </w:r>
      <w:r>
        <w:rPr>
          <w:rFonts w:hint="cs"/>
          <w:rtl/>
        </w:rPr>
        <w:t xml:space="preserve">ן אדם"? עד שנשמע לקח טוב משואבי המים, נזכיר את לשון </w:t>
      </w:r>
      <w:r>
        <w:rPr>
          <w:rtl/>
          <w:lang w:eastAsia="en-US"/>
        </w:rPr>
        <w:t>בראשית רבה</w:t>
      </w:r>
      <w:r>
        <w:rPr>
          <w:rFonts w:hint="cs"/>
          <w:rtl/>
          <w:lang w:eastAsia="en-US"/>
        </w:rPr>
        <w:t xml:space="preserve"> סה יב שהבאנו בדברינו </w:t>
      </w:r>
      <w:hyperlink r:id="rId10" w:history="1">
        <w:r w:rsidRPr="00D66916">
          <w:rPr>
            <w:rStyle w:val="Hyperlink"/>
            <w:rFonts w:hint="cs"/>
            <w:rtl/>
            <w:lang w:eastAsia="en-US"/>
          </w:rPr>
          <w:t>חוקר לב ובוחן כליות</w:t>
        </w:r>
      </w:hyperlink>
      <w:r>
        <w:rPr>
          <w:rFonts w:hint="cs"/>
          <w:rtl/>
          <w:lang w:eastAsia="en-US"/>
        </w:rPr>
        <w:t xml:space="preserve"> בפרשת בחוקותי: "</w:t>
      </w:r>
      <w:r>
        <w:rPr>
          <w:rtl/>
          <w:lang w:eastAsia="en-US"/>
        </w:rPr>
        <w:t>שבעה דברים מכוסים מבני אדם ואילו הן</w:t>
      </w:r>
      <w:r>
        <w:rPr>
          <w:rFonts w:hint="cs"/>
          <w:rtl/>
          <w:lang w:eastAsia="en-US"/>
        </w:rPr>
        <w:t>:</w:t>
      </w:r>
      <w:r>
        <w:rPr>
          <w:rtl/>
          <w:lang w:eastAsia="en-US"/>
        </w:rPr>
        <w:t xml:space="preserve"> יום המיתה ויום הנחמה ועומק הדין</w:t>
      </w:r>
      <w:r>
        <w:rPr>
          <w:rFonts w:hint="cs"/>
          <w:rtl/>
          <w:lang w:eastAsia="en-US"/>
        </w:rPr>
        <w:t xml:space="preserve"> וכו' ". ועל זה אמר קהלת ודרשו חז"ל: "בכל עת יהיו בגדיך לבנים" (קהלת ט ח, שבת קנג ע"א, אבות דרבי נתן נוסח ב פרק כט).</w:t>
      </w:r>
    </w:p>
  </w:footnote>
  <w:footnote w:id="25">
    <w:p w14:paraId="20970827" w14:textId="77777777" w:rsidR="00B908C7" w:rsidRDefault="00B908C7" w:rsidP="004C72B3">
      <w:pPr>
        <w:pStyle w:val="a3"/>
        <w:rPr>
          <w:rFonts w:hint="cs"/>
          <w:rtl/>
        </w:rPr>
      </w:pPr>
      <w:r>
        <w:rPr>
          <w:rStyle w:val="a5"/>
        </w:rPr>
        <w:footnoteRef/>
      </w:r>
      <w:r>
        <w:rPr>
          <w:rtl/>
        </w:rPr>
        <w:t xml:space="preserve"> </w:t>
      </w:r>
      <w:r w:rsidR="00867CD8">
        <w:rPr>
          <w:rFonts w:hint="cs"/>
          <w:rtl/>
        </w:rPr>
        <w:t xml:space="preserve">כאן יש </w:t>
      </w:r>
      <w:r w:rsidR="001B0A09">
        <w:rPr>
          <w:rFonts w:hint="cs"/>
          <w:rtl/>
        </w:rPr>
        <w:t xml:space="preserve">הבדל </w:t>
      </w:r>
      <w:r w:rsidR="00867CD8">
        <w:rPr>
          <w:rFonts w:hint="cs"/>
          <w:rtl/>
        </w:rPr>
        <w:t xml:space="preserve">מהותי </w:t>
      </w:r>
      <w:r w:rsidR="001B0A09">
        <w:rPr>
          <w:rFonts w:hint="cs"/>
          <w:rtl/>
        </w:rPr>
        <w:t xml:space="preserve">בין נוסח רות רבה ונוסח הגמרא בשבת לעיל. </w:t>
      </w:r>
      <w:r>
        <w:rPr>
          <w:rFonts w:hint="cs"/>
          <w:rtl/>
        </w:rPr>
        <w:t>ראה</w:t>
      </w:r>
      <w:r w:rsidR="001B0A09">
        <w:rPr>
          <w:rFonts w:hint="cs"/>
          <w:rtl/>
        </w:rPr>
        <w:t xml:space="preserve"> הערה 11 לעיל</w:t>
      </w:r>
      <w:r w:rsidR="004C72B3">
        <w:rPr>
          <w:rFonts w:hint="cs"/>
          <w:rtl/>
        </w:rPr>
        <w:t xml:space="preserve"> על ידיעת קיצו של האדם</w:t>
      </w:r>
      <w:r w:rsidR="001B0A09">
        <w:rPr>
          <w:rFonts w:hint="cs"/>
          <w:rtl/>
        </w:rPr>
        <w:t xml:space="preserve">. </w:t>
      </w:r>
      <w:r w:rsidR="00C740C5">
        <w:rPr>
          <w:rFonts w:hint="cs"/>
          <w:rtl/>
        </w:rPr>
        <w:t>כאן מתגלית לדוד מידת ימיו. ו</w:t>
      </w:r>
      <w:r w:rsidR="001B0A09">
        <w:rPr>
          <w:rFonts w:hint="cs"/>
          <w:rtl/>
        </w:rPr>
        <w:t xml:space="preserve">מנין שבעים שנה אלה? </w:t>
      </w:r>
      <w:r w:rsidR="00C740C5">
        <w:rPr>
          <w:rFonts w:hint="cs"/>
          <w:rtl/>
        </w:rPr>
        <w:t xml:space="preserve">תשובה: </w:t>
      </w:r>
      <w:r w:rsidR="00925E1A">
        <w:rPr>
          <w:rFonts w:hint="cs"/>
          <w:rtl/>
        </w:rPr>
        <w:t xml:space="preserve">ראשית, הרי דוד מעיד על עצמו ואחרים: "ימי שנותינו שבעים שנה" (תהלים צ י, אבל מייחל גם לגבורות שמונים ...). שנית, </w:t>
      </w:r>
      <w:r w:rsidR="003C6320">
        <w:rPr>
          <w:rFonts w:hint="cs"/>
          <w:rtl/>
        </w:rPr>
        <w:t xml:space="preserve">יש מסורת שאדם הראשון היה צריך לחיות אלף שנים ובגלל חטאו נחסרו ממנו שבעים שנה ונתנו לדוד (ובעצם לכל בני האדם, בראשית רבה יט ח, פסיקתא רבתי פיסקא מ, פרקי דרבי אליעזר פרק יח). מיתת דוד בשבת (לעיל) היא איפה השלמת חיי אדם הראשון שנוצר בערב שבת. </w:t>
      </w:r>
      <w:r w:rsidR="00C740C5">
        <w:rPr>
          <w:rFonts w:hint="cs"/>
          <w:rtl/>
        </w:rPr>
        <w:t>ו</w:t>
      </w:r>
      <w:r w:rsidR="004C72B3">
        <w:rPr>
          <w:rFonts w:hint="cs"/>
          <w:rtl/>
        </w:rPr>
        <w:t>הושלם ה</w:t>
      </w:r>
      <w:r w:rsidR="003C6320">
        <w:rPr>
          <w:rFonts w:hint="cs"/>
          <w:rtl/>
        </w:rPr>
        <w:t>מספר אלף</w:t>
      </w:r>
      <w:r w:rsidR="00867CD8">
        <w:rPr>
          <w:rFonts w:hint="cs"/>
          <w:rtl/>
        </w:rPr>
        <w:t xml:space="preserve"> </w:t>
      </w:r>
      <w:r w:rsidR="004C72B3">
        <w:rPr>
          <w:rFonts w:hint="cs"/>
          <w:rtl/>
        </w:rPr>
        <w:t xml:space="preserve">שנים </w:t>
      </w:r>
      <w:r w:rsidR="00867CD8">
        <w:rPr>
          <w:rFonts w:hint="cs"/>
          <w:rtl/>
        </w:rPr>
        <w:t>שהם "</w:t>
      </w:r>
      <w:r w:rsidR="00702B10">
        <w:rPr>
          <w:rFonts w:hint="cs"/>
          <w:rtl/>
        </w:rPr>
        <w:t>כיום אתמול"</w:t>
      </w:r>
      <w:r w:rsidR="003C6320">
        <w:rPr>
          <w:rFonts w:hint="cs"/>
          <w:rtl/>
        </w:rPr>
        <w:t>.</w:t>
      </w:r>
    </w:p>
  </w:footnote>
  <w:footnote w:id="26">
    <w:p w14:paraId="5D2083D4" w14:textId="77777777" w:rsidR="006228A9" w:rsidRDefault="006228A9">
      <w:pPr>
        <w:pStyle w:val="a3"/>
        <w:rPr>
          <w:rFonts w:hint="cs"/>
          <w:rtl/>
        </w:rPr>
      </w:pPr>
      <w:r>
        <w:rPr>
          <w:rStyle w:val="a5"/>
        </w:rPr>
        <w:footnoteRef/>
      </w:r>
      <w:r>
        <w:rPr>
          <w:rtl/>
        </w:rPr>
        <w:t xml:space="preserve"> </w:t>
      </w:r>
      <w:r>
        <w:rPr>
          <w:rFonts w:hint="cs"/>
          <w:rtl/>
        </w:rPr>
        <w:t>באיזה יום בשבוע.</w:t>
      </w:r>
    </w:p>
  </w:footnote>
  <w:footnote w:id="27">
    <w:p w14:paraId="436E36AE" w14:textId="77777777" w:rsidR="00F45AAB" w:rsidRDefault="00F45AAB" w:rsidP="004C72B3">
      <w:pPr>
        <w:pStyle w:val="a3"/>
        <w:rPr>
          <w:rFonts w:hint="cs"/>
          <w:rtl/>
        </w:rPr>
      </w:pPr>
      <w:r>
        <w:rPr>
          <w:rStyle w:val="a5"/>
        </w:rPr>
        <w:footnoteRef/>
      </w:r>
      <w:r>
        <w:rPr>
          <w:rtl/>
        </w:rPr>
        <w:t xml:space="preserve"> </w:t>
      </w:r>
      <w:r>
        <w:rPr>
          <w:rFonts w:hint="cs"/>
          <w:rtl/>
        </w:rPr>
        <w:t xml:space="preserve">ארכי פירושה ראש-ראשית ביוונית וממנה נגזר גם שלטון, שליט, מלך וכו', כמו ארכיבישוף, ארכיאולוגיה (ראשית הזמן) ועוד. ראה </w:t>
      </w:r>
      <w:r>
        <w:rPr>
          <w:rtl/>
        </w:rPr>
        <w:t xml:space="preserve">בראשית רבה </w:t>
      </w:r>
      <w:r>
        <w:rPr>
          <w:rFonts w:hint="cs"/>
          <w:rtl/>
        </w:rPr>
        <w:t xml:space="preserve">נ ג שלוט היה </w:t>
      </w:r>
      <w:r>
        <w:rPr>
          <w:rtl/>
        </w:rPr>
        <w:t>ארכי הדיינים</w:t>
      </w:r>
      <w:r>
        <w:rPr>
          <w:rFonts w:hint="cs"/>
          <w:rtl/>
        </w:rPr>
        <w:t xml:space="preserve"> בסדום, ומנגד, בדברי הקב"ה למשה: "</w:t>
      </w:r>
      <w:r>
        <w:rPr>
          <w:rtl/>
        </w:rPr>
        <w:t>הגיע ארכי ליהושע</w:t>
      </w:r>
      <w:r>
        <w:rPr>
          <w:rFonts w:hint="cs"/>
          <w:rtl/>
        </w:rPr>
        <w:t>" (</w:t>
      </w:r>
      <w:r>
        <w:rPr>
          <w:rtl/>
        </w:rPr>
        <w:t>דברים רבה ב</w:t>
      </w:r>
      <w:r>
        <w:rPr>
          <w:rFonts w:hint="cs"/>
          <w:rtl/>
        </w:rPr>
        <w:t xml:space="preserve"> ה)</w:t>
      </w:r>
      <w:r w:rsidR="004C72B3">
        <w:rPr>
          <w:rFonts w:hint="cs"/>
          <w:rtl/>
        </w:rPr>
        <w:t xml:space="preserve"> כפי שכבר צוין בהערה 13 לעיל</w:t>
      </w:r>
      <w:r>
        <w:rPr>
          <w:rFonts w:hint="cs"/>
          <w:rtl/>
        </w:rPr>
        <w:t>.</w:t>
      </w:r>
    </w:p>
  </w:footnote>
  <w:footnote w:id="28">
    <w:p w14:paraId="763482CE" w14:textId="77777777" w:rsidR="00946B03" w:rsidRDefault="00946B03" w:rsidP="004C72B3">
      <w:pPr>
        <w:pStyle w:val="a3"/>
        <w:rPr>
          <w:rFonts w:hint="cs"/>
          <w:rtl/>
        </w:rPr>
      </w:pPr>
      <w:r>
        <w:rPr>
          <w:rStyle w:val="a5"/>
        </w:rPr>
        <w:footnoteRef/>
      </w:r>
      <w:r>
        <w:rPr>
          <w:rtl/>
        </w:rPr>
        <w:t xml:space="preserve"> </w:t>
      </w:r>
      <w:r>
        <w:rPr>
          <w:rFonts w:hint="cs"/>
          <w:rtl/>
        </w:rPr>
        <w:t>פה ההבדל ברור ובולט לעין. בנוסח רות רבה תחילה מבקש דוד להוסיף לו יום ורק משלא נענה מבקש שיחסרו לו יום. ההפך מנוסח הגמרא בשבת. שנית, הנימוק לסירוב להקדמת המיתה לערב שבת (על מנת למנוע את הבעייתיו</w:t>
      </w:r>
      <w:r>
        <w:rPr>
          <w:rFonts w:hint="eastAsia"/>
          <w:rtl/>
        </w:rPr>
        <w:t>ת</w:t>
      </w:r>
      <w:r>
        <w:rPr>
          <w:rFonts w:hint="cs"/>
          <w:rtl/>
        </w:rPr>
        <w:t xml:space="preserve"> של מת בשבת) הוא ברות רבה, חביבות התפילה בהשוואה לקרבנות שלמה, ואילו בנוסח הגמרא שבת</w:t>
      </w:r>
      <w:r w:rsidR="004C72B3">
        <w:rPr>
          <w:rFonts w:hint="cs"/>
          <w:rtl/>
        </w:rPr>
        <w:t xml:space="preserve"> הוא </w:t>
      </w:r>
      <w:r>
        <w:rPr>
          <w:rFonts w:hint="cs"/>
          <w:rtl/>
        </w:rPr>
        <w:t>עדיפות העיסוק בתורה. מה מחליף את עבודת בית המקדש בעיני הדרשן</w:t>
      </w:r>
      <w:r w:rsidR="00C740C5">
        <w:rPr>
          <w:rFonts w:hint="cs"/>
          <w:rtl/>
        </w:rPr>
        <w:t>, תפילה או לימוד תורה</w:t>
      </w:r>
      <w:r>
        <w:rPr>
          <w:rFonts w:hint="cs"/>
          <w:rtl/>
        </w:rPr>
        <w:t>? "נשלמה פרים שפתינו" או "</w:t>
      </w:r>
      <w:r>
        <w:rPr>
          <w:rtl/>
        </w:rPr>
        <w:t>כל זמן שקוראין בהן</w:t>
      </w:r>
      <w:r w:rsidR="00F1611A">
        <w:rPr>
          <w:rFonts w:hint="cs"/>
          <w:rtl/>
        </w:rPr>
        <w:t xml:space="preserve"> מעלה אני עליהן</w:t>
      </w:r>
      <w:r>
        <w:rPr>
          <w:rFonts w:hint="cs"/>
          <w:rtl/>
        </w:rPr>
        <w:t xml:space="preserve"> </w:t>
      </w:r>
      <w:r>
        <w:rPr>
          <w:rtl/>
        </w:rPr>
        <w:t>כאילו מקריבין לפני קרבן</w:t>
      </w:r>
      <w:r>
        <w:rPr>
          <w:rFonts w:hint="cs"/>
          <w:rtl/>
        </w:rPr>
        <w:t>" (</w:t>
      </w:r>
      <w:r>
        <w:rPr>
          <w:rtl/>
        </w:rPr>
        <w:t>מגילה לא ע</w:t>
      </w:r>
      <w:r>
        <w:rPr>
          <w:rFonts w:hint="cs"/>
          <w:rtl/>
        </w:rPr>
        <w:t>"ב</w:t>
      </w:r>
      <w:r w:rsidR="00F1611A">
        <w:rPr>
          <w:rFonts w:hint="cs"/>
          <w:rtl/>
        </w:rPr>
        <w:t>, וב</w:t>
      </w:r>
      <w:r>
        <w:rPr>
          <w:rFonts w:hint="cs"/>
          <w:rtl/>
        </w:rPr>
        <w:t>ויקרא רבה ז ג</w:t>
      </w:r>
      <w:r w:rsidR="00F1611A">
        <w:rPr>
          <w:rFonts w:hint="cs"/>
          <w:rtl/>
        </w:rPr>
        <w:t>: "</w:t>
      </w:r>
      <w:r w:rsidR="00F1611A">
        <w:rPr>
          <w:rtl/>
        </w:rPr>
        <w:t>הואיל ואתם מתעסקים בהם מעלה אני עליכם כאלו אתם מקריבין אותן</w:t>
      </w:r>
      <w:r w:rsidR="00F1611A">
        <w:rPr>
          <w:rFonts w:hint="cs"/>
          <w:rtl/>
        </w:rPr>
        <w:t>")</w:t>
      </w:r>
      <w:r w:rsidR="00C740C5">
        <w:rPr>
          <w:rFonts w:hint="cs"/>
          <w:rtl/>
        </w:rPr>
        <w:t>?</w:t>
      </w:r>
      <w:r w:rsidR="005E32FF">
        <w:rPr>
          <w:rFonts w:hint="cs"/>
          <w:rtl/>
        </w:rPr>
        <w:t xml:space="preserve"> ובירושלמי </w:t>
      </w:r>
      <w:r w:rsidR="005E32FF">
        <w:rPr>
          <w:rtl/>
        </w:rPr>
        <w:t>שקלים ב ה</w:t>
      </w:r>
      <w:r w:rsidR="005E32FF">
        <w:rPr>
          <w:rFonts w:hint="cs"/>
          <w:rtl/>
        </w:rPr>
        <w:t xml:space="preserve"> שהבאנו בהערה 1</w:t>
      </w:r>
      <w:r w:rsidR="004C72B3">
        <w:rPr>
          <w:rFonts w:hint="cs"/>
          <w:rtl/>
        </w:rPr>
        <w:t>4</w:t>
      </w:r>
      <w:r w:rsidR="005E32FF">
        <w:rPr>
          <w:rFonts w:hint="cs"/>
          <w:rtl/>
        </w:rPr>
        <w:t xml:space="preserve"> לעיל: "</w:t>
      </w:r>
      <w:r w:rsidR="005E32FF">
        <w:rPr>
          <w:rtl/>
        </w:rPr>
        <w:t>חביב עלי צדקה ומשפט שאתה עושה יותר מן הקרבן</w:t>
      </w:r>
      <w:r w:rsidR="005E32FF">
        <w:rPr>
          <w:rFonts w:hint="cs"/>
          <w:rtl/>
        </w:rPr>
        <w:t xml:space="preserve">". בין כך ובין כך, תפילה, לימוד תורה, משפט וצדקה, זה המסר שהדרשן שחי בדורות שלאחר החורבן, רוצה להעביר לקהל שומעיו. </w:t>
      </w:r>
      <w:r w:rsidR="00925E1A">
        <w:rPr>
          <w:rFonts w:hint="cs"/>
          <w:rtl/>
        </w:rPr>
        <w:t xml:space="preserve">אנו כמו </w:t>
      </w:r>
      <w:r w:rsidR="005E32FF">
        <w:rPr>
          <w:rFonts w:hint="cs"/>
          <w:rtl/>
        </w:rPr>
        <w:t xml:space="preserve">דוד ביום האחרון לפני מותו. ביום </w:t>
      </w:r>
      <w:r w:rsidR="00C740C5">
        <w:rPr>
          <w:rFonts w:hint="cs"/>
          <w:rtl/>
        </w:rPr>
        <w:t xml:space="preserve">ובכל יום, </w:t>
      </w:r>
      <w:r w:rsidR="004C72B3">
        <w:rPr>
          <w:rFonts w:hint="cs"/>
          <w:rtl/>
        </w:rPr>
        <w:t xml:space="preserve">תפילה זכה אחת </w:t>
      </w:r>
      <w:r w:rsidR="005E32FF">
        <w:rPr>
          <w:rFonts w:hint="cs"/>
          <w:rtl/>
        </w:rPr>
        <w:t>שנבחר</w:t>
      </w:r>
      <w:r w:rsidR="004C72B3">
        <w:rPr>
          <w:rFonts w:hint="cs"/>
          <w:rtl/>
        </w:rPr>
        <w:t>ה</w:t>
      </w:r>
      <w:r w:rsidR="005E32FF">
        <w:rPr>
          <w:rFonts w:hint="cs"/>
          <w:rtl/>
        </w:rPr>
        <w:t xml:space="preserve"> מאלף עולות.</w:t>
      </w:r>
    </w:p>
  </w:footnote>
  <w:footnote w:id="29">
    <w:p w14:paraId="578B119F" w14:textId="77777777" w:rsidR="0063696F" w:rsidRDefault="0063696F" w:rsidP="004C72B3">
      <w:pPr>
        <w:pStyle w:val="a3"/>
        <w:rPr>
          <w:rFonts w:hint="cs"/>
        </w:rPr>
      </w:pPr>
      <w:r>
        <w:rPr>
          <w:rStyle w:val="a5"/>
        </w:rPr>
        <w:footnoteRef/>
      </w:r>
      <w:r>
        <w:rPr>
          <w:rtl/>
        </w:rPr>
        <w:t xml:space="preserve"> </w:t>
      </w:r>
      <w:r>
        <w:rPr>
          <w:rFonts w:hint="cs"/>
          <w:rtl/>
        </w:rPr>
        <w:t>נוסח רות רבה</w:t>
      </w:r>
      <w:r w:rsidR="004C72B3">
        <w:rPr>
          <w:rFonts w:hint="cs"/>
          <w:rtl/>
        </w:rPr>
        <w:t xml:space="preserve"> שמצוי גם </w:t>
      </w:r>
      <w:r>
        <w:rPr>
          <w:rFonts w:hint="cs"/>
          <w:rtl/>
        </w:rPr>
        <w:t>בילקוט שמעוני</w:t>
      </w:r>
      <w:r w:rsidRPr="0063696F">
        <w:rPr>
          <w:rtl/>
        </w:rPr>
        <w:t xml:space="preserve"> </w:t>
      </w:r>
      <w:r>
        <w:rPr>
          <w:rtl/>
        </w:rPr>
        <w:t>תהלים רמז תשלה</w:t>
      </w:r>
      <w:r w:rsidR="004C72B3">
        <w:rPr>
          <w:rFonts w:hint="cs"/>
          <w:rtl/>
        </w:rPr>
        <w:t>,</w:t>
      </w:r>
      <w:r>
        <w:rPr>
          <w:rFonts w:hint="cs"/>
          <w:rtl/>
        </w:rPr>
        <w:t xml:space="preserve"> פותר את הסתירה לכאורה בין נוסח הירושלמי שדוד מת בעצרת ובין נוסח הבבלי שדוד מת בשבת: "בעצרת שחל בשבת", ראה הערה 1</w:t>
      </w:r>
      <w:r w:rsidR="004C72B3">
        <w:rPr>
          <w:rFonts w:hint="cs"/>
          <w:rtl/>
        </w:rPr>
        <w:t>5</w:t>
      </w:r>
      <w:r>
        <w:rPr>
          <w:rFonts w:hint="cs"/>
          <w:rtl/>
        </w:rPr>
        <w:t xml:space="preserve"> לעיל.</w:t>
      </w:r>
      <w:r w:rsidR="00F1611A">
        <w:rPr>
          <w:rFonts w:hint="cs"/>
          <w:rtl/>
        </w:rPr>
        <w:t xml:space="preserve"> אבל כאן גם הבדל גדול! כל הסיפור שדוד היה עסוק בלימוד תורה ומלאך המוות לא יכ</w:t>
      </w:r>
      <w:r w:rsidR="005E32FF">
        <w:rPr>
          <w:rFonts w:hint="cs"/>
          <w:rtl/>
        </w:rPr>
        <w:t>ו</w:t>
      </w:r>
      <w:r w:rsidR="00F1611A">
        <w:rPr>
          <w:rFonts w:hint="cs"/>
          <w:rtl/>
        </w:rPr>
        <w:t xml:space="preserve">ל לו והוצרך להתחכם לו, לא קיים בנוסח רות רבה! </w:t>
      </w:r>
      <w:r w:rsidR="005E32FF">
        <w:rPr>
          <w:rFonts w:hint="cs"/>
          <w:rtl/>
        </w:rPr>
        <w:t>מותו של דוד מסופר כאן במשפט קצר של חמש מילים</w:t>
      </w:r>
      <w:r w:rsidR="006B2190" w:rsidRPr="006B2190">
        <w:rPr>
          <w:rtl/>
        </w:rPr>
        <w:t xml:space="preserve"> </w:t>
      </w:r>
      <w:r w:rsidR="006B2190">
        <w:rPr>
          <w:rFonts w:hint="cs"/>
          <w:rtl/>
        </w:rPr>
        <w:t>"</w:t>
      </w:r>
      <w:r w:rsidR="006B2190">
        <w:rPr>
          <w:rtl/>
        </w:rPr>
        <w:t>ומת בעצרת שחל להיות בשבת</w:t>
      </w:r>
      <w:r w:rsidR="006B2190">
        <w:rPr>
          <w:rFonts w:hint="cs"/>
          <w:rtl/>
        </w:rPr>
        <w:t>"</w:t>
      </w:r>
      <w:r w:rsidR="005E32FF">
        <w:rPr>
          <w:rFonts w:hint="cs"/>
          <w:rtl/>
        </w:rPr>
        <w:t xml:space="preserve">. </w:t>
      </w:r>
      <w:r w:rsidR="00F1611A">
        <w:rPr>
          <w:rFonts w:hint="cs"/>
          <w:rtl/>
        </w:rPr>
        <w:t>האם הבדל זה נובע מההבדל בין תפילה ללימוד תורה שראינו בהערה הקודמת?</w:t>
      </w:r>
    </w:p>
  </w:footnote>
  <w:footnote w:id="30">
    <w:p w14:paraId="0D2FD31D" w14:textId="77777777" w:rsidR="00F1611A" w:rsidRDefault="00F1611A">
      <w:pPr>
        <w:pStyle w:val="a3"/>
        <w:rPr>
          <w:rFonts w:hint="cs"/>
          <w:rtl/>
        </w:rPr>
      </w:pPr>
      <w:r>
        <w:rPr>
          <w:rStyle w:val="a5"/>
        </w:rPr>
        <w:footnoteRef/>
      </w:r>
      <w:r>
        <w:rPr>
          <w:rtl/>
        </w:rPr>
        <w:t xml:space="preserve"> </w:t>
      </w:r>
      <w:r>
        <w:rPr>
          <w:rFonts w:hint="cs"/>
          <w:rtl/>
        </w:rPr>
        <w:t xml:space="preserve">שם, בגמרא שבת, שולח שלמה לסנהדרין. ואילו כאן כבר נודע מות דוד לסנהדרין והם באים לחלות </w:t>
      </w:r>
      <w:r w:rsidR="00702B10">
        <w:rPr>
          <w:rFonts w:hint="cs"/>
          <w:rtl/>
        </w:rPr>
        <w:t xml:space="preserve">את </w:t>
      </w:r>
      <w:r>
        <w:rPr>
          <w:rFonts w:hint="cs"/>
          <w:rtl/>
        </w:rPr>
        <w:t xml:space="preserve">פני שלמה. ראה הדין ש"מראים פנים בשבת" לאבל (בראשית רבה ק ז, </w:t>
      </w:r>
      <w:r w:rsidR="00E7256B">
        <w:rPr>
          <w:rFonts w:hint="cs"/>
          <w:rtl/>
        </w:rPr>
        <w:t>ירושלמי מועד קטן ג ו), אבל כאן מדובר באונן</w:t>
      </w:r>
      <w:r w:rsidR="00702B10">
        <w:rPr>
          <w:rFonts w:hint="cs"/>
          <w:rtl/>
        </w:rPr>
        <w:t>, היינו א</w:t>
      </w:r>
      <w:r w:rsidR="004C72B3">
        <w:rPr>
          <w:rFonts w:hint="eastAsia"/>
          <w:rtl/>
        </w:rPr>
        <w:t>ָ</w:t>
      </w:r>
      <w:r w:rsidR="00702B10">
        <w:rPr>
          <w:rFonts w:hint="cs"/>
          <w:rtl/>
        </w:rPr>
        <w:t>ב</w:t>
      </w:r>
      <w:r w:rsidR="004C72B3">
        <w:rPr>
          <w:rFonts w:hint="eastAsia"/>
          <w:rtl/>
        </w:rPr>
        <w:t>ֵ</w:t>
      </w:r>
      <w:r w:rsidR="00702B10">
        <w:rPr>
          <w:rFonts w:hint="cs"/>
          <w:rtl/>
        </w:rPr>
        <w:t>ל טרם הקבורה</w:t>
      </w:r>
      <w:r w:rsidR="00E7256B">
        <w:rPr>
          <w:rFonts w:hint="cs"/>
          <w:rtl/>
        </w:rPr>
        <w:t>.</w:t>
      </w:r>
    </w:p>
  </w:footnote>
  <w:footnote w:id="31">
    <w:p w14:paraId="7EC2A48C" w14:textId="77777777" w:rsidR="00925E1A" w:rsidRDefault="00925E1A" w:rsidP="004C72B3">
      <w:pPr>
        <w:pStyle w:val="a3"/>
        <w:rPr>
          <w:rFonts w:hint="cs"/>
          <w:rtl/>
        </w:rPr>
      </w:pPr>
      <w:r>
        <w:rPr>
          <w:rStyle w:val="a5"/>
        </w:rPr>
        <w:footnoteRef/>
      </w:r>
      <w:r>
        <w:rPr>
          <w:rtl/>
        </w:rPr>
        <w:t xml:space="preserve"> </w:t>
      </w:r>
      <w:r>
        <w:rPr>
          <w:rFonts w:hint="cs"/>
          <w:rtl/>
        </w:rPr>
        <w:t>כאן יש הפרדה ומדרג ברורים בין שתי השאלות</w:t>
      </w:r>
      <w:r w:rsidR="006B2190">
        <w:rPr>
          <w:rFonts w:hint="cs"/>
          <w:rtl/>
        </w:rPr>
        <w:t xml:space="preserve"> ששלח שלמה לסנהדרין</w:t>
      </w:r>
      <w:r>
        <w:rPr>
          <w:rFonts w:hint="cs"/>
          <w:rtl/>
        </w:rPr>
        <w:t xml:space="preserve">, בעוד שבנוסח גמרא שבת הכל שאלה אחת. ראה הערות </w:t>
      </w:r>
      <w:r w:rsidR="004C72B3">
        <w:rPr>
          <w:rFonts w:hint="cs"/>
          <w:rtl/>
        </w:rPr>
        <w:t>19 20</w:t>
      </w:r>
      <w:r>
        <w:rPr>
          <w:rFonts w:hint="cs"/>
          <w:rtl/>
        </w:rPr>
        <w:t xml:space="preserve"> לעיל</w:t>
      </w:r>
      <w:r w:rsidR="00392059">
        <w:rPr>
          <w:rFonts w:hint="cs"/>
          <w:rtl/>
        </w:rPr>
        <w:t xml:space="preserve">, כאן, </w:t>
      </w:r>
      <w:r>
        <w:rPr>
          <w:rFonts w:hint="cs"/>
          <w:rtl/>
        </w:rPr>
        <w:t>לאחר שקיבל תשובה שאין להזיז את גופת דוד אביו, שואל שלמה לגבי הכלבים הרעבים וברור שאין זו שאלה תמימה, אלא</w:t>
      </w:r>
      <w:r w:rsidR="006B2190">
        <w:rPr>
          <w:rFonts w:hint="cs"/>
          <w:rtl/>
        </w:rPr>
        <w:t xml:space="preserve"> מעין וויכוח של שלמה </w:t>
      </w:r>
      <w:r w:rsidR="00392059">
        <w:rPr>
          <w:rFonts w:hint="cs"/>
          <w:rtl/>
        </w:rPr>
        <w:t xml:space="preserve">עם חכמי הסנהדרין וניסיון </w:t>
      </w:r>
      <w:r w:rsidR="006B2190">
        <w:rPr>
          <w:rFonts w:hint="cs"/>
          <w:rtl/>
        </w:rPr>
        <w:t>למצוא היתר לסלק את גופת דוד.</w:t>
      </w:r>
      <w:r>
        <w:rPr>
          <w:rFonts w:hint="cs"/>
          <w:rtl/>
        </w:rPr>
        <w:t xml:space="preserve"> </w:t>
      </w:r>
    </w:p>
  </w:footnote>
  <w:footnote w:id="32">
    <w:p w14:paraId="0C2F84BA" w14:textId="77777777" w:rsidR="0063696F" w:rsidRDefault="0063696F">
      <w:pPr>
        <w:pStyle w:val="a3"/>
        <w:rPr>
          <w:rFonts w:hint="cs"/>
        </w:rPr>
      </w:pPr>
      <w:r>
        <w:rPr>
          <w:rStyle w:val="a5"/>
        </w:rPr>
        <w:footnoteRef/>
      </w:r>
      <w:r>
        <w:rPr>
          <w:rtl/>
        </w:rPr>
        <w:t xml:space="preserve"> </w:t>
      </w:r>
      <w:r>
        <w:rPr>
          <w:rFonts w:hint="cs"/>
          <w:rtl/>
        </w:rPr>
        <w:t>וילונות או אריגים עבים.</w:t>
      </w:r>
    </w:p>
  </w:footnote>
  <w:footnote w:id="33">
    <w:p w14:paraId="16037C69" w14:textId="77777777" w:rsidR="00322BCC" w:rsidRDefault="00322BCC" w:rsidP="00702B10">
      <w:pPr>
        <w:pStyle w:val="a3"/>
        <w:rPr>
          <w:rFonts w:hint="cs"/>
          <w:rtl/>
        </w:rPr>
      </w:pPr>
      <w:r>
        <w:rPr>
          <w:rStyle w:val="a5"/>
        </w:rPr>
        <w:footnoteRef/>
      </w:r>
      <w:r>
        <w:rPr>
          <w:rtl/>
        </w:rPr>
        <w:t xml:space="preserve"> </w:t>
      </w:r>
      <w:r>
        <w:rPr>
          <w:rFonts w:hint="cs"/>
          <w:rtl/>
        </w:rPr>
        <w:t xml:space="preserve">זה הסיום המיוחד לרות רבה! משראה שלמה שאין לו פתחון פה מול בעלי ההלכה קרא לנשרים ופעל בחכמתו של מי שהבין </w:t>
      </w:r>
      <w:r w:rsidR="00805B77">
        <w:rPr>
          <w:rFonts w:hint="cs"/>
          <w:rtl/>
        </w:rPr>
        <w:t xml:space="preserve">והכיר </w:t>
      </w:r>
      <w:r>
        <w:rPr>
          <w:rFonts w:hint="cs"/>
          <w:rtl/>
        </w:rPr>
        <w:t>את שפת בעלי החיים ("</w:t>
      </w:r>
      <w:r>
        <w:rPr>
          <w:rtl/>
        </w:rPr>
        <w:t>צפור מצויץ ויודע על מה מצויץ, חמור נוהק ויודע על מה נוהק</w:t>
      </w:r>
      <w:r>
        <w:rPr>
          <w:rFonts w:hint="cs"/>
          <w:rtl/>
        </w:rPr>
        <w:t>",</w:t>
      </w:r>
      <w:r>
        <w:rPr>
          <w:rtl/>
        </w:rPr>
        <w:t xml:space="preserve"> קהלת רבה </w:t>
      </w:r>
      <w:r>
        <w:rPr>
          <w:rFonts w:hint="cs"/>
          <w:rtl/>
        </w:rPr>
        <w:t xml:space="preserve">א </w:t>
      </w:r>
      <w:r>
        <w:rPr>
          <w:rtl/>
        </w:rPr>
        <w:t>א</w:t>
      </w:r>
      <w:r>
        <w:rPr>
          <w:rFonts w:hint="cs"/>
          <w:rtl/>
        </w:rPr>
        <w:t xml:space="preserve">). </w:t>
      </w:r>
      <w:r w:rsidR="00702B10">
        <w:rPr>
          <w:rFonts w:hint="cs"/>
          <w:rtl/>
        </w:rPr>
        <w:t xml:space="preserve">פעולה בדרך המסתורין והסוד כנגד ההלכה השכלית. </w:t>
      </w:r>
      <w:r>
        <w:rPr>
          <w:rFonts w:hint="cs"/>
          <w:rtl/>
        </w:rPr>
        <w:t>לשלמה יש קשר מיוחד לנשרים, החל מהנשר שהיה רוכב עליו (קהלת רבה ב א), דרך הנשר של כיסא שלמה, הנשר שהביא לשלמה את השמיר</w:t>
      </w:r>
      <w:r w:rsidR="00805B77">
        <w:rPr>
          <w:rFonts w:hint="cs"/>
          <w:rtl/>
        </w:rPr>
        <w:t xml:space="preserve"> (</w:t>
      </w:r>
      <w:r w:rsidR="00805B77">
        <w:rPr>
          <w:rtl/>
        </w:rPr>
        <w:t>ילקוט שמעוני מלכים א רמז קפב</w:t>
      </w:r>
      <w:r w:rsidR="00805B77">
        <w:rPr>
          <w:rFonts w:hint="cs"/>
          <w:rtl/>
        </w:rPr>
        <w:t>)</w:t>
      </w:r>
      <w:r>
        <w:rPr>
          <w:rFonts w:hint="cs"/>
          <w:rtl/>
        </w:rPr>
        <w:t xml:space="preserve">, הנשר שהביא את חתנו לבתו ועוד. ואחרי כל זאת, לדיון נוסף בהשוואת </w:t>
      </w:r>
      <w:r w:rsidRPr="003337F2">
        <w:rPr>
          <w:rtl/>
        </w:rPr>
        <w:t>סיפור מותו של דוד המלך בתלמוד הבבלי ובמדרש רות רבה</w:t>
      </w:r>
      <w:r>
        <w:rPr>
          <w:rFonts w:hint="cs"/>
          <w:rtl/>
        </w:rPr>
        <w:t xml:space="preserve">, ראה דבריו של </w:t>
      </w:r>
      <w:hyperlink r:id="rId11" w:history="1">
        <w:r w:rsidRPr="003337F2">
          <w:rPr>
            <w:rStyle w:val="Hyperlink"/>
            <w:rFonts w:hint="cs"/>
            <w:rtl/>
          </w:rPr>
          <w:t>ד"ר גלעד ששון בדף השבועי של או</w:t>
        </w:r>
        <w:r w:rsidRPr="003337F2">
          <w:rPr>
            <w:rStyle w:val="Hyperlink"/>
            <w:rFonts w:hint="cs"/>
            <w:rtl/>
          </w:rPr>
          <w:t>נ</w:t>
        </w:r>
        <w:r w:rsidRPr="003337F2">
          <w:rPr>
            <w:rStyle w:val="Hyperlink"/>
            <w:rFonts w:hint="cs"/>
            <w:rtl/>
          </w:rPr>
          <w:t>יברס</w:t>
        </w:r>
        <w:r w:rsidRPr="003337F2">
          <w:rPr>
            <w:rStyle w:val="Hyperlink"/>
            <w:rFonts w:hint="cs"/>
            <w:rtl/>
          </w:rPr>
          <w:t>י</w:t>
        </w:r>
        <w:r w:rsidRPr="003337F2">
          <w:rPr>
            <w:rStyle w:val="Hyperlink"/>
            <w:rFonts w:hint="cs"/>
            <w:rtl/>
          </w:rPr>
          <w:t>טת בר אילן</w:t>
        </w:r>
      </w:hyperlink>
      <w:r>
        <w:rPr>
          <w:rFonts w:hint="cs"/>
          <w:rtl/>
        </w:rPr>
        <w:t>.</w:t>
      </w:r>
    </w:p>
  </w:footnote>
  <w:footnote w:id="34">
    <w:p w14:paraId="1EC87B66" w14:textId="77777777" w:rsidR="00332E5A" w:rsidRDefault="00332E5A">
      <w:pPr>
        <w:pStyle w:val="a3"/>
        <w:rPr>
          <w:rFonts w:hint="cs"/>
        </w:rPr>
      </w:pPr>
      <w:r>
        <w:rPr>
          <w:rStyle w:val="a5"/>
        </w:rPr>
        <w:footnoteRef/>
      </w:r>
      <w:r>
        <w:rPr>
          <w:rtl/>
        </w:rPr>
        <w:t xml:space="preserve"> </w:t>
      </w:r>
      <w:r>
        <w:rPr>
          <w:rFonts w:hint="cs"/>
          <w:rtl/>
        </w:rPr>
        <w:t>בברכת הקב"ה לנח ובניו אחרי המבול.</w:t>
      </w:r>
    </w:p>
  </w:footnote>
  <w:footnote w:id="35">
    <w:p w14:paraId="0C32B4D3" w14:textId="77777777" w:rsidR="00392059" w:rsidRDefault="00392059">
      <w:pPr>
        <w:pStyle w:val="a3"/>
        <w:rPr>
          <w:rFonts w:hint="cs"/>
        </w:rPr>
      </w:pPr>
      <w:r>
        <w:rPr>
          <w:rStyle w:val="a5"/>
        </w:rPr>
        <w:footnoteRef/>
      </w:r>
      <w:r>
        <w:rPr>
          <w:rtl/>
        </w:rPr>
        <w:t xml:space="preserve"> </w:t>
      </w:r>
      <w:r>
        <w:rPr>
          <w:rFonts w:hint="cs"/>
          <w:rtl/>
        </w:rPr>
        <w:t>זכה מותו של דוד המלך להיכנס להלכה ולאגדה, בזכות</w:t>
      </w:r>
      <w:r w:rsidR="00805B77">
        <w:rPr>
          <w:rFonts w:hint="cs"/>
          <w:rtl/>
        </w:rPr>
        <w:t xml:space="preserve"> </w:t>
      </w:r>
      <w:r>
        <w:rPr>
          <w:rFonts w:hint="cs"/>
          <w:rtl/>
        </w:rPr>
        <w:t>עדיפות החיים על פני המתים. וכמו שדוד אומר: "</w:t>
      </w:r>
      <w:r w:rsidRPr="003F5DEC">
        <w:rPr>
          <w:rtl/>
        </w:rPr>
        <w:t>לֹא הַמֵּתִים יְהַלְלוּ יָהּ וְלֹא כָּל יֹרְדֵי דוּמָה:</w:t>
      </w:r>
      <w:r w:rsidRPr="003F5DEC">
        <w:rPr>
          <w:rFonts w:hint="cs"/>
          <w:rtl/>
        </w:rPr>
        <w:t xml:space="preserve"> </w:t>
      </w:r>
      <w:r w:rsidRPr="003F5DEC">
        <w:rPr>
          <w:rtl/>
        </w:rPr>
        <w:t>וַאֲנַחְנוּ נְבָרֵךְ יָהּ מֵעַתָּה</w:t>
      </w:r>
      <w:r>
        <w:rPr>
          <w:rtl/>
        </w:rPr>
        <w:t xml:space="preserve"> וְעַד עוֹלָם הַלְלוּ יָהּ</w:t>
      </w:r>
      <w:r>
        <w:rPr>
          <w:rFonts w:hint="cs"/>
          <w:rtl/>
        </w:rPr>
        <w:t>" (תהלים קטו יז-יח). ראה אזכור פסוק זה בגמרא שבת ל ע"א הנ"ל כעימות עם דברי שלמה ב</w:t>
      </w:r>
      <w:r>
        <w:rPr>
          <w:rtl/>
        </w:rPr>
        <w:t>קהלת ד</w:t>
      </w:r>
      <w:r>
        <w:rPr>
          <w:rFonts w:hint="cs"/>
          <w:rtl/>
        </w:rPr>
        <w:t xml:space="preserve"> ב: "</w:t>
      </w:r>
      <w:r>
        <w:rPr>
          <w:rtl/>
        </w:rPr>
        <w:t>וְשַׁבֵּחַ אֲנִי אֶת הַמֵּתִים שֶׁכְּבָר מֵתוּ מִן הַחַיִּים אֲשֶׁר הֵמָּה חַיִּים עֲדֶנָה</w:t>
      </w:r>
      <w:r>
        <w:rPr>
          <w:rFonts w:hint="cs"/>
          <w:rtl/>
        </w:rPr>
        <w:t xml:space="preserve">". (ומה נעשה עם הסכמת בית שמאי ובית הלל שנח לאדם שלא נברא? עירובין יג ע"ב?). עכ"פ, ראה גלגול התוספתא הנ"ל בגמרא </w:t>
      </w:r>
      <w:r>
        <w:rPr>
          <w:rtl/>
        </w:rPr>
        <w:t>שבת קנא ע</w:t>
      </w:r>
      <w:r>
        <w:rPr>
          <w:rFonts w:hint="cs"/>
          <w:rtl/>
        </w:rPr>
        <w:t>"ב: "</w:t>
      </w:r>
      <w:r>
        <w:rPr>
          <w:rtl/>
        </w:rPr>
        <w:t>תניא, רבן שמעון בן גמליאל אומר: תינוק בן יומו חי - מחללין עליו את השבת, דוד מלך ישראל מת - אין מחללין עליו את השבת. תינוק בן יומו חי מחללין עליו את השבת. אמרה תורה: חלל עליו שבת אחד, כדי שישמור שבתות הרבה. דוד מלך ישראל מת - אין מחללין עליו - כיון שמת אדם, בטל מן המצות. והיינו דאמר רבי יוחנן: במתים חפשי, כיון שמת אדם - נעשה חפשי מן המצות</w:t>
      </w:r>
      <w:r>
        <w:rPr>
          <w:rFonts w:hint="cs"/>
          <w:rtl/>
        </w:rPr>
        <w:t>"</w:t>
      </w:r>
      <w:r>
        <w:rPr>
          <w:rtl/>
        </w:rPr>
        <w:t>.</w:t>
      </w:r>
      <w:r>
        <w:rPr>
          <w:rFonts w:hint="cs"/>
          <w:rtl/>
        </w:rPr>
        <w:t xml:space="preserve"> הוא נעשה חופשי, אבל המטפלים בו </w:t>
      </w:r>
      <w:r>
        <w:rPr>
          <w:rtl/>
        </w:rPr>
        <w:t>–</w:t>
      </w:r>
      <w:r>
        <w:rPr>
          <w:rFonts w:hint="cs"/>
          <w:rtl/>
        </w:rPr>
        <w:t xml:space="preserve"> לא.</w:t>
      </w:r>
    </w:p>
  </w:footnote>
  <w:footnote w:id="36">
    <w:p w14:paraId="104FC20B" w14:textId="77777777" w:rsidR="00641F04" w:rsidRDefault="00641F04">
      <w:pPr>
        <w:pStyle w:val="a3"/>
        <w:rPr>
          <w:rFonts w:hint="cs"/>
          <w:rtl/>
        </w:rPr>
      </w:pPr>
      <w:r>
        <w:rPr>
          <w:rStyle w:val="a5"/>
        </w:rPr>
        <w:footnoteRef/>
      </w:r>
      <w:r>
        <w:rPr>
          <w:rtl/>
        </w:rPr>
        <w:t xml:space="preserve"> </w:t>
      </w:r>
      <w:r>
        <w:rPr>
          <w:rFonts w:hint="cs"/>
          <w:rtl/>
        </w:rPr>
        <w:t xml:space="preserve">מדובר במגפה לאחר מניית עם ישראל שלא כהוגן ע"י דוד. ראה שמואל ב פרק כד, דברינו </w:t>
      </w:r>
      <w:hyperlink r:id="rId12" w:history="1">
        <w:r w:rsidRPr="005673B9">
          <w:rPr>
            <w:rStyle w:val="Hyperlink"/>
            <w:rFonts w:hint="cs"/>
            <w:rtl/>
          </w:rPr>
          <w:t>מניית עם ישראל</w:t>
        </w:r>
      </w:hyperlink>
      <w:r>
        <w:rPr>
          <w:rFonts w:hint="cs"/>
          <w:rtl/>
        </w:rPr>
        <w:t xml:space="preserve"> בפרשת במדבר וכן </w:t>
      </w:r>
      <w:hyperlink r:id="rId13" w:history="1">
        <w:r w:rsidRPr="005673B9">
          <w:rPr>
            <w:rStyle w:val="Hyperlink"/>
            <w:rFonts w:hint="cs"/>
            <w:rtl/>
          </w:rPr>
          <w:t>קניית הר הבית</w:t>
        </w:r>
      </w:hyperlink>
      <w:r>
        <w:rPr>
          <w:rFonts w:hint="cs"/>
          <w:rtl/>
        </w:rPr>
        <w:t xml:space="preserve"> ביום ירושלים. שני תאריכים הסמוכים בלוח השנה לחג השבועות בו נפטר דוד. מחטא זה בו בחר דוד בעונש המגפה שבסופו של דבר פגעה בעם ישראל שלא חטא, יצא דוד עם נכות ממנה לא נגמל עד יום מותו. מחטא זה נוסד הר הבית הוא מקום המקדש אותו ייחל דוד לבנות וזכה שבנו בנאו (ראה ההכנות שעשה דוד לבניית הבית והטקסים המוקדמים בשמואל ב פרק ז ובדברי הימים א פרק כב), אבל מחטא זה החלה </w:t>
      </w:r>
      <w:r w:rsidR="00C740C5">
        <w:rPr>
          <w:rFonts w:hint="cs"/>
          <w:rtl/>
        </w:rPr>
        <w:t xml:space="preserve">גם </w:t>
      </w:r>
      <w:r>
        <w:rPr>
          <w:rFonts w:hint="cs"/>
          <w:rtl/>
        </w:rPr>
        <w:t xml:space="preserve">הספירה לאחור של ימי דוד. ראה הציור הכל כך קשה שהמלאך המשחית שהצטווה "הרף ידך" מאלה הצאן שלא חטאו, מקנח את חרבו המגואלת בדם, בטליתו של דוד! ראה גם </w:t>
      </w:r>
      <w:r>
        <w:rPr>
          <w:rtl/>
        </w:rPr>
        <w:t>מדרש תהלים (שוחר טוב; בובר) מזמור יח</w:t>
      </w:r>
      <w:r>
        <w:rPr>
          <w:rFonts w:hint="cs"/>
          <w:rtl/>
        </w:rPr>
        <w:t>: "</w:t>
      </w:r>
      <w:r>
        <w:rPr>
          <w:rtl/>
        </w:rPr>
        <w:t>ר' שמואל בר נחמני אמר</w:t>
      </w:r>
      <w:r>
        <w:rPr>
          <w:rFonts w:hint="cs"/>
          <w:rtl/>
        </w:rPr>
        <w:t>:</w:t>
      </w:r>
      <w:r>
        <w:rPr>
          <w:rtl/>
        </w:rPr>
        <w:t xml:space="preserve"> בשעה שראה דוד המלאך נצטנן דמו של דוד מיראתו, הדא הוא דכתיב</w:t>
      </w:r>
      <w:r>
        <w:rPr>
          <w:rFonts w:hint="cs"/>
          <w:rtl/>
        </w:rPr>
        <w:t>:</w:t>
      </w:r>
      <w:r>
        <w:rPr>
          <w:rtl/>
        </w:rPr>
        <w:t xml:space="preserve"> ויכסוהו בבגדים ולא יחם לו (מלכים א א א), מלמד שנצטנן דמו</w:t>
      </w:r>
      <w:r>
        <w:rPr>
          <w:rFonts w:hint="cs"/>
          <w:rtl/>
        </w:rPr>
        <w:t>". אפשר שמקורות אלה הם הסיבה לכך שתיאור מותו של דוד ברות רבה פחות דרמטי מזה של הגמרא במסכת שבת. דוד מת מוות צפוי בעצרת, עקב מחלה או נכות ממנה לא החלים, ולא מוות פתאומי</w:t>
      </w:r>
      <w:r>
        <w:rPr>
          <w:rtl/>
        </w:rPr>
        <w:t>.</w:t>
      </w:r>
      <w:r w:rsidR="00815826">
        <w:rPr>
          <w:rFonts w:hint="cs"/>
          <w:rtl/>
        </w:rPr>
        <w:t xml:space="preserve"> וכמו שאומר המקרא עצמו: "ויקרבו ימי דוד למות</w:t>
      </w:r>
      <w:r w:rsidR="00805B77">
        <w:rPr>
          <w:rFonts w:hint="cs"/>
          <w:rtl/>
        </w:rPr>
        <w:t xml:space="preserve"> ... ויכסוהו בבגדים ולא ייחם לו</w:t>
      </w:r>
      <w:r w:rsidR="00815826">
        <w:rPr>
          <w:rFonts w:hint="cs"/>
          <w:rtl/>
        </w:rPr>
        <w:t>". וגם מהנוסח ברות רבה שבאו הסנהדרין להראות פנים לשלמה משתמע שמותו של דוד היה הדרגתי ו</w:t>
      </w:r>
      <w:r w:rsidR="00805B77">
        <w:rPr>
          <w:rFonts w:hint="cs"/>
          <w:rtl/>
        </w:rPr>
        <w:t>צפוי ו</w:t>
      </w:r>
      <w:r w:rsidR="00815826">
        <w:rPr>
          <w:rFonts w:hint="cs"/>
          <w:rtl/>
        </w:rPr>
        <w:t xml:space="preserve">טבעי ולא איזו נפילת מדרגה פתאומית. </w:t>
      </w:r>
    </w:p>
  </w:footnote>
  <w:footnote w:id="37">
    <w:p w14:paraId="5ED3ED19" w14:textId="77777777" w:rsidR="00B139EA" w:rsidRDefault="00B139EA" w:rsidP="004C72B3">
      <w:pPr>
        <w:pStyle w:val="a3"/>
        <w:rPr>
          <w:rFonts w:hint="cs"/>
          <w:rtl/>
        </w:rPr>
      </w:pPr>
      <w:r>
        <w:rPr>
          <w:rStyle w:val="a5"/>
        </w:rPr>
        <w:footnoteRef/>
      </w:r>
      <w:r>
        <w:rPr>
          <w:rtl/>
        </w:rPr>
        <w:t xml:space="preserve"> </w:t>
      </w:r>
      <w:r>
        <w:rPr>
          <w:rFonts w:hint="cs"/>
          <w:rtl/>
        </w:rPr>
        <w:t>היכן ריווה (הרווה בלשוננו היום) דוד את הקב"ה בשירות ותשבחות? בשירת דוד ובפרקים בספר דברי הימים, אך בעיקר, כמובן בספר תהלים ממנו הבאנו לא מעט ציטוטים לעיל. ריווי זה נובע ממעשיה של רות אשר עשתה את כל הדרך ממואב לשדות בית לחם, מ</w:t>
      </w:r>
      <w:r w:rsidR="004C72B3">
        <w:rPr>
          <w:rFonts w:hint="cs"/>
          <w:rtl/>
        </w:rPr>
        <w:t xml:space="preserve">הפסוק: </w:t>
      </w:r>
      <w:r>
        <w:rPr>
          <w:rFonts w:hint="cs"/>
          <w:rtl/>
        </w:rPr>
        <w:t xml:space="preserve">"לא יבוא עמוני ומואבי בקהל ה' " </w:t>
      </w:r>
      <w:r w:rsidR="004C72B3">
        <w:rPr>
          <w:rFonts w:hint="cs"/>
          <w:rtl/>
        </w:rPr>
        <w:t xml:space="preserve">להלכה שהתחדשה: "עמוני ולא עמונית", מבת עגלון מלך מואב ומצאצאי לוט  </w:t>
      </w:r>
      <w:r>
        <w:rPr>
          <w:rFonts w:hint="cs"/>
          <w:rtl/>
        </w:rPr>
        <w:t xml:space="preserve">לייסוד בית דוד </w:t>
      </w:r>
      <w:r w:rsidR="004C72B3">
        <w:rPr>
          <w:rFonts w:hint="cs"/>
          <w:rtl/>
        </w:rPr>
        <w:t xml:space="preserve">ותקדים לכל הגרים שיבואו </w:t>
      </w:r>
      <w:r>
        <w:rPr>
          <w:rFonts w:hint="cs"/>
          <w:rtl/>
        </w:rPr>
        <w:t>לחסות בצל כנפי אלוהי ישראל. רות מזכה לדוד לדורות לא רק בספר תהלים, אלא גם בקריאת מגילתה היא ביום בו הסתלק דוד לבית עולמו והפך ממלך בשר ודם (עם כל מגרעותיו האנושיות) לדוד מלך ישראל חי וקיים - לסמל של תקווה וגאולה בכל דור ודור. מגילת רות שהתחילה באסון ופורענות אלימלך ובניו ונעמי שהפכה למרה, מסתיימת בתקווה ובבניין, כמאמר הגמרא ב</w:t>
      </w:r>
      <w:r w:rsidR="004C72B3">
        <w:rPr>
          <w:rFonts w:hint="cs"/>
          <w:rtl/>
        </w:rPr>
        <w:t xml:space="preserve">מסכת </w:t>
      </w:r>
      <w:r>
        <w:rPr>
          <w:rtl/>
        </w:rPr>
        <w:t>בבא בתרא דף יד עמוד ב</w:t>
      </w:r>
      <w:r>
        <w:rPr>
          <w:rFonts w:hint="cs"/>
          <w:rtl/>
        </w:rPr>
        <w:t xml:space="preserve"> שקובעת שאין להתחיל ספר בפורענות: "</w:t>
      </w:r>
      <w:r>
        <w:rPr>
          <w:rtl/>
        </w:rPr>
        <w:t>אתחולי בפורענותא לא מתחלינן. רות נמי פורענות היא! פורענות דאית ליה אחרית; דאמר רבי יוחנן: למה נקרא שמה רות? שיצא ממנה דוד שריוהו להקב"ה בשירות ותושבחות</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3532B" w14:textId="77777777" w:rsidR="00791C65" w:rsidRDefault="00791C65" w:rsidP="002D3AC4">
    <w:pPr>
      <w:pStyle w:val="1"/>
      <w:tabs>
        <w:tab w:val="clear" w:pos="9469"/>
        <w:tab w:val="right" w:pos="9299"/>
      </w:tabs>
      <w:rPr>
        <w:rtl/>
      </w:rPr>
    </w:pPr>
    <w:r>
      <w:rPr>
        <w:rFonts w:hint="cs"/>
        <w:rtl/>
      </w:rPr>
      <w:t>חג שבועות, חג מתן תורה</w:t>
    </w:r>
    <w:r>
      <w:rPr>
        <w:rtl/>
      </w:rPr>
      <w:tab/>
      <w:t>תש</w:t>
    </w:r>
    <w:r>
      <w:rPr>
        <w:rFonts w:hint="cs"/>
        <w:rtl/>
      </w:rPr>
      <w:t>ע"</w:t>
    </w:r>
    <w:r w:rsidR="00BE56DA">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FA0C" w14:textId="77777777" w:rsidR="00791C65" w:rsidRDefault="00791C65">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B754B">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2122D">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wNjc2N7E0t7AwNjVU0lEKTi0uzszPAykwqQUArRRkLywAAAA="/>
  </w:docVars>
  <w:rsids>
    <w:rsidRoot w:val="00E2669E"/>
    <w:rsid w:val="00002DE2"/>
    <w:rsid w:val="000036E8"/>
    <w:rsid w:val="00005C97"/>
    <w:rsid w:val="0001188F"/>
    <w:rsid w:val="000215C2"/>
    <w:rsid w:val="00025C28"/>
    <w:rsid w:val="0002699D"/>
    <w:rsid w:val="00027DCF"/>
    <w:rsid w:val="00031CFF"/>
    <w:rsid w:val="00037A67"/>
    <w:rsid w:val="000409F7"/>
    <w:rsid w:val="0004327F"/>
    <w:rsid w:val="000466E8"/>
    <w:rsid w:val="00050D89"/>
    <w:rsid w:val="00060157"/>
    <w:rsid w:val="00060235"/>
    <w:rsid w:val="000628B6"/>
    <w:rsid w:val="0006343B"/>
    <w:rsid w:val="000634B8"/>
    <w:rsid w:val="00065E6C"/>
    <w:rsid w:val="00072A77"/>
    <w:rsid w:val="00075101"/>
    <w:rsid w:val="00080834"/>
    <w:rsid w:val="00081622"/>
    <w:rsid w:val="00083AB0"/>
    <w:rsid w:val="00084FFD"/>
    <w:rsid w:val="000909E8"/>
    <w:rsid w:val="000A77AF"/>
    <w:rsid w:val="000A7AD7"/>
    <w:rsid w:val="000B3DA0"/>
    <w:rsid w:val="000B5394"/>
    <w:rsid w:val="000B770E"/>
    <w:rsid w:val="000C5DFD"/>
    <w:rsid w:val="000C75E8"/>
    <w:rsid w:val="000D5909"/>
    <w:rsid w:val="000D59D8"/>
    <w:rsid w:val="000E3AC3"/>
    <w:rsid w:val="000E7A71"/>
    <w:rsid w:val="000F125D"/>
    <w:rsid w:val="000F6613"/>
    <w:rsid w:val="000F7587"/>
    <w:rsid w:val="000F7FB5"/>
    <w:rsid w:val="00100121"/>
    <w:rsid w:val="00115CFF"/>
    <w:rsid w:val="0012122D"/>
    <w:rsid w:val="00125329"/>
    <w:rsid w:val="00133D16"/>
    <w:rsid w:val="00142937"/>
    <w:rsid w:val="00145E0E"/>
    <w:rsid w:val="00150CC8"/>
    <w:rsid w:val="00151DD5"/>
    <w:rsid w:val="00152B76"/>
    <w:rsid w:val="0015583B"/>
    <w:rsid w:val="0015653A"/>
    <w:rsid w:val="00157236"/>
    <w:rsid w:val="00162A07"/>
    <w:rsid w:val="0016465A"/>
    <w:rsid w:val="00164C3A"/>
    <w:rsid w:val="001657FA"/>
    <w:rsid w:val="001667E9"/>
    <w:rsid w:val="00173D8A"/>
    <w:rsid w:val="00182AEF"/>
    <w:rsid w:val="0018359F"/>
    <w:rsid w:val="0019003C"/>
    <w:rsid w:val="00191E80"/>
    <w:rsid w:val="00197F99"/>
    <w:rsid w:val="001A3E71"/>
    <w:rsid w:val="001B0A09"/>
    <w:rsid w:val="001B2DFA"/>
    <w:rsid w:val="001B34D1"/>
    <w:rsid w:val="001B39D3"/>
    <w:rsid w:val="001C6FC7"/>
    <w:rsid w:val="001D6D3C"/>
    <w:rsid w:val="001F3C1B"/>
    <w:rsid w:val="001F411E"/>
    <w:rsid w:val="00203A09"/>
    <w:rsid w:val="00221A17"/>
    <w:rsid w:val="00222841"/>
    <w:rsid w:val="00222E9F"/>
    <w:rsid w:val="0022511D"/>
    <w:rsid w:val="0023378A"/>
    <w:rsid w:val="002364DE"/>
    <w:rsid w:val="00247642"/>
    <w:rsid w:val="00252FA2"/>
    <w:rsid w:val="00260301"/>
    <w:rsid w:val="00261358"/>
    <w:rsid w:val="002665DC"/>
    <w:rsid w:val="002666F1"/>
    <w:rsid w:val="002810B1"/>
    <w:rsid w:val="00282DCB"/>
    <w:rsid w:val="00283316"/>
    <w:rsid w:val="00287912"/>
    <w:rsid w:val="002953AB"/>
    <w:rsid w:val="00297D59"/>
    <w:rsid w:val="002A3367"/>
    <w:rsid w:val="002A4E51"/>
    <w:rsid w:val="002A68D8"/>
    <w:rsid w:val="002B3DCA"/>
    <w:rsid w:val="002B5C27"/>
    <w:rsid w:val="002B5F1C"/>
    <w:rsid w:val="002B76EC"/>
    <w:rsid w:val="002C45BB"/>
    <w:rsid w:val="002C7DFD"/>
    <w:rsid w:val="002D3AC4"/>
    <w:rsid w:val="002E624E"/>
    <w:rsid w:val="002E7CCB"/>
    <w:rsid w:val="002F2C49"/>
    <w:rsid w:val="002F2E40"/>
    <w:rsid w:val="002F4674"/>
    <w:rsid w:val="0031380F"/>
    <w:rsid w:val="00314B23"/>
    <w:rsid w:val="00315954"/>
    <w:rsid w:val="00322BCC"/>
    <w:rsid w:val="003257C2"/>
    <w:rsid w:val="00326B75"/>
    <w:rsid w:val="00326DE1"/>
    <w:rsid w:val="00330286"/>
    <w:rsid w:val="003303E8"/>
    <w:rsid w:val="00332E5A"/>
    <w:rsid w:val="003337F2"/>
    <w:rsid w:val="00334AD5"/>
    <w:rsid w:val="00340EBD"/>
    <w:rsid w:val="00342AD7"/>
    <w:rsid w:val="003438C2"/>
    <w:rsid w:val="00344CDB"/>
    <w:rsid w:val="00346B58"/>
    <w:rsid w:val="0034744B"/>
    <w:rsid w:val="00350C84"/>
    <w:rsid w:val="003569CF"/>
    <w:rsid w:val="00360297"/>
    <w:rsid w:val="003643B2"/>
    <w:rsid w:val="0036691C"/>
    <w:rsid w:val="003763CB"/>
    <w:rsid w:val="00377DC9"/>
    <w:rsid w:val="00383635"/>
    <w:rsid w:val="00384DEC"/>
    <w:rsid w:val="00384FAE"/>
    <w:rsid w:val="00385785"/>
    <w:rsid w:val="003872CA"/>
    <w:rsid w:val="003879E8"/>
    <w:rsid w:val="00392059"/>
    <w:rsid w:val="00392404"/>
    <w:rsid w:val="00394877"/>
    <w:rsid w:val="003A36CB"/>
    <w:rsid w:val="003B0DCE"/>
    <w:rsid w:val="003B36E3"/>
    <w:rsid w:val="003B6005"/>
    <w:rsid w:val="003B6244"/>
    <w:rsid w:val="003B7451"/>
    <w:rsid w:val="003C046A"/>
    <w:rsid w:val="003C6320"/>
    <w:rsid w:val="003D053A"/>
    <w:rsid w:val="003D492A"/>
    <w:rsid w:val="003D4AA4"/>
    <w:rsid w:val="003F32CA"/>
    <w:rsid w:val="003F47E3"/>
    <w:rsid w:val="003F4EAD"/>
    <w:rsid w:val="003F5AD8"/>
    <w:rsid w:val="003F5DEC"/>
    <w:rsid w:val="003F634C"/>
    <w:rsid w:val="004041AC"/>
    <w:rsid w:val="004061FE"/>
    <w:rsid w:val="00410675"/>
    <w:rsid w:val="00412C62"/>
    <w:rsid w:val="00415381"/>
    <w:rsid w:val="0042023F"/>
    <w:rsid w:val="00420722"/>
    <w:rsid w:val="00420B26"/>
    <w:rsid w:val="0042260D"/>
    <w:rsid w:val="0042406F"/>
    <w:rsid w:val="00425E41"/>
    <w:rsid w:val="00434738"/>
    <w:rsid w:val="00436234"/>
    <w:rsid w:val="00437FD0"/>
    <w:rsid w:val="00440DF1"/>
    <w:rsid w:val="004415C1"/>
    <w:rsid w:val="00444832"/>
    <w:rsid w:val="00453958"/>
    <w:rsid w:val="00460C10"/>
    <w:rsid w:val="00461168"/>
    <w:rsid w:val="004617C5"/>
    <w:rsid w:val="00463F6D"/>
    <w:rsid w:val="00463FA4"/>
    <w:rsid w:val="0046507B"/>
    <w:rsid w:val="004675FF"/>
    <w:rsid w:val="00475E82"/>
    <w:rsid w:val="004A13FE"/>
    <w:rsid w:val="004A4DA4"/>
    <w:rsid w:val="004A75DB"/>
    <w:rsid w:val="004B1BCC"/>
    <w:rsid w:val="004B3F4B"/>
    <w:rsid w:val="004B56B9"/>
    <w:rsid w:val="004C1254"/>
    <w:rsid w:val="004C1A8F"/>
    <w:rsid w:val="004C5C7B"/>
    <w:rsid w:val="004C72B3"/>
    <w:rsid w:val="004D0386"/>
    <w:rsid w:val="004D3DF2"/>
    <w:rsid w:val="004D55B0"/>
    <w:rsid w:val="004E087E"/>
    <w:rsid w:val="004E6E89"/>
    <w:rsid w:val="004F1EDC"/>
    <w:rsid w:val="004F284B"/>
    <w:rsid w:val="005002ED"/>
    <w:rsid w:val="00505966"/>
    <w:rsid w:val="005062A7"/>
    <w:rsid w:val="00507EB5"/>
    <w:rsid w:val="00513F39"/>
    <w:rsid w:val="00514360"/>
    <w:rsid w:val="005159F6"/>
    <w:rsid w:val="0051705B"/>
    <w:rsid w:val="00523E5A"/>
    <w:rsid w:val="0052683A"/>
    <w:rsid w:val="00532723"/>
    <w:rsid w:val="00533A94"/>
    <w:rsid w:val="005405F1"/>
    <w:rsid w:val="005516DF"/>
    <w:rsid w:val="00554F8D"/>
    <w:rsid w:val="00565740"/>
    <w:rsid w:val="00565B86"/>
    <w:rsid w:val="00566AD3"/>
    <w:rsid w:val="005673B9"/>
    <w:rsid w:val="005713AA"/>
    <w:rsid w:val="0057361B"/>
    <w:rsid w:val="005749F1"/>
    <w:rsid w:val="00577A25"/>
    <w:rsid w:val="00577D2B"/>
    <w:rsid w:val="005800B4"/>
    <w:rsid w:val="005842D2"/>
    <w:rsid w:val="00592F95"/>
    <w:rsid w:val="005A146E"/>
    <w:rsid w:val="005A1B11"/>
    <w:rsid w:val="005A3157"/>
    <w:rsid w:val="005B12D8"/>
    <w:rsid w:val="005B4692"/>
    <w:rsid w:val="005C2F77"/>
    <w:rsid w:val="005C3450"/>
    <w:rsid w:val="005C4ABA"/>
    <w:rsid w:val="005C5232"/>
    <w:rsid w:val="005C69AC"/>
    <w:rsid w:val="005C7068"/>
    <w:rsid w:val="005D0F11"/>
    <w:rsid w:val="005D57F4"/>
    <w:rsid w:val="005D625D"/>
    <w:rsid w:val="005E1F3C"/>
    <w:rsid w:val="005E2F28"/>
    <w:rsid w:val="005E32FF"/>
    <w:rsid w:val="005E3376"/>
    <w:rsid w:val="005F0DEE"/>
    <w:rsid w:val="005F451E"/>
    <w:rsid w:val="005F4D72"/>
    <w:rsid w:val="005F62FD"/>
    <w:rsid w:val="006118A1"/>
    <w:rsid w:val="00617690"/>
    <w:rsid w:val="00617B6A"/>
    <w:rsid w:val="00621A83"/>
    <w:rsid w:val="006228A9"/>
    <w:rsid w:val="00623021"/>
    <w:rsid w:val="006273AD"/>
    <w:rsid w:val="00627DFC"/>
    <w:rsid w:val="00631CA6"/>
    <w:rsid w:val="006346D9"/>
    <w:rsid w:val="0063493D"/>
    <w:rsid w:val="0063696F"/>
    <w:rsid w:val="00637798"/>
    <w:rsid w:val="00641F04"/>
    <w:rsid w:val="00642F87"/>
    <w:rsid w:val="006433CF"/>
    <w:rsid w:val="00645B61"/>
    <w:rsid w:val="00647BC4"/>
    <w:rsid w:val="00650B06"/>
    <w:rsid w:val="006539A4"/>
    <w:rsid w:val="006553B8"/>
    <w:rsid w:val="00655F8F"/>
    <w:rsid w:val="00670922"/>
    <w:rsid w:val="00686AED"/>
    <w:rsid w:val="0068733F"/>
    <w:rsid w:val="00687740"/>
    <w:rsid w:val="00695628"/>
    <w:rsid w:val="006A4920"/>
    <w:rsid w:val="006A5361"/>
    <w:rsid w:val="006A694C"/>
    <w:rsid w:val="006B2190"/>
    <w:rsid w:val="006B387A"/>
    <w:rsid w:val="006B4A3D"/>
    <w:rsid w:val="006D04B3"/>
    <w:rsid w:val="006D3040"/>
    <w:rsid w:val="006D333C"/>
    <w:rsid w:val="006D551C"/>
    <w:rsid w:val="006D5EA2"/>
    <w:rsid w:val="006D6B75"/>
    <w:rsid w:val="006D6CB3"/>
    <w:rsid w:val="006E0FBC"/>
    <w:rsid w:val="006E4EA0"/>
    <w:rsid w:val="006E567F"/>
    <w:rsid w:val="006F0573"/>
    <w:rsid w:val="006F268D"/>
    <w:rsid w:val="006F3E2F"/>
    <w:rsid w:val="006F4B93"/>
    <w:rsid w:val="006F652B"/>
    <w:rsid w:val="007002E2"/>
    <w:rsid w:val="00702B10"/>
    <w:rsid w:val="0071493E"/>
    <w:rsid w:val="00714A66"/>
    <w:rsid w:val="0072779E"/>
    <w:rsid w:val="00733F9F"/>
    <w:rsid w:val="0073775B"/>
    <w:rsid w:val="0074023E"/>
    <w:rsid w:val="00743082"/>
    <w:rsid w:val="007517C7"/>
    <w:rsid w:val="00765DB9"/>
    <w:rsid w:val="00766A0A"/>
    <w:rsid w:val="00767828"/>
    <w:rsid w:val="007722A8"/>
    <w:rsid w:val="007826F9"/>
    <w:rsid w:val="00785CA4"/>
    <w:rsid w:val="00791908"/>
    <w:rsid w:val="00791C65"/>
    <w:rsid w:val="00796ABA"/>
    <w:rsid w:val="007A0D65"/>
    <w:rsid w:val="007A1080"/>
    <w:rsid w:val="007A203D"/>
    <w:rsid w:val="007A2919"/>
    <w:rsid w:val="007A71DA"/>
    <w:rsid w:val="007B13AE"/>
    <w:rsid w:val="007B4E14"/>
    <w:rsid w:val="007B69DA"/>
    <w:rsid w:val="007C0814"/>
    <w:rsid w:val="007C0FBE"/>
    <w:rsid w:val="007C114F"/>
    <w:rsid w:val="007C205E"/>
    <w:rsid w:val="007C3110"/>
    <w:rsid w:val="007C455F"/>
    <w:rsid w:val="007C7533"/>
    <w:rsid w:val="007D1079"/>
    <w:rsid w:val="007E4319"/>
    <w:rsid w:val="007E5A31"/>
    <w:rsid w:val="007F13DC"/>
    <w:rsid w:val="007F2654"/>
    <w:rsid w:val="007F4A0F"/>
    <w:rsid w:val="007F63AA"/>
    <w:rsid w:val="00805B77"/>
    <w:rsid w:val="00815826"/>
    <w:rsid w:val="00821574"/>
    <w:rsid w:val="00824C75"/>
    <w:rsid w:val="00824CB0"/>
    <w:rsid w:val="008326E8"/>
    <w:rsid w:val="0083307D"/>
    <w:rsid w:val="00833B23"/>
    <w:rsid w:val="0083453C"/>
    <w:rsid w:val="00834947"/>
    <w:rsid w:val="00835790"/>
    <w:rsid w:val="00835E4A"/>
    <w:rsid w:val="00841370"/>
    <w:rsid w:val="008510AD"/>
    <w:rsid w:val="008521A0"/>
    <w:rsid w:val="0085359F"/>
    <w:rsid w:val="0085479C"/>
    <w:rsid w:val="00863461"/>
    <w:rsid w:val="0086448A"/>
    <w:rsid w:val="00867CD8"/>
    <w:rsid w:val="0087113F"/>
    <w:rsid w:val="008723F3"/>
    <w:rsid w:val="008750D3"/>
    <w:rsid w:val="0088144E"/>
    <w:rsid w:val="00881F1F"/>
    <w:rsid w:val="0088244A"/>
    <w:rsid w:val="008837F1"/>
    <w:rsid w:val="008940E7"/>
    <w:rsid w:val="00895574"/>
    <w:rsid w:val="008A0042"/>
    <w:rsid w:val="008A0D8A"/>
    <w:rsid w:val="008A0DD7"/>
    <w:rsid w:val="008A77E2"/>
    <w:rsid w:val="008B4742"/>
    <w:rsid w:val="008C0620"/>
    <w:rsid w:val="008C359F"/>
    <w:rsid w:val="008C39FA"/>
    <w:rsid w:val="008C4BCC"/>
    <w:rsid w:val="008C5D1E"/>
    <w:rsid w:val="008C7D3E"/>
    <w:rsid w:val="008C7DE8"/>
    <w:rsid w:val="008D0D1B"/>
    <w:rsid w:val="008D33FC"/>
    <w:rsid w:val="008D374C"/>
    <w:rsid w:val="008D7C8E"/>
    <w:rsid w:val="008E555F"/>
    <w:rsid w:val="008F1C70"/>
    <w:rsid w:val="008F2AF6"/>
    <w:rsid w:val="008F41BA"/>
    <w:rsid w:val="00915FCD"/>
    <w:rsid w:val="0091651B"/>
    <w:rsid w:val="00924257"/>
    <w:rsid w:val="00925487"/>
    <w:rsid w:val="009256DF"/>
    <w:rsid w:val="00925E1A"/>
    <w:rsid w:val="00926C27"/>
    <w:rsid w:val="00934AE2"/>
    <w:rsid w:val="00934B35"/>
    <w:rsid w:val="009414C3"/>
    <w:rsid w:val="0094367C"/>
    <w:rsid w:val="00946762"/>
    <w:rsid w:val="00946B03"/>
    <w:rsid w:val="00951B94"/>
    <w:rsid w:val="0095257B"/>
    <w:rsid w:val="00952BD7"/>
    <w:rsid w:val="0095370B"/>
    <w:rsid w:val="009629B6"/>
    <w:rsid w:val="00964CC6"/>
    <w:rsid w:val="0097119C"/>
    <w:rsid w:val="009719F7"/>
    <w:rsid w:val="0097626B"/>
    <w:rsid w:val="00976904"/>
    <w:rsid w:val="00993FCC"/>
    <w:rsid w:val="00995445"/>
    <w:rsid w:val="00997AD7"/>
    <w:rsid w:val="009A2138"/>
    <w:rsid w:val="009A3CC2"/>
    <w:rsid w:val="009A4CC5"/>
    <w:rsid w:val="009A73FE"/>
    <w:rsid w:val="009A7D37"/>
    <w:rsid w:val="009B0CFC"/>
    <w:rsid w:val="009B33C2"/>
    <w:rsid w:val="009B4FA9"/>
    <w:rsid w:val="009B7BEC"/>
    <w:rsid w:val="009C2F28"/>
    <w:rsid w:val="009C46E6"/>
    <w:rsid w:val="009C4B6A"/>
    <w:rsid w:val="009D194C"/>
    <w:rsid w:val="009D4621"/>
    <w:rsid w:val="009D6542"/>
    <w:rsid w:val="009E07BA"/>
    <w:rsid w:val="009E117B"/>
    <w:rsid w:val="009F3C6A"/>
    <w:rsid w:val="009F4827"/>
    <w:rsid w:val="00A06F8F"/>
    <w:rsid w:val="00A1331F"/>
    <w:rsid w:val="00A17948"/>
    <w:rsid w:val="00A2177E"/>
    <w:rsid w:val="00A2190E"/>
    <w:rsid w:val="00A23029"/>
    <w:rsid w:val="00A34BE2"/>
    <w:rsid w:val="00A35641"/>
    <w:rsid w:val="00A37622"/>
    <w:rsid w:val="00A3779D"/>
    <w:rsid w:val="00A43F6E"/>
    <w:rsid w:val="00A45189"/>
    <w:rsid w:val="00A4573D"/>
    <w:rsid w:val="00A52735"/>
    <w:rsid w:val="00A53510"/>
    <w:rsid w:val="00A56FF5"/>
    <w:rsid w:val="00A605D3"/>
    <w:rsid w:val="00A61321"/>
    <w:rsid w:val="00A64713"/>
    <w:rsid w:val="00A65509"/>
    <w:rsid w:val="00A66756"/>
    <w:rsid w:val="00A703CA"/>
    <w:rsid w:val="00A72D1E"/>
    <w:rsid w:val="00A77329"/>
    <w:rsid w:val="00A81340"/>
    <w:rsid w:val="00A838C3"/>
    <w:rsid w:val="00A85584"/>
    <w:rsid w:val="00A905BC"/>
    <w:rsid w:val="00A95673"/>
    <w:rsid w:val="00A96D5E"/>
    <w:rsid w:val="00A9782F"/>
    <w:rsid w:val="00AA022A"/>
    <w:rsid w:val="00AA28E0"/>
    <w:rsid w:val="00AA5879"/>
    <w:rsid w:val="00AA7D4C"/>
    <w:rsid w:val="00AB0113"/>
    <w:rsid w:val="00AB3667"/>
    <w:rsid w:val="00AB5F76"/>
    <w:rsid w:val="00AB754B"/>
    <w:rsid w:val="00AC308F"/>
    <w:rsid w:val="00AC37AF"/>
    <w:rsid w:val="00AC5F84"/>
    <w:rsid w:val="00AD168A"/>
    <w:rsid w:val="00AE4124"/>
    <w:rsid w:val="00AE4C53"/>
    <w:rsid w:val="00AF0624"/>
    <w:rsid w:val="00AF572E"/>
    <w:rsid w:val="00B03408"/>
    <w:rsid w:val="00B03AB5"/>
    <w:rsid w:val="00B139EA"/>
    <w:rsid w:val="00B20B18"/>
    <w:rsid w:val="00B21C65"/>
    <w:rsid w:val="00B22E10"/>
    <w:rsid w:val="00B2373F"/>
    <w:rsid w:val="00B27683"/>
    <w:rsid w:val="00B3222F"/>
    <w:rsid w:val="00B3413E"/>
    <w:rsid w:val="00B42224"/>
    <w:rsid w:val="00B427F9"/>
    <w:rsid w:val="00B4286F"/>
    <w:rsid w:val="00B506E9"/>
    <w:rsid w:val="00B50AF0"/>
    <w:rsid w:val="00B5386C"/>
    <w:rsid w:val="00B55AA6"/>
    <w:rsid w:val="00B56356"/>
    <w:rsid w:val="00B572DE"/>
    <w:rsid w:val="00B61913"/>
    <w:rsid w:val="00B61AB9"/>
    <w:rsid w:val="00B62B5B"/>
    <w:rsid w:val="00B655AF"/>
    <w:rsid w:val="00B65825"/>
    <w:rsid w:val="00B675A9"/>
    <w:rsid w:val="00B72A09"/>
    <w:rsid w:val="00B732F5"/>
    <w:rsid w:val="00B75155"/>
    <w:rsid w:val="00B757B4"/>
    <w:rsid w:val="00B763EF"/>
    <w:rsid w:val="00B82594"/>
    <w:rsid w:val="00B84B8A"/>
    <w:rsid w:val="00B908C7"/>
    <w:rsid w:val="00B959BB"/>
    <w:rsid w:val="00BA26E8"/>
    <w:rsid w:val="00BA337A"/>
    <w:rsid w:val="00BA3BF0"/>
    <w:rsid w:val="00BA3FB0"/>
    <w:rsid w:val="00BB400B"/>
    <w:rsid w:val="00BD056B"/>
    <w:rsid w:val="00BD5640"/>
    <w:rsid w:val="00BD6E24"/>
    <w:rsid w:val="00BE035B"/>
    <w:rsid w:val="00BE0A68"/>
    <w:rsid w:val="00BE4200"/>
    <w:rsid w:val="00BE4249"/>
    <w:rsid w:val="00BE56DA"/>
    <w:rsid w:val="00BE7C3C"/>
    <w:rsid w:val="00BE7D6E"/>
    <w:rsid w:val="00BF3913"/>
    <w:rsid w:val="00BF610E"/>
    <w:rsid w:val="00C12CC9"/>
    <w:rsid w:val="00C17B3A"/>
    <w:rsid w:val="00C20FEF"/>
    <w:rsid w:val="00C21DE0"/>
    <w:rsid w:val="00C22AF2"/>
    <w:rsid w:val="00C25A42"/>
    <w:rsid w:val="00C33AFD"/>
    <w:rsid w:val="00C363B7"/>
    <w:rsid w:val="00C37E33"/>
    <w:rsid w:val="00C44250"/>
    <w:rsid w:val="00C52FA4"/>
    <w:rsid w:val="00C70DE4"/>
    <w:rsid w:val="00C740C5"/>
    <w:rsid w:val="00C77C01"/>
    <w:rsid w:val="00C804EB"/>
    <w:rsid w:val="00C82125"/>
    <w:rsid w:val="00C825F2"/>
    <w:rsid w:val="00C83887"/>
    <w:rsid w:val="00C8660A"/>
    <w:rsid w:val="00C94195"/>
    <w:rsid w:val="00CB07D3"/>
    <w:rsid w:val="00CB1A91"/>
    <w:rsid w:val="00CB610B"/>
    <w:rsid w:val="00CC2A07"/>
    <w:rsid w:val="00CC7C9C"/>
    <w:rsid w:val="00CD06CE"/>
    <w:rsid w:val="00CD69CA"/>
    <w:rsid w:val="00CE14E3"/>
    <w:rsid w:val="00CE15F5"/>
    <w:rsid w:val="00CE7065"/>
    <w:rsid w:val="00CF5B58"/>
    <w:rsid w:val="00CF693C"/>
    <w:rsid w:val="00CF6BE4"/>
    <w:rsid w:val="00CF6DEA"/>
    <w:rsid w:val="00D01239"/>
    <w:rsid w:val="00D05453"/>
    <w:rsid w:val="00D060AD"/>
    <w:rsid w:val="00D07431"/>
    <w:rsid w:val="00D15D0B"/>
    <w:rsid w:val="00D178C8"/>
    <w:rsid w:val="00D21CC5"/>
    <w:rsid w:val="00D277FF"/>
    <w:rsid w:val="00D30DAB"/>
    <w:rsid w:val="00D31637"/>
    <w:rsid w:val="00D31B9D"/>
    <w:rsid w:val="00D3331A"/>
    <w:rsid w:val="00D336EC"/>
    <w:rsid w:val="00D42981"/>
    <w:rsid w:val="00D4491E"/>
    <w:rsid w:val="00D47E2E"/>
    <w:rsid w:val="00D51382"/>
    <w:rsid w:val="00D562A4"/>
    <w:rsid w:val="00D56C59"/>
    <w:rsid w:val="00D61F11"/>
    <w:rsid w:val="00D62B89"/>
    <w:rsid w:val="00D62CEC"/>
    <w:rsid w:val="00D66916"/>
    <w:rsid w:val="00D66A25"/>
    <w:rsid w:val="00D66F04"/>
    <w:rsid w:val="00D7224E"/>
    <w:rsid w:val="00D77DED"/>
    <w:rsid w:val="00D81115"/>
    <w:rsid w:val="00D8246F"/>
    <w:rsid w:val="00D85701"/>
    <w:rsid w:val="00D90BC4"/>
    <w:rsid w:val="00D91C5D"/>
    <w:rsid w:val="00D94865"/>
    <w:rsid w:val="00D966AE"/>
    <w:rsid w:val="00DA2D8C"/>
    <w:rsid w:val="00DA6A95"/>
    <w:rsid w:val="00DC02B3"/>
    <w:rsid w:val="00DC512B"/>
    <w:rsid w:val="00DD6AE2"/>
    <w:rsid w:val="00DD6D4E"/>
    <w:rsid w:val="00DE1050"/>
    <w:rsid w:val="00DE793E"/>
    <w:rsid w:val="00DF2E5C"/>
    <w:rsid w:val="00E00559"/>
    <w:rsid w:val="00E04A82"/>
    <w:rsid w:val="00E10E38"/>
    <w:rsid w:val="00E1240A"/>
    <w:rsid w:val="00E14C21"/>
    <w:rsid w:val="00E22DDA"/>
    <w:rsid w:val="00E22ECA"/>
    <w:rsid w:val="00E255FE"/>
    <w:rsid w:val="00E2669E"/>
    <w:rsid w:val="00E32C77"/>
    <w:rsid w:val="00E350FF"/>
    <w:rsid w:val="00E40FF0"/>
    <w:rsid w:val="00E44378"/>
    <w:rsid w:val="00E524D9"/>
    <w:rsid w:val="00E56DC6"/>
    <w:rsid w:val="00E5726C"/>
    <w:rsid w:val="00E5768E"/>
    <w:rsid w:val="00E60CA4"/>
    <w:rsid w:val="00E663C4"/>
    <w:rsid w:val="00E70D4A"/>
    <w:rsid w:val="00E7256B"/>
    <w:rsid w:val="00E733A5"/>
    <w:rsid w:val="00E76949"/>
    <w:rsid w:val="00E82BEA"/>
    <w:rsid w:val="00E82F91"/>
    <w:rsid w:val="00E8418F"/>
    <w:rsid w:val="00E87258"/>
    <w:rsid w:val="00E92099"/>
    <w:rsid w:val="00E92E9C"/>
    <w:rsid w:val="00E96C99"/>
    <w:rsid w:val="00EA45E8"/>
    <w:rsid w:val="00EB710C"/>
    <w:rsid w:val="00EB725F"/>
    <w:rsid w:val="00EC4B4A"/>
    <w:rsid w:val="00EC7997"/>
    <w:rsid w:val="00ED1EFA"/>
    <w:rsid w:val="00ED21BA"/>
    <w:rsid w:val="00ED6DEF"/>
    <w:rsid w:val="00EE0BE1"/>
    <w:rsid w:val="00EE6635"/>
    <w:rsid w:val="00F062FE"/>
    <w:rsid w:val="00F105AF"/>
    <w:rsid w:val="00F120AE"/>
    <w:rsid w:val="00F1611A"/>
    <w:rsid w:val="00F163AB"/>
    <w:rsid w:val="00F2011B"/>
    <w:rsid w:val="00F2295A"/>
    <w:rsid w:val="00F301B6"/>
    <w:rsid w:val="00F325ED"/>
    <w:rsid w:val="00F41C28"/>
    <w:rsid w:val="00F45AAB"/>
    <w:rsid w:val="00F46714"/>
    <w:rsid w:val="00F47B38"/>
    <w:rsid w:val="00F51419"/>
    <w:rsid w:val="00F53D63"/>
    <w:rsid w:val="00F546D6"/>
    <w:rsid w:val="00F56B5D"/>
    <w:rsid w:val="00F61065"/>
    <w:rsid w:val="00F6353A"/>
    <w:rsid w:val="00F63891"/>
    <w:rsid w:val="00F63C58"/>
    <w:rsid w:val="00F65255"/>
    <w:rsid w:val="00F66287"/>
    <w:rsid w:val="00F71930"/>
    <w:rsid w:val="00F72243"/>
    <w:rsid w:val="00F87979"/>
    <w:rsid w:val="00F90254"/>
    <w:rsid w:val="00F90267"/>
    <w:rsid w:val="00F90A75"/>
    <w:rsid w:val="00F9369D"/>
    <w:rsid w:val="00F96B39"/>
    <w:rsid w:val="00F974C1"/>
    <w:rsid w:val="00FA1442"/>
    <w:rsid w:val="00FA3DB6"/>
    <w:rsid w:val="00FA474F"/>
    <w:rsid w:val="00FA528F"/>
    <w:rsid w:val="00FB0D98"/>
    <w:rsid w:val="00FB5327"/>
    <w:rsid w:val="00FB7865"/>
    <w:rsid w:val="00FC1F09"/>
    <w:rsid w:val="00FC2B51"/>
    <w:rsid w:val="00FC4A1E"/>
    <w:rsid w:val="00FC7947"/>
    <w:rsid w:val="00FD1578"/>
    <w:rsid w:val="00FD3F32"/>
    <w:rsid w:val="00FD53F0"/>
    <w:rsid w:val="00FD7B6A"/>
    <w:rsid w:val="00FE1910"/>
    <w:rsid w:val="00FE1BE5"/>
    <w:rsid w:val="00FE2149"/>
    <w:rsid w:val="00FE2715"/>
    <w:rsid w:val="00FF1754"/>
    <w:rsid w:val="00FF6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50A51"/>
  <w15:chartTrackingRefBased/>
  <w15:docId w15:val="{8642830D-50B4-4478-ADA4-9877576B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122D"/>
    <w:pPr>
      <w:bidi/>
    </w:pPr>
    <w:rPr>
      <w:rFonts w:cs="Narkisim"/>
      <w:sz w:val="22"/>
      <w:szCs w:val="22"/>
      <w:lang w:eastAsia="he-IL"/>
    </w:rPr>
  </w:style>
  <w:style w:type="paragraph" w:styleId="1">
    <w:name w:val="heading 1"/>
    <w:basedOn w:val="a"/>
    <w:next w:val="a"/>
    <w:link w:val="10"/>
    <w:qFormat/>
    <w:rsid w:val="0012122D"/>
    <w:pPr>
      <w:keepNext/>
      <w:tabs>
        <w:tab w:val="right" w:pos="9469"/>
      </w:tabs>
      <w:jc w:val="both"/>
      <w:outlineLvl w:val="0"/>
    </w:pPr>
    <w:rPr>
      <w:rFonts w:cs="David"/>
      <w:b/>
      <w:bCs/>
      <w:szCs w:val="28"/>
    </w:rPr>
  </w:style>
  <w:style w:type="character" w:default="1" w:styleId="a0">
    <w:name w:val="Default Paragraph Font"/>
    <w:uiPriority w:val="1"/>
    <w:semiHidden/>
    <w:unhideWhenUsed/>
    <w:rsid w:val="0012122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2122D"/>
  </w:style>
  <w:style w:type="paragraph" w:styleId="a3">
    <w:name w:val="footnote text"/>
    <w:basedOn w:val="a"/>
    <w:link w:val="a4"/>
    <w:rsid w:val="0012122D"/>
    <w:pPr>
      <w:ind w:left="170" w:hanging="170"/>
      <w:jc w:val="both"/>
    </w:pPr>
    <w:rPr>
      <w:sz w:val="20"/>
      <w:szCs w:val="20"/>
    </w:rPr>
  </w:style>
  <w:style w:type="character" w:styleId="a5">
    <w:name w:val="footnote reference"/>
    <w:semiHidden/>
    <w:rsid w:val="0012122D"/>
    <w:rPr>
      <w:vertAlign w:val="superscript"/>
    </w:rPr>
  </w:style>
  <w:style w:type="paragraph" w:styleId="a6">
    <w:name w:val="header"/>
    <w:basedOn w:val="a"/>
    <w:link w:val="a7"/>
    <w:rsid w:val="0012122D"/>
    <w:pPr>
      <w:tabs>
        <w:tab w:val="center" w:pos="4153"/>
        <w:tab w:val="right" w:pos="8306"/>
      </w:tabs>
    </w:pPr>
  </w:style>
  <w:style w:type="paragraph" w:styleId="a8">
    <w:name w:val="footer"/>
    <w:basedOn w:val="a"/>
    <w:link w:val="a9"/>
    <w:rsid w:val="0012122D"/>
    <w:pPr>
      <w:tabs>
        <w:tab w:val="center" w:pos="4153"/>
        <w:tab w:val="right" w:pos="8306"/>
      </w:tabs>
    </w:pPr>
  </w:style>
  <w:style w:type="paragraph" w:customStyle="1" w:styleId="aa">
    <w:name w:val="כותרת"/>
    <w:basedOn w:val="a"/>
    <w:rsid w:val="0012122D"/>
    <w:pPr>
      <w:spacing w:before="240" w:line="320" w:lineRule="atLeast"/>
      <w:jc w:val="center"/>
    </w:pPr>
    <w:rPr>
      <w:rFonts w:cs="David"/>
      <w:b/>
      <w:bCs/>
      <w:spacing w:val="20"/>
      <w:szCs w:val="32"/>
    </w:rPr>
  </w:style>
  <w:style w:type="paragraph" w:customStyle="1" w:styleId="ab">
    <w:name w:val="כותרת קטע"/>
    <w:basedOn w:val="a"/>
    <w:rsid w:val="0012122D"/>
    <w:pPr>
      <w:spacing w:before="240" w:line="300" w:lineRule="atLeast"/>
    </w:pPr>
    <w:rPr>
      <w:rFonts w:cs="Arial"/>
      <w:b/>
      <w:bCs/>
      <w:szCs w:val="24"/>
    </w:rPr>
  </w:style>
  <w:style w:type="paragraph" w:customStyle="1" w:styleId="ac">
    <w:name w:val="מקור"/>
    <w:basedOn w:val="a"/>
    <w:rsid w:val="0012122D"/>
    <w:pPr>
      <w:spacing w:line="320" w:lineRule="atLeast"/>
      <w:jc w:val="both"/>
    </w:pPr>
    <w:rPr>
      <w:rFonts w:cs="David"/>
      <w:szCs w:val="24"/>
    </w:rPr>
  </w:style>
  <w:style w:type="paragraph" w:customStyle="1" w:styleId="ad">
    <w:name w:val="מחלקי המים"/>
    <w:basedOn w:val="a"/>
    <w:rsid w:val="0012122D"/>
    <w:pPr>
      <w:spacing w:line="320" w:lineRule="atLeast"/>
      <w:jc w:val="both"/>
    </w:pPr>
    <w:rPr>
      <w:b/>
      <w:bCs/>
      <w:szCs w:val="24"/>
    </w:rPr>
  </w:style>
  <w:style w:type="paragraph" w:styleId="ae">
    <w:name w:val="Balloon Text"/>
    <w:basedOn w:val="a"/>
    <w:link w:val="af"/>
    <w:uiPriority w:val="99"/>
    <w:semiHidden/>
    <w:unhideWhenUsed/>
    <w:rsid w:val="0012122D"/>
    <w:rPr>
      <w:rFonts w:ascii="Tahoma" w:hAnsi="Tahoma" w:cs="Tahoma"/>
      <w:sz w:val="16"/>
      <w:szCs w:val="16"/>
    </w:rPr>
  </w:style>
  <w:style w:type="character" w:styleId="Hyperlink">
    <w:name w:val="Hyperlink"/>
    <w:rsid w:val="0012122D"/>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rsid w:val="0012122D"/>
    <w:rPr>
      <w:rFonts w:cs="Narkisim"/>
      <w:lang w:eastAsia="he-IL"/>
    </w:rPr>
  </w:style>
  <w:style w:type="character" w:customStyle="1" w:styleId="10">
    <w:name w:val="כותרת 1 תו"/>
    <w:link w:val="1"/>
    <w:rsid w:val="0012122D"/>
    <w:rPr>
      <w:rFonts w:cs="David"/>
      <w:b/>
      <w:bCs/>
      <w:sz w:val="22"/>
      <w:szCs w:val="28"/>
      <w:lang w:eastAsia="he-IL"/>
    </w:rPr>
  </w:style>
  <w:style w:type="character" w:customStyle="1" w:styleId="a7">
    <w:name w:val="כותרת עליונה תו"/>
    <w:link w:val="a6"/>
    <w:rsid w:val="0012122D"/>
    <w:rPr>
      <w:rFonts w:cs="Narkisim"/>
      <w:sz w:val="22"/>
      <w:szCs w:val="22"/>
      <w:lang w:eastAsia="he-IL"/>
    </w:rPr>
  </w:style>
  <w:style w:type="character" w:customStyle="1" w:styleId="a9">
    <w:name w:val="כותרת תחתונה תו"/>
    <w:link w:val="a8"/>
    <w:rsid w:val="0012122D"/>
    <w:rPr>
      <w:rFonts w:cs="Narkisim"/>
      <w:sz w:val="22"/>
      <w:szCs w:val="22"/>
      <w:lang w:eastAsia="he-IL"/>
    </w:rPr>
  </w:style>
  <w:style w:type="character" w:customStyle="1" w:styleId="af">
    <w:name w:val="טקסט בלונים תו"/>
    <w:link w:val="ae"/>
    <w:uiPriority w:val="99"/>
    <w:semiHidden/>
    <w:rsid w:val="0012122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968883">
      <w:bodyDiv w:val="1"/>
      <w:marLeft w:val="0"/>
      <w:marRight w:val="0"/>
      <w:marTop w:val="0"/>
      <w:marBottom w:val="0"/>
      <w:divBdr>
        <w:top w:val="none" w:sz="0" w:space="0" w:color="auto"/>
        <w:left w:val="none" w:sz="0" w:space="0" w:color="auto"/>
        <w:bottom w:val="none" w:sz="0" w:space="0" w:color="auto"/>
        <w:right w:val="none" w:sz="0" w:space="0" w:color="auto"/>
      </w:divBdr>
    </w:div>
    <w:div w:id="698704917">
      <w:bodyDiv w:val="1"/>
      <w:marLeft w:val="0"/>
      <w:marRight w:val="0"/>
      <w:marTop w:val="0"/>
      <w:marBottom w:val="0"/>
      <w:divBdr>
        <w:top w:val="none" w:sz="0" w:space="0" w:color="auto"/>
        <w:left w:val="none" w:sz="0" w:space="0" w:color="auto"/>
        <w:bottom w:val="none" w:sz="0" w:space="0" w:color="auto"/>
        <w:right w:val="none" w:sz="0" w:space="0" w:color="auto"/>
      </w:divBdr>
      <w:divsChild>
        <w:div w:id="770516152">
          <w:blockQuote w:val="1"/>
          <w:marLeft w:val="64"/>
          <w:marRight w:val="0"/>
          <w:marTop w:val="100"/>
          <w:marBottom w:val="100"/>
          <w:divBdr>
            <w:top w:val="none" w:sz="0" w:space="0" w:color="auto"/>
            <w:left w:val="single" w:sz="12" w:space="3" w:color="800080"/>
            <w:bottom w:val="none" w:sz="0" w:space="0" w:color="auto"/>
            <w:right w:val="none" w:sz="0" w:space="0" w:color="auto"/>
          </w:divBdr>
          <w:divsChild>
            <w:div w:id="1004629868">
              <w:blockQuote w:val="1"/>
              <w:marLeft w:val="75"/>
              <w:marRight w:val="0"/>
              <w:marTop w:val="100"/>
              <w:marBottom w:val="100"/>
              <w:divBdr>
                <w:top w:val="none" w:sz="0" w:space="0" w:color="auto"/>
                <w:left w:val="none" w:sz="0" w:space="0" w:color="auto"/>
                <w:bottom w:val="none" w:sz="0" w:space="0" w:color="auto"/>
                <w:right w:val="single" w:sz="12" w:space="0" w:color="80008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he.wikipedia.org/wiki/%D7%9E%D7%9C%D7%90%D7%9A_%D7%94%D7%9E%D7%95%D7%AA_%D7%95%D7%94%D7%A9%D7%95%D7%97%D7%98" TargetMode="External"/><Relationship Id="rId13" Type="http://schemas.openxmlformats.org/officeDocument/2006/relationships/hyperlink" Target="https://www.mayim.org.il/?holiday=%D7%A7%D7%A0%D7%99%D7%99%D7%AA-%D7%94%D7%A8-%D7%94%D7%91%D7%99%D7%AA" TargetMode="External"/><Relationship Id="rId3" Type="http://schemas.openxmlformats.org/officeDocument/2006/relationships/hyperlink" Target="https://he.wikipedia.org/wiki/%D7%97%D7%99%D7%99%D7%9D_%D7%99%D7%95%D7%A1%D7%A3_%D7%93%D7%95%D7%93_%D7%90%D7%96%D7%95%D7%9C%D7%90%D7%99" TargetMode="External"/><Relationship Id="rId7" Type="http://schemas.openxmlformats.org/officeDocument/2006/relationships/hyperlink" Target="http://forum.otzar.org/viewtopic.php?t=5015" TargetMode="External"/><Relationship Id="rId12" Type="http://schemas.openxmlformats.org/officeDocument/2006/relationships/hyperlink" Target="https://www.mayim.org.il/?parasha=%d7%9e%d7%a0%d7%99%d7%99%d7%aa-%d7%a2%d7%9d-%d7%99%d7%a9%d7%a8%d7%90%d7%9c" TargetMode="External"/><Relationship Id="rId2" Type="http://schemas.openxmlformats.org/officeDocument/2006/relationships/hyperlink" Target="https://www.mayim.org.il/?holiday=%D7%9B%D7%95%D7%9C%D7%A0%D7%95-%D7%92%D7%A8%D7%99%D7%9D" TargetMode="External"/><Relationship Id="rId1" Type="http://schemas.openxmlformats.org/officeDocument/2006/relationships/hyperlink" Target="https://www.mayim.org.il/?holiday=%D7%97%D7%92-%D7%94%D7%A7%D7%A6%D7%99%D7%A81" TargetMode="External"/><Relationship Id="rId6" Type="http://schemas.openxmlformats.org/officeDocument/2006/relationships/hyperlink" Target="https://www.mayim.org.il/?parasha=%D7%A2%D7%9C-%D7%93%D7%91%D7%A8%D7%99-%D7%A2%D7%95%D7%9C%D7%94-%D7%95%D7%96%D7%91%D7%97" TargetMode="External"/><Relationship Id="rId11" Type="http://schemas.openxmlformats.org/officeDocument/2006/relationships/hyperlink" Target="https://www.biu.ac.il/JH/Parasha/shavuot/sas.html" TargetMode="External"/><Relationship Id="rId5" Type="http://schemas.openxmlformats.org/officeDocument/2006/relationships/hyperlink" Target="https://www.mayim.org.il/?parasha=%D7%A2%D7%96%D7%94-%D7%9B%D7%9E%D7%95%D7%95%D7%AA-%D7%90%D7%94%D7%91%D7%94-%D7%A7%D7%A9%D7%94-%D7%9B%D7%A9%D7%90%D7%95%D7%9C-%D7%A7%D7%A0%D7%90%D7%94" TargetMode="External"/><Relationship Id="rId10" Type="http://schemas.openxmlformats.org/officeDocument/2006/relationships/hyperlink" Target="https://www.mayim.org.il/?parasha=%d7%97%d7%95%d7%a7%d7%a8-%d7%9c%d7%91-%d7%95%d7%91%d7%95%d7%97%d7%9f-%d7%9b%d7%9c%d7%99%d7%95%d7%aa" TargetMode="External"/><Relationship Id="rId4" Type="http://schemas.openxmlformats.org/officeDocument/2006/relationships/hyperlink" Target="https://www.mayim.org.il/?holiday=%d7%a2%d7%9c-%d7%9b%d7%9c%d7%91-%d7%97%d7%99-%d7%95%d7%90%d7%a8%d7%99-%d7%9e%d7%aa" TargetMode="External"/><Relationship Id="rId9" Type="http://schemas.openxmlformats.org/officeDocument/2006/relationships/hyperlink" Target="https://www.mayim.org.il/?holiday=%D7%A2%D7%9C-%D7%9B%D7%9C%D7%91-%D7%97%D7%99-%D7%95%D7%90%D7%A8%D7%99-%D7%9E%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ADDB-C0BA-404D-8EB1-908B2435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901</Words>
  <Characters>4509</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כולנו גרים</vt:lpstr>
      <vt:lpstr>כולנו גרים</vt:lpstr>
    </vt:vector>
  </TitlesOfParts>
  <Company>Microsoft</Company>
  <LinksUpToDate>false</LinksUpToDate>
  <CharactersWithSpaces>5400</CharactersWithSpaces>
  <SharedDoc>false</SharedDoc>
  <HLinks>
    <vt:vector size="78" baseType="variant">
      <vt:variant>
        <vt:i4>3407972</vt:i4>
      </vt:variant>
      <vt:variant>
        <vt:i4>36</vt:i4>
      </vt:variant>
      <vt:variant>
        <vt:i4>0</vt:i4>
      </vt:variant>
      <vt:variant>
        <vt:i4>5</vt:i4>
      </vt:variant>
      <vt:variant>
        <vt:lpwstr>https://www.mayim.org.il/?holiday=%D7%A7%D7%A0%D7%99%D7%99%D7%AA-%D7%94%D7%A8-%D7%94%D7%91%D7%99%D7%AA</vt:lpwstr>
      </vt:variant>
      <vt:variant>
        <vt:lpwstr/>
      </vt:variant>
      <vt:variant>
        <vt:i4>1966108</vt:i4>
      </vt:variant>
      <vt:variant>
        <vt:i4>33</vt:i4>
      </vt:variant>
      <vt:variant>
        <vt:i4>0</vt:i4>
      </vt:variant>
      <vt:variant>
        <vt:i4>5</vt:i4>
      </vt:variant>
      <vt:variant>
        <vt:lpwstr>https://www.mayim.org.il/?parasha=%d7%9e%d7%a0%d7%99%d7%99%d7%aa-%d7%a2%d7%9d-%d7%99%d7%a9%d7%a8%d7%90%d7%9c</vt:lpwstr>
      </vt:variant>
      <vt:variant>
        <vt:lpwstr/>
      </vt:variant>
      <vt:variant>
        <vt:i4>4456467</vt:i4>
      </vt:variant>
      <vt:variant>
        <vt:i4>30</vt:i4>
      </vt:variant>
      <vt:variant>
        <vt:i4>0</vt:i4>
      </vt:variant>
      <vt:variant>
        <vt:i4>5</vt:i4>
      </vt:variant>
      <vt:variant>
        <vt:lpwstr>https://www.biu.ac.il/JH/Parasha/shavuot/sas.html</vt:lpwstr>
      </vt:variant>
      <vt:variant>
        <vt:lpwstr/>
      </vt:variant>
      <vt:variant>
        <vt:i4>4587602</vt:i4>
      </vt:variant>
      <vt:variant>
        <vt:i4>27</vt:i4>
      </vt:variant>
      <vt:variant>
        <vt:i4>0</vt:i4>
      </vt:variant>
      <vt:variant>
        <vt:i4>5</vt:i4>
      </vt:variant>
      <vt:variant>
        <vt:lpwstr>https://www.mayim.org.il/?parasha=%d7%97%d7%95%d7%a7%d7%a8-%d7%9c%d7%91-%d7%95%d7%91%d7%95%d7%97%d7%9f-%d7%9b%d7%9c%d7%99%d7%95%d7%aa</vt:lpwstr>
      </vt:variant>
      <vt:variant>
        <vt:lpwstr/>
      </vt:variant>
      <vt:variant>
        <vt:i4>1245211</vt:i4>
      </vt:variant>
      <vt:variant>
        <vt:i4>24</vt:i4>
      </vt:variant>
      <vt:variant>
        <vt:i4>0</vt:i4>
      </vt:variant>
      <vt:variant>
        <vt:i4>5</vt:i4>
      </vt:variant>
      <vt:variant>
        <vt:lpwstr>https://www.mayim.org.il/?holiday=%D7%A2%D7%9C-%D7%9B%D7%9C%D7%91-%D7%97%D7%99-%D7%95%D7%90%D7%A8%D7%99-%D7%9E%D7%AA</vt:lpwstr>
      </vt:variant>
      <vt:variant>
        <vt:lpwstr/>
      </vt:variant>
      <vt:variant>
        <vt:i4>7602299</vt:i4>
      </vt:variant>
      <vt:variant>
        <vt:i4>21</vt:i4>
      </vt:variant>
      <vt:variant>
        <vt:i4>0</vt:i4>
      </vt:variant>
      <vt:variant>
        <vt:i4>5</vt:i4>
      </vt:variant>
      <vt:variant>
        <vt:lpwstr>https://he.wikipedia.org/wiki/%D7%9E%D7%9C%D7%90%D7%9A_%D7%94%D7%9E%D7%95%D7%AA_%D7%95%D7%94%D7%A9%D7%95%D7%97%D7%98</vt:lpwstr>
      </vt:variant>
      <vt:variant>
        <vt:lpwstr/>
      </vt:variant>
      <vt:variant>
        <vt:i4>3735607</vt:i4>
      </vt:variant>
      <vt:variant>
        <vt:i4>18</vt:i4>
      </vt:variant>
      <vt:variant>
        <vt:i4>0</vt:i4>
      </vt:variant>
      <vt:variant>
        <vt:i4>5</vt:i4>
      </vt:variant>
      <vt:variant>
        <vt:lpwstr>http://forum.otzar.org/viewtopic.php?t=5015</vt:lpwstr>
      </vt:variant>
      <vt:variant>
        <vt:lpwstr/>
      </vt:variant>
      <vt:variant>
        <vt:i4>4194390</vt:i4>
      </vt:variant>
      <vt:variant>
        <vt:i4>15</vt:i4>
      </vt:variant>
      <vt:variant>
        <vt:i4>0</vt:i4>
      </vt:variant>
      <vt:variant>
        <vt:i4>5</vt:i4>
      </vt:variant>
      <vt:variant>
        <vt:lpwstr>https://www.mayim.org.il/?parasha=%D7%A2%D7%9C-%D7%93%D7%91%D7%A8%D7%99-%D7%A2%D7%95%D7%9C%D7%94-%D7%95%D7%96%D7%91%D7%97</vt:lpwstr>
      </vt:variant>
      <vt:variant>
        <vt:lpwstr/>
      </vt:variant>
      <vt:variant>
        <vt:i4>6291489</vt:i4>
      </vt:variant>
      <vt:variant>
        <vt:i4>12</vt:i4>
      </vt:variant>
      <vt:variant>
        <vt:i4>0</vt:i4>
      </vt:variant>
      <vt:variant>
        <vt:i4>5</vt:i4>
      </vt:variant>
      <vt:variant>
        <vt:lpwstr>https://www.mayim.org.il/?parasha=%D7%A2%D7%96%D7%94-%D7%9B%D7%9E%D7%95%D7%95%D7%AA-%D7%90%D7%94%D7%91%D7%94-%D7%A7%D7%A9%D7%94-%D7%9B%D7%A9%D7%90%D7%95%D7%9C-%D7%A7%D7%A0%D7%90%D7%94</vt:lpwstr>
      </vt:variant>
      <vt:variant>
        <vt:lpwstr/>
      </vt:variant>
      <vt:variant>
        <vt:i4>1245211</vt:i4>
      </vt:variant>
      <vt:variant>
        <vt:i4>9</vt:i4>
      </vt:variant>
      <vt:variant>
        <vt:i4>0</vt:i4>
      </vt:variant>
      <vt:variant>
        <vt:i4>5</vt:i4>
      </vt:variant>
      <vt:variant>
        <vt:lpwstr>https://www.mayim.org.il/?holiday=%d7%a2%d7%9c-%d7%9b%d7%9c%d7%91-%d7%97%d7%99-%d7%95%d7%90%d7%a8%d7%99-%d7%9e%d7%aa</vt:lpwstr>
      </vt:variant>
      <vt:variant>
        <vt:lpwstr/>
      </vt:variant>
      <vt:variant>
        <vt:i4>6160444</vt:i4>
      </vt:variant>
      <vt:variant>
        <vt:i4>6</vt:i4>
      </vt:variant>
      <vt:variant>
        <vt:i4>0</vt:i4>
      </vt:variant>
      <vt:variant>
        <vt:i4>5</vt:i4>
      </vt:variant>
      <vt:variant>
        <vt:lpwstr>https://he.wikipedia.org/wiki/%D7%97%D7%99%D7%99%D7%9D_%D7%99%D7%95%D7%A1%D7%A3_%D7%93%D7%95%D7%93_%D7%90%D7%96%D7%95%D7%9C%D7%90%D7%99</vt:lpwstr>
      </vt:variant>
      <vt:variant>
        <vt:lpwstr/>
      </vt:variant>
      <vt:variant>
        <vt:i4>1245187</vt:i4>
      </vt:variant>
      <vt:variant>
        <vt:i4>3</vt:i4>
      </vt:variant>
      <vt:variant>
        <vt:i4>0</vt:i4>
      </vt:variant>
      <vt:variant>
        <vt:i4>5</vt:i4>
      </vt:variant>
      <vt:variant>
        <vt:lpwstr>https://www.mayim.org.il/?holiday=%D7%9B%D7%95%D7%9C%D7%A0%D7%95-%D7%92%D7%A8%D7%99%D7%9D</vt:lpwstr>
      </vt:variant>
      <vt:variant>
        <vt:lpwstr/>
      </vt:variant>
      <vt:variant>
        <vt:i4>8126518</vt:i4>
      </vt:variant>
      <vt:variant>
        <vt:i4>0</vt:i4>
      </vt:variant>
      <vt:variant>
        <vt:i4>0</vt:i4>
      </vt:variant>
      <vt:variant>
        <vt:i4>5</vt:i4>
      </vt:variant>
      <vt:variant>
        <vt:lpwstr>https://www.mayim.org.il/?holiday=%D7%97%D7%92-%D7%94%D7%A7%D7%A6%D7%99%D7%A81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כולנו גרים</dc:title>
  <dc:subject>חג השבועות</dc:subject>
  <dc:creator>Asher Yuval</dc:creator>
  <cp:keywords/>
  <cp:lastModifiedBy>Shimon Afek</cp:lastModifiedBy>
  <cp:revision>2</cp:revision>
  <cp:lastPrinted>2018-05-18T12:14:00Z</cp:lastPrinted>
  <dcterms:created xsi:type="dcterms:W3CDTF">2020-06-09T05:46:00Z</dcterms:created>
  <dcterms:modified xsi:type="dcterms:W3CDTF">2020-06-09T05:46:00Z</dcterms:modified>
</cp:coreProperties>
</file>