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F28FD9" w14:textId="77777777" w:rsidR="00C016A2" w:rsidRDefault="00F614F2" w:rsidP="00DF24B4">
      <w:pPr>
        <w:pStyle w:val="aa"/>
        <w:rPr>
          <w:rFonts w:hint="cs"/>
          <w:rtl/>
          <w:lang w:eastAsia="en-US"/>
        </w:rPr>
      </w:pPr>
      <w:r w:rsidRPr="004A5A7B">
        <w:rPr>
          <w:rtl/>
        </w:rPr>
        <w:fldChar w:fldCharType="begin"/>
      </w:r>
      <w:r w:rsidRPr="004A5A7B">
        <w:rPr>
          <w:rtl/>
        </w:rPr>
        <w:instrText xml:space="preserve"> </w:instrText>
      </w:r>
      <w:r w:rsidRPr="004A5A7B">
        <w:instrText>TITLE  \* MERGEFORMAT</w:instrText>
      </w:r>
      <w:r w:rsidRPr="004A5A7B">
        <w:rPr>
          <w:rtl/>
        </w:rPr>
        <w:instrText xml:space="preserve"> </w:instrText>
      </w:r>
      <w:r w:rsidRPr="004A5A7B">
        <w:rPr>
          <w:rtl/>
        </w:rPr>
        <w:fldChar w:fldCharType="separate"/>
      </w:r>
      <w:r w:rsidR="00434B05">
        <w:rPr>
          <w:rtl/>
        </w:rPr>
        <w:t>פרקי אבות</w:t>
      </w:r>
      <w:r w:rsidRPr="004A5A7B">
        <w:rPr>
          <w:rtl/>
        </w:rPr>
        <w:fldChar w:fldCharType="end"/>
      </w:r>
      <w:r w:rsidR="00AD0E40">
        <w:rPr>
          <w:rFonts w:hint="cs"/>
          <w:rtl/>
        </w:rPr>
        <w:t xml:space="preserve"> </w:t>
      </w:r>
      <w:r w:rsidR="00AD0E40">
        <w:rPr>
          <w:rtl/>
        </w:rPr>
        <w:t>–</w:t>
      </w:r>
      <w:r w:rsidR="00AD0E40">
        <w:rPr>
          <w:rFonts w:hint="cs"/>
          <w:rtl/>
        </w:rPr>
        <w:t xml:space="preserve"> פרק א משנה א</w:t>
      </w:r>
    </w:p>
    <w:p w14:paraId="3B8572DD" w14:textId="77777777" w:rsidR="00DF24B4" w:rsidRPr="00DF24B4" w:rsidRDefault="00DF24B4" w:rsidP="008C717A">
      <w:pPr>
        <w:pStyle w:val="ac"/>
        <w:spacing w:before="240"/>
        <w:rPr>
          <w:rFonts w:cs="Narkisim" w:hint="cs"/>
          <w:szCs w:val="22"/>
          <w:rtl/>
          <w:lang w:eastAsia="en-US"/>
        </w:rPr>
      </w:pPr>
      <w:r w:rsidRPr="00DF24B4">
        <w:rPr>
          <w:rFonts w:cs="Narkisim" w:hint="cs"/>
          <w:b/>
          <w:bCs/>
          <w:szCs w:val="22"/>
          <w:rtl/>
        </w:rPr>
        <w:t>מים ראשונים:</w:t>
      </w:r>
      <w:r w:rsidRPr="00DF24B4">
        <w:rPr>
          <w:rFonts w:cs="Narkisim" w:hint="cs"/>
          <w:szCs w:val="22"/>
          <w:rtl/>
        </w:rPr>
        <w:t xml:space="preserve"> בפרשת שמיני, היא השבת הראשונה שלאחר הפסח בשנים שאינן מעוברות (ראה </w:t>
      </w:r>
      <w:r>
        <w:rPr>
          <w:rFonts w:cs="Narkisim" w:hint="cs"/>
          <w:szCs w:val="22"/>
          <w:rtl/>
        </w:rPr>
        <w:t xml:space="preserve">שו"ע </w:t>
      </w:r>
      <w:r w:rsidRPr="00DF24B4">
        <w:rPr>
          <w:rFonts w:cs="Narkisim" w:hint="cs"/>
          <w:szCs w:val="22"/>
          <w:rtl/>
        </w:rPr>
        <w:t xml:space="preserve">אורח חיים סימן תכ"ח), מתחילים לקרוא בפרקי אבות, אחרי תפילת מנחה. לפיכך, החלטנו להקדיש את גיליון פרשת שמיני השתא לפרקי אבות. את הרעיון הזה אנו חבים לפרופ' </w:t>
      </w:r>
      <w:smartTag w:uri="urn:schemas-microsoft-com:office:smarttags" w:element="PersonName">
        <w:smartTagPr>
          <w:attr w:name="ProductID" w:val="אביגדור שנאן"/>
        </w:smartTagPr>
        <w:r w:rsidRPr="00DF24B4">
          <w:rPr>
            <w:rFonts w:cs="Narkisim" w:hint="cs"/>
            <w:szCs w:val="22"/>
            <w:rtl/>
          </w:rPr>
          <w:t>אביגדור שנאן</w:t>
        </w:r>
      </w:smartTag>
      <w:r w:rsidRPr="00DF24B4">
        <w:rPr>
          <w:rFonts w:cs="Narkisim" w:hint="cs"/>
          <w:szCs w:val="22"/>
          <w:rtl/>
        </w:rPr>
        <w:t xml:space="preserve">, שזירזנו לעשות כן, ובינתיים זכה גם להוציא את ספרו הנאה </w:t>
      </w:r>
      <w:hyperlink r:id="rId6" w:history="1">
        <w:r w:rsidRPr="00432DC9">
          <w:rPr>
            <w:rStyle w:val="Hyperlink"/>
            <w:rFonts w:cs="Narkisim" w:hint="cs"/>
            <w:szCs w:val="22"/>
            <w:rtl/>
          </w:rPr>
          <w:t xml:space="preserve">"פרקי אבות </w:t>
        </w:r>
        <w:r w:rsidRPr="00432DC9">
          <w:rPr>
            <w:rStyle w:val="Hyperlink"/>
            <w:rFonts w:cs="Narkisim"/>
            <w:szCs w:val="22"/>
            <w:rtl/>
          </w:rPr>
          <w:t>–</w:t>
        </w:r>
        <w:r w:rsidRPr="00432DC9">
          <w:rPr>
            <w:rStyle w:val="Hyperlink"/>
            <w:rFonts w:cs="Narkisim" w:hint="cs"/>
            <w:szCs w:val="22"/>
            <w:rtl/>
          </w:rPr>
          <w:t xml:space="preserve"> פירוש ישראלי חדש", הוצאת ידיעות אחרונות </w:t>
        </w:r>
        <w:r w:rsidRPr="00432DC9">
          <w:rPr>
            <w:rStyle w:val="Hyperlink"/>
            <w:rFonts w:cs="Narkisim"/>
            <w:szCs w:val="22"/>
            <w:rtl/>
          </w:rPr>
          <w:t>–</w:t>
        </w:r>
        <w:r w:rsidRPr="00432DC9">
          <w:rPr>
            <w:rStyle w:val="Hyperlink"/>
            <w:rFonts w:cs="Narkisim" w:hint="cs"/>
            <w:szCs w:val="22"/>
            <w:rtl/>
          </w:rPr>
          <w:t xml:space="preserve"> ספרי חמד</w:t>
        </w:r>
      </w:hyperlink>
      <w:r w:rsidRPr="00DF24B4">
        <w:rPr>
          <w:rFonts w:cs="Narkisim" w:hint="cs"/>
          <w:szCs w:val="22"/>
          <w:rtl/>
        </w:rPr>
        <w:t>, ירושלים תשס"ט.</w:t>
      </w:r>
    </w:p>
    <w:p w14:paraId="09946C05" w14:textId="77777777" w:rsidR="00372B17" w:rsidRDefault="00372B17" w:rsidP="003C0C63">
      <w:pPr>
        <w:pStyle w:val="ab"/>
        <w:rPr>
          <w:rtl/>
          <w:lang w:eastAsia="en-US"/>
        </w:rPr>
      </w:pPr>
      <w:r>
        <w:rPr>
          <w:rtl/>
          <w:lang w:eastAsia="en-US"/>
        </w:rPr>
        <w:t xml:space="preserve">ספר אבודרהם תפלות הפסח </w:t>
      </w:r>
    </w:p>
    <w:p w14:paraId="1E00A63A" w14:textId="77777777" w:rsidR="00FE431B" w:rsidRDefault="00372B17" w:rsidP="00372B17">
      <w:pPr>
        <w:pStyle w:val="ac"/>
        <w:rPr>
          <w:rFonts w:hint="cs"/>
          <w:rtl/>
          <w:lang w:eastAsia="en-US"/>
        </w:rPr>
      </w:pPr>
      <w:r>
        <w:rPr>
          <w:rtl/>
          <w:lang w:eastAsia="en-US"/>
        </w:rPr>
        <w:t>ונוהגין בספרד לקרות במסכת אבות ופרק קנין תורה בשבתות שבין פסח לשבועות</w:t>
      </w:r>
      <w:r w:rsidR="003C0C63">
        <w:rPr>
          <w:rFonts w:hint="cs"/>
          <w:rtl/>
          <w:lang w:eastAsia="en-US"/>
        </w:rPr>
        <w:t>,</w:t>
      </w:r>
      <w:r>
        <w:rPr>
          <w:rtl/>
          <w:lang w:eastAsia="en-US"/>
        </w:rPr>
        <w:t xml:space="preserve"> בכל שבת פרק אחד. וכתב ה"ר ישראל בן ישראל שהטעם שקורין אותם באלו השבתות</w:t>
      </w:r>
      <w:r w:rsidR="00CF3464">
        <w:rPr>
          <w:rFonts w:hint="cs"/>
          <w:rtl/>
          <w:lang w:eastAsia="en-US"/>
        </w:rPr>
        <w:t>,</w:t>
      </w:r>
      <w:r>
        <w:rPr>
          <w:rtl/>
          <w:lang w:eastAsia="en-US"/>
        </w:rPr>
        <w:t xml:space="preserve"> לפי שהם ימים מנויים למתן תורה</w:t>
      </w:r>
      <w:r w:rsidR="00CF3464">
        <w:rPr>
          <w:rFonts w:hint="cs"/>
          <w:rtl/>
          <w:lang w:eastAsia="en-US"/>
        </w:rPr>
        <w:t>.</w:t>
      </w:r>
      <w:r w:rsidR="00DF1D29">
        <w:rPr>
          <w:rStyle w:val="a5"/>
          <w:rtl/>
          <w:lang w:eastAsia="en-US"/>
        </w:rPr>
        <w:footnoteReference w:id="1"/>
      </w:r>
      <w:r>
        <w:rPr>
          <w:rtl/>
          <w:lang w:eastAsia="en-US"/>
        </w:rPr>
        <w:t xml:space="preserve"> ולכן נמנה אנחנו אלו הימים כמו האוהב שהוא ממתין ביאת אהובו מן הדרך והוא מונה הימים והלילות עד שיב</w:t>
      </w:r>
      <w:r w:rsidR="003C0C63">
        <w:rPr>
          <w:rFonts w:hint="cs"/>
          <w:rtl/>
          <w:lang w:eastAsia="en-US"/>
        </w:rPr>
        <w:t>ו</w:t>
      </w:r>
      <w:r>
        <w:rPr>
          <w:rtl/>
          <w:lang w:eastAsia="en-US"/>
        </w:rPr>
        <w:t>א</w:t>
      </w:r>
      <w:r w:rsidR="00CF3464">
        <w:rPr>
          <w:rFonts w:hint="cs"/>
          <w:rtl/>
          <w:lang w:eastAsia="en-US"/>
        </w:rPr>
        <w:t>.</w:t>
      </w:r>
      <w:r>
        <w:rPr>
          <w:rtl/>
          <w:lang w:eastAsia="en-US"/>
        </w:rPr>
        <w:t xml:space="preserve"> ורוב עניני המסכתא הם הזירוז על קריאת התורה ומעשה המצות.</w:t>
      </w:r>
      <w:r w:rsidR="007444D6">
        <w:rPr>
          <w:rStyle w:val="a5"/>
          <w:rtl/>
          <w:lang w:eastAsia="en-US"/>
        </w:rPr>
        <w:footnoteReference w:id="2"/>
      </w:r>
      <w:r>
        <w:rPr>
          <w:rtl/>
          <w:lang w:eastAsia="en-US"/>
        </w:rPr>
        <w:t xml:space="preserve"> </w:t>
      </w:r>
    </w:p>
    <w:p w14:paraId="19F5D192" w14:textId="77777777" w:rsidR="003C0C63" w:rsidRDefault="003C0C63" w:rsidP="007444D6">
      <w:pPr>
        <w:pStyle w:val="ab"/>
        <w:rPr>
          <w:rtl/>
          <w:lang w:eastAsia="en-US"/>
        </w:rPr>
      </w:pPr>
      <w:r>
        <w:rPr>
          <w:rtl/>
          <w:lang w:eastAsia="en-US"/>
        </w:rPr>
        <w:t xml:space="preserve">ספר כלבו סימן מ </w:t>
      </w:r>
    </w:p>
    <w:p w14:paraId="067580FF" w14:textId="77777777" w:rsidR="003C0C63" w:rsidRDefault="003C0C63" w:rsidP="007444D6">
      <w:pPr>
        <w:pStyle w:val="ac"/>
        <w:rPr>
          <w:rFonts w:hint="cs"/>
          <w:rtl/>
          <w:lang w:eastAsia="en-US"/>
        </w:rPr>
      </w:pPr>
      <w:r>
        <w:rPr>
          <w:rtl/>
          <w:lang w:eastAsia="en-US"/>
        </w:rPr>
        <w:t>מנהג בכל ארץ אשכנז לומר מסכת אבות בקיץ ובחורף</w:t>
      </w:r>
      <w:r w:rsidR="007444D6">
        <w:rPr>
          <w:rFonts w:hint="cs"/>
          <w:rtl/>
          <w:lang w:eastAsia="en-US"/>
        </w:rPr>
        <w:t>.</w:t>
      </w:r>
      <w:r>
        <w:rPr>
          <w:rtl/>
          <w:lang w:eastAsia="en-US"/>
        </w:rPr>
        <w:t xml:space="preserve"> ויש מקומות שאומרים אותן מפסח עד שבועות ולא עוד</w:t>
      </w:r>
      <w:r w:rsidR="007444D6">
        <w:rPr>
          <w:rFonts w:hint="cs"/>
          <w:rtl/>
          <w:lang w:eastAsia="en-US"/>
        </w:rPr>
        <w:t>.</w:t>
      </w:r>
      <w:r>
        <w:rPr>
          <w:rtl/>
          <w:lang w:eastAsia="en-US"/>
        </w:rPr>
        <w:t xml:space="preserve"> ויש מקומות שאומרים אותן משבועות ועד סוכות, ויש מקומות שאומרים אותן משבת וישמע יתרו עד שבת מסעי</w:t>
      </w:r>
      <w:r w:rsidR="007444D6">
        <w:rPr>
          <w:rFonts w:hint="cs"/>
          <w:rtl/>
          <w:lang w:eastAsia="en-US"/>
        </w:rPr>
        <w:t>.</w:t>
      </w:r>
      <w:r>
        <w:rPr>
          <w:rtl/>
          <w:lang w:eastAsia="en-US"/>
        </w:rPr>
        <w:t xml:space="preserve"> וסימן ממתן תורה ועד משנה תורה משה קבל תורה, והכל לפי המנהג</w:t>
      </w:r>
      <w:r w:rsidR="007444D6">
        <w:rPr>
          <w:rFonts w:hint="cs"/>
          <w:rtl/>
          <w:lang w:eastAsia="en-US"/>
        </w:rPr>
        <w:t>.</w:t>
      </w:r>
      <w:r>
        <w:rPr>
          <w:rtl/>
          <w:lang w:eastAsia="en-US"/>
        </w:rPr>
        <w:t xml:space="preserve"> וכל פעם ופעם מתחילין קודם הפרק כל ישראל יש להם חלק לעולם הבא </w:t>
      </w:r>
      <w:r w:rsidR="007444D6">
        <w:rPr>
          <w:rFonts w:hint="cs"/>
          <w:rtl/>
          <w:lang w:eastAsia="en-US"/>
        </w:rPr>
        <w:t xml:space="preserve">... </w:t>
      </w:r>
      <w:r>
        <w:rPr>
          <w:rtl/>
          <w:lang w:eastAsia="en-US"/>
        </w:rPr>
        <w:t>והוא ראשית פרק אחרון של מסכת סנהדרין</w:t>
      </w:r>
      <w:r w:rsidR="007444D6">
        <w:rPr>
          <w:rFonts w:hint="cs"/>
          <w:rtl/>
          <w:lang w:eastAsia="en-US"/>
        </w:rPr>
        <w:t>.</w:t>
      </w:r>
      <w:r>
        <w:rPr>
          <w:rtl/>
          <w:lang w:eastAsia="en-US"/>
        </w:rPr>
        <w:t xml:space="preserve"> ויש מקומות שאומרים שני פרקים בכל שבת ושבת, ומקומות שאין אומרים רק פרק אחד והכל לפי המנהג</w:t>
      </w:r>
      <w:r w:rsidR="007444D6">
        <w:rPr>
          <w:rFonts w:hint="cs"/>
          <w:rtl/>
          <w:lang w:eastAsia="en-US"/>
        </w:rPr>
        <w:t>.</w:t>
      </w:r>
      <w:r w:rsidR="00742F74">
        <w:rPr>
          <w:rStyle w:val="a5"/>
          <w:rtl/>
          <w:lang w:eastAsia="en-US"/>
        </w:rPr>
        <w:footnoteReference w:id="3"/>
      </w:r>
    </w:p>
    <w:p w14:paraId="64E25787" w14:textId="77777777" w:rsidR="00602F0E" w:rsidRDefault="00602F0E" w:rsidP="00602F0E">
      <w:pPr>
        <w:pStyle w:val="ab"/>
        <w:rPr>
          <w:rtl/>
          <w:lang w:eastAsia="en-US"/>
        </w:rPr>
      </w:pPr>
      <w:r>
        <w:rPr>
          <w:rtl/>
          <w:lang w:eastAsia="en-US"/>
        </w:rPr>
        <w:t xml:space="preserve">מסכת בבא קמא דף ל עמוד א </w:t>
      </w:r>
    </w:p>
    <w:p w14:paraId="5A44CC47" w14:textId="77777777" w:rsidR="00602F0E" w:rsidRDefault="00602F0E" w:rsidP="0082501C">
      <w:pPr>
        <w:pStyle w:val="ac"/>
        <w:rPr>
          <w:rFonts w:hint="cs"/>
          <w:rtl/>
          <w:lang w:eastAsia="en-US"/>
        </w:rPr>
      </w:pPr>
      <w:r>
        <w:rPr>
          <w:rtl/>
          <w:lang w:eastAsia="en-US"/>
        </w:rPr>
        <w:t>ת</w:t>
      </w:r>
      <w:r w:rsidR="0082501C">
        <w:rPr>
          <w:rFonts w:hint="cs"/>
          <w:rtl/>
          <w:lang w:eastAsia="en-US"/>
        </w:rPr>
        <w:t>נו רבנן</w:t>
      </w:r>
      <w:r>
        <w:rPr>
          <w:rtl/>
          <w:lang w:eastAsia="en-US"/>
        </w:rPr>
        <w:t>: חסידים הראשונים היו מצניעים קו</w:t>
      </w:r>
      <w:r w:rsidR="00E1284E">
        <w:rPr>
          <w:rtl/>
          <w:lang w:eastAsia="en-US"/>
        </w:rPr>
        <w:t>ֹ</w:t>
      </w:r>
      <w:r>
        <w:rPr>
          <w:rtl/>
          <w:lang w:eastAsia="en-US"/>
        </w:rPr>
        <w:t>צו</w:t>
      </w:r>
      <w:r w:rsidR="00E1284E">
        <w:rPr>
          <w:rtl/>
          <w:lang w:eastAsia="en-US"/>
        </w:rPr>
        <w:t>ֹ</w:t>
      </w:r>
      <w:r>
        <w:rPr>
          <w:rtl/>
          <w:lang w:eastAsia="en-US"/>
        </w:rPr>
        <w:t>תיהם וזכוכיותיהם בתוך שדותיהן ומעמיקים להן ג' טפחים, כדי שלא יעכב המחרישה. רב ששת שדי להו בנורא. רבא שדי להו בדגלת.</w:t>
      </w:r>
      <w:r w:rsidR="00E1284E">
        <w:rPr>
          <w:rStyle w:val="a5"/>
          <w:rtl/>
          <w:lang w:eastAsia="en-US"/>
        </w:rPr>
        <w:footnoteReference w:id="4"/>
      </w:r>
      <w:r>
        <w:rPr>
          <w:rtl/>
          <w:lang w:eastAsia="en-US"/>
        </w:rPr>
        <w:t xml:space="preserve"> אמר רב יהודה: האי מאן דבעי למהוי חסידא, לקיים מילי דנזיקין; רבא אמר: מילי דאבות; ואמרי לה: מילי דברכות.</w:t>
      </w:r>
      <w:r w:rsidR="0082501C">
        <w:rPr>
          <w:rStyle w:val="a5"/>
          <w:rtl/>
          <w:lang w:eastAsia="en-US"/>
        </w:rPr>
        <w:footnoteReference w:id="5"/>
      </w:r>
    </w:p>
    <w:p w14:paraId="1C5DB1C3" w14:textId="77777777" w:rsidR="00314C54" w:rsidRDefault="007902C7" w:rsidP="007902C7">
      <w:pPr>
        <w:pStyle w:val="ab"/>
        <w:rPr>
          <w:rFonts w:hint="cs"/>
          <w:rtl/>
          <w:lang w:eastAsia="en-US"/>
        </w:rPr>
      </w:pPr>
      <w:r>
        <w:rPr>
          <w:rFonts w:hint="cs"/>
          <w:rtl/>
          <w:lang w:eastAsia="en-US"/>
        </w:rPr>
        <w:lastRenderedPageBreak/>
        <w:t>מ</w:t>
      </w:r>
      <w:r w:rsidR="00314C54">
        <w:rPr>
          <w:rtl/>
          <w:lang w:eastAsia="en-US"/>
        </w:rPr>
        <w:t xml:space="preserve">סכת אבות פרק א </w:t>
      </w:r>
      <w:r>
        <w:rPr>
          <w:rFonts w:hint="cs"/>
          <w:rtl/>
          <w:lang w:eastAsia="en-US"/>
        </w:rPr>
        <w:t>משנה א</w:t>
      </w:r>
    </w:p>
    <w:p w14:paraId="517943E1" w14:textId="77777777" w:rsidR="00314C54" w:rsidRDefault="00314C54" w:rsidP="00314C54">
      <w:pPr>
        <w:pStyle w:val="ac"/>
        <w:rPr>
          <w:rFonts w:hint="cs"/>
          <w:rtl/>
          <w:lang w:eastAsia="en-US"/>
        </w:rPr>
      </w:pPr>
      <w:r>
        <w:rPr>
          <w:rtl/>
          <w:lang w:eastAsia="en-US"/>
        </w:rPr>
        <w:t>משה קבל תורה מסיני ומסרה ליהושע</w:t>
      </w:r>
      <w:r w:rsidR="007902C7">
        <w:rPr>
          <w:rFonts w:hint="cs"/>
          <w:rtl/>
          <w:lang w:eastAsia="en-US"/>
        </w:rPr>
        <w:t>,</w:t>
      </w:r>
      <w:r>
        <w:rPr>
          <w:rtl/>
          <w:lang w:eastAsia="en-US"/>
        </w:rPr>
        <w:t xml:space="preserve"> ויהושע לזקנים</w:t>
      </w:r>
      <w:r w:rsidR="007902C7">
        <w:rPr>
          <w:rFonts w:hint="cs"/>
          <w:rtl/>
          <w:lang w:eastAsia="en-US"/>
        </w:rPr>
        <w:t>,</w:t>
      </w:r>
      <w:r>
        <w:rPr>
          <w:rtl/>
          <w:lang w:eastAsia="en-US"/>
        </w:rPr>
        <w:t xml:space="preserve"> וזקנים לנביאים</w:t>
      </w:r>
      <w:r w:rsidR="007902C7">
        <w:rPr>
          <w:rFonts w:hint="cs"/>
          <w:rtl/>
          <w:lang w:eastAsia="en-US"/>
        </w:rPr>
        <w:t>,</w:t>
      </w:r>
      <w:r>
        <w:rPr>
          <w:rtl/>
          <w:lang w:eastAsia="en-US"/>
        </w:rPr>
        <w:t xml:space="preserve"> ונביאים מסרוה לאנשי כנסת הגדולה</w:t>
      </w:r>
      <w:r w:rsidR="007902C7">
        <w:rPr>
          <w:rFonts w:hint="cs"/>
          <w:rtl/>
          <w:lang w:eastAsia="en-US"/>
        </w:rPr>
        <w:t>.</w:t>
      </w:r>
      <w:r w:rsidR="00701480">
        <w:rPr>
          <w:rStyle w:val="a5"/>
          <w:rtl/>
          <w:lang w:eastAsia="en-US"/>
        </w:rPr>
        <w:footnoteReference w:id="6"/>
      </w:r>
      <w:r>
        <w:rPr>
          <w:rtl/>
          <w:lang w:eastAsia="en-US"/>
        </w:rPr>
        <w:t xml:space="preserve"> הם אמרו שלשה דברים</w:t>
      </w:r>
      <w:r w:rsidR="007902C7">
        <w:rPr>
          <w:rFonts w:hint="cs"/>
          <w:rtl/>
          <w:lang w:eastAsia="en-US"/>
        </w:rPr>
        <w:t>:</w:t>
      </w:r>
      <w:r>
        <w:rPr>
          <w:rtl/>
          <w:lang w:eastAsia="en-US"/>
        </w:rPr>
        <w:t xml:space="preserve"> הוו מתונים בדין והעמידו תלמידים הרבה</w:t>
      </w:r>
      <w:r w:rsidR="007902C7">
        <w:rPr>
          <w:rtl/>
          <w:lang w:eastAsia="en-US"/>
        </w:rPr>
        <w:t xml:space="preserve"> ועשו סייג לתורה</w:t>
      </w:r>
      <w:r w:rsidR="007902C7">
        <w:rPr>
          <w:rFonts w:hint="cs"/>
          <w:rtl/>
          <w:lang w:eastAsia="en-US"/>
        </w:rPr>
        <w:t>.</w:t>
      </w:r>
      <w:r w:rsidR="00701480">
        <w:rPr>
          <w:rStyle w:val="a5"/>
          <w:rtl/>
          <w:lang w:eastAsia="en-US"/>
        </w:rPr>
        <w:footnoteReference w:id="7"/>
      </w:r>
    </w:p>
    <w:p w14:paraId="342DF7DD" w14:textId="77777777" w:rsidR="00363A9B" w:rsidRPr="00363A9B" w:rsidRDefault="00363A9B" w:rsidP="00363A9B">
      <w:pPr>
        <w:pStyle w:val="ab"/>
        <w:rPr>
          <w:rFonts w:cs="Narkisim" w:hint="cs"/>
          <w:b w:val="0"/>
          <w:bCs w:val="0"/>
          <w:sz w:val="20"/>
          <w:szCs w:val="20"/>
          <w:rtl/>
        </w:rPr>
      </w:pPr>
      <w:r>
        <w:rPr>
          <w:rtl/>
          <w:lang w:eastAsia="en-US"/>
        </w:rPr>
        <w:t>אבות דרבי נתן נוסח ב פרק א</w:t>
      </w:r>
      <w:r>
        <w:rPr>
          <w:rStyle w:val="a5"/>
          <w:rtl/>
          <w:lang w:eastAsia="en-US"/>
        </w:rPr>
        <w:footnoteReference w:id="8"/>
      </w:r>
      <w:r>
        <w:rPr>
          <w:rtl/>
          <w:lang w:eastAsia="en-US"/>
        </w:rPr>
        <w:t xml:space="preserve"> </w:t>
      </w:r>
    </w:p>
    <w:p w14:paraId="628AAD0E" w14:textId="77777777" w:rsidR="003F75A7" w:rsidRDefault="00363A9B" w:rsidP="003F75A7">
      <w:pPr>
        <w:pStyle w:val="ac"/>
        <w:rPr>
          <w:rFonts w:hint="cs"/>
          <w:rtl/>
          <w:lang w:eastAsia="en-US"/>
        </w:rPr>
      </w:pPr>
      <w:r>
        <w:rPr>
          <w:rtl/>
          <w:lang w:eastAsia="en-US"/>
        </w:rPr>
        <w:t>משה קבל תורה מסיני ומסרה ליהושע ויהושע לזקנים וזקנים לשופטים ושופטים לנביאים ונביאים לחגי ולזכריה ולמלאכי חגי זכריה ומלאכי מסרו לאנשי כנסת הגדולה</w:t>
      </w:r>
      <w:r>
        <w:rPr>
          <w:rFonts w:hint="cs"/>
          <w:rtl/>
          <w:lang w:eastAsia="en-US"/>
        </w:rPr>
        <w:t>.</w:t>
      </w:r>
      <w:r>
        <w:rPr>
          <w:rtl/>
          <w:lang w:eastAsia="en-US"/>
        </w:rPr>
        <w:t xml:space="preserve"> ואנשי כ</w:t>
      </w:r>
      <w:r w:rsidR="003F75A7">
        <w:rPr>
          <w:rFonts w:hint="cs"/>
          <w:rtl/>
          <w:lang w:eastAsia="en-US"/>
        </w:rPr>
        <w:t>נסת הגדולה</w:t>
      </w:r>
      <w:r>
        <w:rPr>
          <w:rtl/>
          <w:lang w:eastAsia="en-US"/>
        </w:rPr>
        <w:t xml:space="preserve"> היו אומרים ג' דברים</w:t>
      </w:r>
      <w:r>
        <w:rPr>
          <w:rFonts w:hint="cs"/>
          <w:rtl/>
          <w:lang w:eastAsia="en-US"/>
        </w:rPr>
        <w:t>:</w:t>
      </w:r>
      <w:r>
        <w:rPr>
          <w:rtl/>
          <w:lang w:eastAsia="en-US"/>
        </w:rPr>
        <w:t xml:space="preserve"> הוו מתונין בדין והעמידו תלמידים הרבה ועשו סייג לתורה</w:t>
      </w:r>
      <w:r>
        <w:rPr>
          <w:rFonts w:hint="cs"/>
          <w:rtl/>
          <w:lang w:eastAsia="en-US"/>
        </w:rPr>
        <w:t>.</w:t>
      </w:r>
      <w:r w:rsidR="00F129CA">
        <w:rPr>
          <w:rStyle w:val="a5"/>
          <w:rtl/>
          <w:lang w:eastAsia="en-US"/>
        </w:rPr>
        <w:footnoteReference w:id="9"/>
      </w:r>
    </w:p>
    <w:p w14:paraId="7D1DCEC5" w14:textId="77777777" w:rsidR="00025C6E" w:rsidRPr="00025C6E" w:rsidRDefault="00025C6E" w:rsidP="00025C6E">
      <w:pPr>
        <w:pStyle w:val="ab"/>
        <w:rPr>
          <w:rtl/>
          <w:lang w:eastAsia="en-US"/>
        </w:rPr>
      </w:pPr>
      <w:r w:rsidRPr="00025C6E">
        <w:rPr>
          <w:rtl/>
          <w:lang w:eastAsia="en-US"/>
        </w:rPr>
        <w:t>סדר תנאים ואמוראים חלק א</w:t>
      </w:r>
      <w:r>
        <w:rPr>
          <w:rFonts w:hint="cs"/>
          <w:rtl/>
          <w:lang w:eastAsia="en-US"/>
        </w:rPr>
        <w:t xml:space="preserve"> - </w:t>
      </w:r>
      <w:r w:rsidRPr="00025C6E">
        <w:rPr>
          <w:rtl/>
          <w:lang w:eastAsia="en-US"/>
        </w:rPr>
        <w:t>סדר מקבלי התורה</w:t>
      </w:r>
    </w:p>
    <w:p w14:paraId="7B924FDA" w14:textId="77777777" w:rsidR="00025C6E" w:rsidRDefault="00025C6E" w:rsidP="00025C6E">
      <w:pPr>
        <w:pStyle w:val="ac"/>
        <w:rPr>
          <w:rFonts w:hint="cs"/>
          <w:rtl/>
          <w:lang w:eastAsia="en-US"/>
        </w:rPr>
      </w:pPr>
      <w:r w:rsidRPr="00025C6E">
        <w:rPr>
          <w:rtl/>
          <w:lang w:eastAsia="en-US"/>
        </w:rPr>
        <w:t xml:space="preserve">משה קבל תורה מסיני ומסרה ליהושע ויהושע לזקנים וזקנים לעתניאל בן קנז ועתניאל בן קנז לאהוד ואהוד לשמגר ושמגר לדבורה ודבורה לברק וברק לגדעון </w:t>
      </w:r>
      <w:r>
        <w:rPr>
          <w:rFonts w:hint="cs"/>
          <w:rtl/>
          <w:lang w:eastAsia="en-US"/>
        </w:rPr>
        <w:t xml:space="preserve">... </w:t>
      </w:r>
      <w:r w:rsidRPr="00025C6E">
        <w:rPr>
          <w:rtl/>
          <w:lang w:eastAsia="en-US"/>
        </w:rPr>
        <w:t xml:space="preserve">ואלקנה לעלי ועלי לשמואל ושמואל לנתן ונתן לגד וגד לשמעיה </w:t>
      </w:r>
      <w:r>
        <w:rPr>
          <w:rFonts w:hint="cs"/>
          <w:rtl/>
          <w:lang w:eastAsia="en-US"/>
        </w:rPr>
        <w:t>...</w:t>
      </w:r>
      <w:r w:rsidRPr="00025C6E">
        <w:rPr>
          <w:rtl/>
          <w:lang w:eastAsia="en-US"/>
        </w:rPr>
        <w:t xml:space="preserve"> ואחיה השילוני לאליהו ואליהו לאלישע </w:t>
      </w:r>
      <w:r>
        <w:rPr>
          <w:rFonts w:hint="cs"/>
          <w:rtl/>
          <w:lang w:eastAsia="en-US"/>
        </w:rPr>
        <w:t xml:space="preserve">... </w:t>
      </w:r>
      <w:r w:rsidRPr="00025C6E">
        <w:rPr>
          <w:rtl/>
          <w:lang w:eastAsia="en-US"/>
        </w:rPr>
        <w:t>וחבקוק לצפניה וצפניה לירמיה וירמיה ליחזקאל ויחזקאל לחולדה וחולדה לחגי וחגי לזכריה וזכריה לעזרא.</w:t>
      </w:r>
      <w:r>
        <w:rPr>
          <w:rStyle w:val="a5"/>
          <w:rtl/>
          <w:lang w:eastAsia="en-US"/>
        </w:rPr>
        <w:footnoteReference w:id="10"/>
      </w:r>
      <w:r w:rsidRPr="00025C6E">
        <w:rPr>
          <w:rtl/>
          <w:lang w:eastAsia="en-US"/>
        </w:rPr>
        <w:t xml:space="preserve"> </w:t>
      </w:r>
    </w:p>
    <w:p w14:paraId="370E5ACD" w14:textId="77777777" w:rsidR="00146D7C" w:rsidRDefault="00146D7C" w:rsidP="00025C6E">
      <w:pPr>
        <w:pStyle w:val="ab"/>
        <w:rPr>
          <w:rtl/>
          <w:lang w:eastAsia="en-US"/>
        </w:rPr>
      </w:pPr>
      <w:r>
        <w:rPr>
          <w:rtl/>
          <w:lang w:eastAsia="en-US"/>
        </w:rPr>
        <w:t xml:space="preserve">תלמוד ירושלמי מסכת סנהדרין פרק י </w:t>
      </w:r>
      <w:r>
        <w:rPr>
          <w:rFonts w:hint="cs"/>
          <w:rtl/>
          <w:lang w:eastAsia="en-US"/>
        </w:rPr>
        <w:t>הלכה א</w:t>
      </w:r>
      <w:r>
        <w:rPr>
          <w:rtl/>
          <w:lang w:eastAsia="en-US"/>
        </w:rPr>
        <w:t xml:space="preserve"> </w:t>
      </w:r>
    </w:p>
    <w:p w14:paraId="3CBE4702" w14:textId="77777777" w:rsidR="00146D7C" w:rsidRDefault="00146D7C" w:rsidP="00146D7C">
      <w:pPr>
        <w:pStyle w:val="ac"/>
        <w:rPr>
          <w:rFonts w:hint="cs"/>
          <w:rtl/>
          <w:lang w:eastAsia="en-US"/>
        </w:rPr>
      </w:pPr>
      <w:r>
        <w:rPr>
          <w:rFonts w:hint="cs"/>
          <w:rtl/>
          <w:lang w:eastAsia="en-US"/>
        </w:rPr>
        <w:t>"</w:t>
      </w:r>
      <w:r>
        <w:rPr>
          <w:rtl/>
          <w:lang w:eastAsia="en-US"/>
        </w:rPr>
        <w:t>דברי חכמים כדרבונות</w:t>
      </w:r>
      <w:r>
        <w:rPr>
          <w:rFonts w:hint="cs"/>
          <w:rtl/>
          <w:lang w:eastAsia="en-US"/>
        </w:rPr>
        <w:t xml:space="preserve">" (קהלת יב יא) ... </w:t>
      </w:r>
      <w:r>
        <w:rPr>
          <w:rtl/>
          <w:lang w:eastAsia="en-US"/>
        </w:rPr>
        <w:t>כדרבונות</w:t>
      </w:r>
      <w:r>
        <w:rPr>
          <w:rFonts w:hint="cs"/>
          <w:rtl/>
          <w:lang w:eastAsia="en-US"/>
        </w:rPr>
        <w:t>,</w:t>
      </w:r>
      <w:r>
        <w:rPr>
          <w:rtl/>
          <w:lang w:eastAsia="en-US"/>
        </w:rPr>
        <w:t xml:space="preserve"> ככדור הזה בין הבנות</w:t>
      </w:r>
      <w:r>
        <w:rPr>
          <w:rFonts w:hint="cs"/>
          <w:rtl/>
          <w:lang w:eastAsia="en-US"/>
        </w:rPr>
        <w:t>.</w:t>
      </w:r>
      <w:r>
        <w:rPr>
          <w:rtl/>
          <w:lang w:eastAsia="en-US"/>
        </w:rPr>
        <w:t xml:space="preserve"> מה הכדור הזה מקלטת מיד ליד וסיפה לנוח ביד אחד</w:t>
      </w:r>
      <w:r>
        <w:rPr>
          <w:rFonts w:hint="cs"/>
          <w:rtl/>
          <w:lang w:eastAsia="en-US"/>
        </w:rPr>
        <w:t>,</w:t>
      </w:r>
      <w:r>
        <w:rPr>
          <w:rtl/>
          <w:lang w:eastAsia="en-US"/>
        </w:rPr>
        <w:t xml:space="preserve"> כך משה קיבל תורה מסיני ומסרה ליהושע ויהושע לזקינים וזקיני</w:t>
      </w:r>
      <w:r>
        <w:rPr>
          <w:rFonts w:hint="cs"/>
          <w:rtl/>
          <w:lang w:eastAsia="en-US"/>
        </w:rPr>
        <w:t>ם</w:t>
      </w:r>
      <w:r>
        <w:rPr>
          <w:rtl/>
          <w:lang w:eastAsia="en-US"/>
        </w:rPr>
        <w:t xml:space="preserve"> לנביאי</w:t>
      </w:r>
      <w:r>
        <w:rPr>
          <w:rFonts w:hint="cs"/>
          <w:rtl/>
          <w:lang w:eastAsia="en-US"/>
        </w:rPr>
        <w:t>ם</w:t>
      </w:r>
      <w:r>
        <w:rPr>
          <w:rtl/>
          <w:lang w:eastAsia="en-US"/>
        </w:rPr>
        <w:t xml:space="preserve"> ונביאים מסרוה לאנשי כנסת הגדולה</w:t>
      </w:r>
      <w:r>
        <w:rPr>
          <w:rFonts w:hint="cs"/>
          <w:rtl/>
          <w:lang w:eastAsia="en-US"/>
        </w:rPr>
        <w:t>.</w:t>
      </w:r>
      <w:r>
        <w:rPr>
          <w:rStyle w:val="a5"/>
          <w:rtl/>
          <w:lang w:eastAsia="en-US"/>
        </w:rPr>
        <w:footnoteReference w:id="11"/>
      </w:r>
    </w:p>
    <w:p w14:paraId="6AB6FE14" w14:textId="77777777" w:rsidR="002C2844" w:rsidRDefault="002C2844" w:rsidP="002C2844">
      <w:pPr>
        <w:pStyle w:val="ab"/>
        <w:rPr>
          <w:rtl/>
          <w:lang w:eastAsia="en-US"/>
        </w:rPr>
      </w:pPr>
      <w:r>
        <w:rPr>
          <w:rtl/>
          <w:lang w:eastAsia="en-US"/>
        </w:rPr>
        <w:lastRenderedPageBreak/>
        <w:t xml:space="preserve">מדרש תנאים לדברים פרק לא </w:t>
      </w:r>
    </w:p>
    <w:p w14:paraId="093E23C1" w14:textId="77777777" w:rsidR="002C2844" w:rsidRDefault="002C2844" w:rsidP="002C2844">
      <w:pPr>
        <w:pStyle w:val="ac"/>
        <w:rPr>
          <w:rFonts w:hint="cs"/>
          <w:rtl/>
          <w:lang w:eastAsia="en-US"/>
        </w:rPr>
      </w:pPr>
      <w:r>
        <w:rPr>
          <w:rFonts w:hint="cs"/>
          <w:rtl/>
          <w:lang w:eastAsia="en-US"/>
        </w:rPr>
        <w:t>"</w:t>
      </w:r>
      <w:r>
        <w:rPr>
          <w:rtl/>
          <w:lang w:eastAsia="en-US"/>
        </w:rPr>
        <w:t>קרא את יהושע</w:t>
      </w:r>
      <w:r>
        <w:rPr>
          <w:rFonts w:hint="cs"/>
          <w:rtl/>
          <w:lang w:eastAsia="en-US"/>
        </w:rPr>
        <w:t>" (דברים לא יד),</w:t>
      </w:r>
      <w:r>
        <w:rPr>
          <w:rtl/>
          <w:lang w:eastAsia="en-US"/>
        </w:rPr>
        <w:t xml:space="preserve"> אמ</w:t>
      </w:r>
      <w:r>
        <w:rPr>
          <w:rFonts w:hint="cs"/>
          <w:rtl/>
          <w:lang w:eastAsia="en-US"/>
        </w:rPr>
        <w:t>ר</w:t>
      </w:r>
      <w:r>
        <w:rPr>
          <w:rtl/>
          <w:lang w:eastAsia="en-US"/>
        </w:rPr>
        <w:t xml:space="preserve"> לו הקב"ה למשה</w:t>
      </w:r>
      <w:r>
        <w:rPr>
          <w:rFonts w:hint="cs"/>
          <w:rtl/>
          <w:lang w:eastAsia="en-US"/>
        </w:rPr>
        <w:t>:</w:t>
      </w:r>
      <w:r>
        <w:rPr>
          <w:rtl/>
          <w:lang w:eastAsia="en-US"/>
        </w:rPr>
        <w:t xml:space="preserve"> תן לו ליהושע תורגמן ויהא שואל ודורש ומורה הוריות בחייך</w:t>
      </w:r>
      <w:r>
        <w:rPr>
          <w:rFonts w:hint="cs"/>
          <w:rtl/>
          <w:lang w:eastAsia="en-US"/>
        </w:rPr>
        <w:t>.</w:t>
      </w:r>
      <w:r>
        <w:rPr>
          <w:rtl/>
          <w:lang w:eastAsia="en-US"/>
        </w:rPr>
        <w:t xml:space="preserve"> שכשתיפטר מן העולם לא יהו אומ</w:t>
      </w:r>
      <w:r>
        <w:rPr>
          <w:rFonts w:hint="cs"/>
          <w:rtl/>
          <w:lang w:eastAsia="en-US"/>
        </w:rPr>
        <w:t>רים</w:t>
      </w:r>
      <w:r>
        <w:rPr>
          <w:rtl/>
          <w:lang w:eastAsia="en-US"/>
        </w:rPr>
        <w:t xml:space="preserve"> לו</w:t>
      </w:r>
      <w:r>
        <w:rPr>
          <w:rStyle w:val="a5"/>
          <w:rtl/>
          <w:lang w:eastAsia="en-US"/>
        </w:rPr>
        <w:footnoteReference w:id="12"/>
      </w:r>
      <w:r>
        <w:rPr>
          <w:rFonts w:hint="cs"/>
          <w:rtl/>
          <w:lang w:eastAsia="en-US"/>
        </w:rPr>
        <w:t>:</w:t>
      </w:r>
      <w:r>
        <w:rPr>
          <w:rtl/>
          <w:lang w:eastAsia="en-US"/>
        </w:rPr>
        <w:t xml:space="preserve"> בחיי רבך לא היית מדבר</w:t>
      </w:r>
      <w:r>
        <w:rPr>
          <w:rFonts w:hint="cs"/>
          <w:rtl/>
          <w:lang w:eastAsia="en-US"/>
        </w:rPr>
        <w:t>,</w:t>
      </w:r>
      <w:r>
        <w:rPr>
          <w:rtl/>
          <w:lang w:eastAsia="en-US"/>
        </w:rPr>
        <w:t xml:space="preserve"> ועכשיו אתה מדבר</w:t>
      </w:r>
      <w:r>
        <w:rPr>
          <w:rFonts w:hint="cs"/>
          <w:rtl/>
          <w:lang w:eastAsia="en-US"/>
        </w:rPr>
        <w:t>!</w:t>
      </w:r>
      <w:r>
        <w:rPr>
          <w:rtl/>
          <w:lang w:eastAsia="en-US"/>
        </w:rPr>
        <w:t xml:space="preserve"> ויש אומ</w:t>
      </w:r>
      <w:r>
        <w:rPr>
          <w:rFonts w:hint="cs"/>
          <w:rtl/>
          <w:lang w:eastAsia="en-US"/>
        </w:rPr>
        <w:t xml:space="preserve">רים: </w:t>
      </w:r>
      <w:r>
        <w:rPr>
          <w:rtl/>
          <w:lang w:eastAsia="en-US"/>
        </w:rPr>
        <w:t>העמידו מן הארץ והושיבו בין ברכיו והיו משה וישראל מגביהין ראשיהן לשמוע דברי יהושע</w:t>
      </w:r>
      <w:r>
        <w:rPr>
          <w:rFonts w:hint="cs"/>
          <w:rtl/>
          <w:lang w:eastAsia="en-US"/>
        </w:rPr>
        <w:t>.</w:t>
      </w:r>
      <w:r>
        <w:rPr>
          <w:rtl/>
          <w:lang w:eastAsia="en-US"/>
        </w:rPr>
        <w:t xml:space="preserve"> מה היה אומ</w:t>
      </w:r>
      <w:r>
        <w:rPr>
          <w:rFonts w:hint="cs"/>
          <w:rtl/>
          <w:lang w:eastAsia="en-US"/>
        </w:rPr>
        <w:t>ר:</w:t>
      </w:r>
      <w:r>
        <w:rPr>
          <w:rtl/>
          <w:lang w:eastAsia="en-US"/>
        </w:rPr>
        <w:t xml:space="preserve"> ברוך שנתן תורה על ידי משה רבינו</w:t>
      </w:r>
      <w:r>
        <w:rPr>
          <w:rFonts w:hint="cs"/>
          <w:rtl/>
          <w:lang w:eastAsia="en-US"/>
        </w:rPr>
        <w:t>.</w:t>
      </w:r>
      <w:r>
        <w:rPr>
          <w:rtl/>
          <w:lang w:eastAsia="en-US"/>
        </w:rPr>
        <w:t xml:space="preserve"> כך היו דבריו של יהושע</w:t>
      </w:r>
      <w:r>
        <w:rPr>
          <w:rFonts w:hint="cs"/>
          <w:rtl/>
          <w:lang w:eastAsia="en-US"/>
        </w:rPr>
        <w:t xml:space="preserve"> ... "</w:t>
      </w:r>
      <w:r>
        <w:rPr>
          <w:rtl/>
          <w:lang w:eastAsia="en-US"/>
        </w:rPr>
        <w:t>וילך משה ויהושע</w:t>
      </w:r>
      <w:r>
        <w:rPr>
          <w:rFonts w:hint="cs"/>
          <w:rtl/>
          <w:lang w:eastAsia="en-US"/>
        </w:rPr>
        <w:t>" (דברים שם)</w:t>
      </w:r>
      <w:r>
        <w:rPr>
          <w:rStyle w:val="a5"/>
          <w:rtl/>
          <w:lang w:eastAsia="en-US"/>
        </w:rPr>
        <w:footnoteReference w:id="13"/>
      </w:r>
      <w:r>
        <w:rPr>
          <w:rFonts w:hint="cs"/>
          <w:rtl/>
          <w:lang w:eastAsia="en-US"/>
        </w:rPr>
        <w:t xml:space="preserve"> -</w:t>
      </w:r>
      <w:r>
        <w:rPr>
          <w:rtl/>
          <w:lang w:eastAsia="en-US"/>
        </w:rPr>
        <w:t xml:space="preserve"> מלמד שהיה משה שמח בגדולתו של יהושע</w:t>
      </w:r>
      <w:r>
        <w:rPr>
          <w:rFonts w:hint="cs"/>
          <w:rtl/>
          <w:lang w:eastAsia="en-US"/>
        </w:rPr>
        <w:t>.</w:t>
      </w:r>
      <w:r>
        <w:rPr>
          <w:rStyle w:val="a5"/>
          <w:rtl/>
          <w:lang w:eastAsia="en-US"/>
        </w:rPr>
        <w:footnoteReference w:id="14"/>
      </w:r>
    </w:p>
    <w:p w14:paraId="2FEE5877" w14:textId="77777777" w:rsidR="002C2844" w:rsidRDefault="002C2844" w:rsidP="002C2844">
      <w:pPr>
        <w:pStyle w:val="ab"/>
        <w:rPr>
          <w:rtl/>
          <w:lang w:eastAsia="en-US"/>
        </w:rPr>
      </w:pPr>
      <w:r>
        <w:rPr>
          <w:rtl/>
          <w:lang w:eastAsia="en-US"/>
        </w:rPr>
        <w:t xml:space="preserve">מסכת עירובין דף נד עמוד ב </w:t>
      </w:r>
    </w:p>
    <w:p w14:paraId="65C48D4B" w14:textId="77777777" w:rsidR="002C2844" w:rsidRDefault="002C2844" w:rsidP="00CE66D1">
      <w:pPr>
        <w:pStyle w:val="ac"/>
        <w:rPr>
          <w:rFonts w:hint="cs"/>
          <w:rtl/>
          <w:lang w:eastAsia="en-US"/>
        </w:rPr>
      </w:pPr>
      <w:r>
        <w:rPr>
          <w:rtl/>
          <w:lang w:eastAsia="en-US"/>
        </w:rPr>
        <w:t>תנו רבנן</w:t>
      </w:r>
      <w:r w:rsidR="00CE66D1">
        <w:rPr>
          <w:rFonts w:hint="cs"/>
          <w:rtl/>
          <w:lang w:eastAsia="en-US"/>
        </w:rPr>
        <w:t>:</w:t>
      </w:r>
      <w:r>
        <w:rPr>
          <w:rtl/>
          <w:lang w:eastAsia="en-US"/>
        </w:rPr>
        <w:t xml:space="preserve"> כיצד סדר משנה? משה למד מפי הגבורה</w:t>
      </w:r>
      <w:r w:rsidR="00CE66D1">
        <w:rPr>
          <w:rFonts w:hint="cs"/>
          <w:rtl/>
          <w:lang w:eastAsia="en-US"/>
        </w:rPr>
        <w:t>.</w:t>
      </w:r>
      <w:r>
        <w:rPr>
          <w:rtl/>
          <w:lang w:eastAsia="en-US"/>
        </w:rPr>
        <w:t xml:space="preserve"> נכנס אהרן ושנה לו משה פירקו. נסתלק אהרן וישב לשמאל משה. נכנסו בניו ושנה להן משה פירקן</w:t>
      </w:r>
      <w:r w:rsidR="00CE66D1">
        <w:rPr>
          <w:rFonts w:hint="cs"/>
          <w:rtl/>
          <w:lang w:eastAsia="en-US"/>
        </w:rPr>
        <w:t>.</w:t>
      </w:r>
      <w:r>
        <w:rPr>
          <w:rtl/>
          <w:lang w:eastAsia="en-US"/>
        </w:rPr>
        <w:t xml:space="preserve"> נסתלקו בניו, אלעזר ישב לימין משה ואיתמר לשמאל אהרן</w:t>
      </w:r>
      <w:r w:rsidR="00CE66D1">
        <w:rPr>
          <w:rFonts w:hint="cs"/>
          <w:rtl/>
          <w:lang w:eastAsia="en-US"/>
        </w:rPr>
        <w:t xml:space="preserve"> ...</w:t>
      </w:r>
      <w:r w:rsidR="00CE66D1">
        <w:rPr>
          <w:rtl/>
          <w:lang w:eastAsia="en-US"/>
        </w:rPr>
        <w:t xml:space="preserve"> נכנסו זקנים ושנה להן משה פירקן</w:t>
      </w:r>
      <w:r w:rsidR="00CE66D1">
        <w:rPr>
          <w:rFonts w:hint="cs"/>
          <w:rtl/>
          <w:lang w:eastAsia="en-US"/>
        </w:rPr>
        <w:t>.</w:t>
      </w:r>
      <w:r>
        <w:rPr>
          <w:rtl/>
          <w:lang w:eastAsia="en-US"/>
        </w:rPr>
        <w:t xml:space="preserve"> נסתלקו זקנים, נכנסו כל העם ושנה להן משה פירקן. נמצאו ביד אהרן ארבעה, ביד בניו שלשה, וביד הזקנים שנים, וביד כל העם אחד. נסתלק משה, ושנה להן אהרן פירקו. נסתלק אהרן שנו להן בניו פירקן. נסתלקו בניו, שנו להן זקנים פירקן. נמצא ביד הכל ארבעה. מכאן אמר רבי אליעזר: חייב אדם לשנות לתלמידו ארבעה פעמים.</w:t>
      </w:r>
      <w:r w:rsidR="00B762A8">
        <w:rPr>
          <w:rStyle w:val="a5"/>
          <w:rtl/>
          <w:lang w:eastAsia="en-US"/>
        </w:rPr>
        <w:footnoteReference w:id="15"/>
      </w:r>
    </w:p>
    <w:p w14:paraId="406D5BB3" w14:textId="77777777" w:rsidR="005D7ADF" w:rsidRDefault="005D7ADF" w:rsidP="005D7ADF">
      <w:pPr>
        <w:pStyle w:val="ab"/>
        <w:rPr>
          <w:rtl/>
          <w:lang w:eastAsia="en-US"/>
        </w:rPr>
      </w:pPr>
      <w:r>
        <w:rPr>
          <w:rtl/>
          <w:lang w:eastAsia="en-US"/>
        </w:rPr>
        <w:t xml:space="preserve">אבות דרבי נתן נוסח א פרק א </w:t>
      </w:r>
    </w:p>
    <w:p w14:paraId="3E63B99E" w14:textId="77777777" w:rsidR="00005E44" w:rsidRDefault="005D7ADF" w:rsidP="00B762A8">
      <w:pPr>
        <w:pStyle w:val="ac"/>
        <w:rPr>
          <w:rFonts w:hint="cs"/>
          <w:rtl/>
          <w:lang w:eastAsia="en-US"/>
        </w:rPr>
      </w:pPr>
      <w:r>
        <w:rPr>
          <w:rFonts w:hint="cs"/>
          <w:rtl/>
          <w:lang w:eastAsia="en-US"/>
        </w:rPr>
        <w:t>"</w:t>
      </w:r>
      <w:r>
        <w:rPr>
          <w:rtl/>
          <w:lang w:eastAsia="en-US"/>
        </w:rPr>
        <w:t>הוו מתונים בדין</w:t>
      </w:r>
      <w:r>
        <w:rPr>
          <w:rFonts w:hint="cs"/>
          <w:rtl/>
          <w:lang w:eastAsia="en-US"/>
        </w:rPr>
        <w:t>",</w:t>
      </w:r>
      <w:r>
        <w:rPr>
          <w:rtl/>
          <w:lang w:eastAsia="en-US"/>
        </w:rPr>
        <w:t xml:space="preserve"> כיצד</w:t>
      </w:r>
      <w:r>
        <w:rPr>
          <w:rFonts w:hint="cs"/>
          <w:rtl/>
          <w:lang w:eastAsia="en-US"/>
        </w:rPr>
        <w:t>?</w:t>
      </w:r>
      <w:r>
        <w:rPr>
          <w:rtl/>
          <w:lang w:eastAsia="en-US"/>
        </w:rPr>
        <w:t xml:space="preserve"> מלמד שיהא אדם ממתין בדין</w:t>
      </w:r>
      <w:r>
        <w:rPr>
          <w:rFonts w:hint="cs"/>
          <w:rtl/>
          <w:lang w:eastAsia="en-US"/>
        </w:rPr>
        <w:t>,</w:t>
      </w:r>
      <w:r>
        <w:rPr>
          <w:rtl/>
          <w:lang w:eastAsia="en-US"/>
        </w:rPr>
        <w:t xml:space="preserve"> שכל הממתין בדין מיושב בדין</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גם אלה משלי שלמה אשר העתיקו אנשי חזקיה מלך יהודה</w:t>
      </w:r>
      <w:r>
        <w:rPr>
          <w:rFonts w:hint="cs"/>
          <w:rtl/>
          <w:lang w:eastAsia="en-US"/>
        </w:rPr>
        <w:t>"</w:t>
      </w:r>
      <w:r>
        <w:rPr>
          <w:rtl/>
          <w:lang w:eastAsia="en-US"/>
        </w:rPr>
        <w:t xml:space="preserve"> (משלי כ</w:t>
      </w:r>
      <w:r w:rsidR="00B762A8">
        <w:rPr>
          <w:rtl/>
          <w:lang w:eastAsia="en-US"/>
        </w:rPr>
        <w:t>ה א</w:t>
      </w:r>
      <w:r>
        <w:rPr>
          <w:rtl/>
          <w:lang w:eastAsia="en-US"/>
        </w:rPr>
        <w:t>)</w:t>
      </w:r>
      <w:r>
        <w:rPr>
          <w:rFonts w:hint="cs"/>
          <w:rtl/>
          <w:lang w:eastAsia="en-US"/>
        </w:rPr>
        <w:t>,</w:t>
      </w:r>
      <w:r>
        <w:rPr>
          <w:rtl/>
          <w:lang w:eastAsia="en-US"/>
        </w:rPr>
        <w:t xml:space="preserve"> ולא שהעתיקו אלא שהמתינו</w:t>
      </w:r>
      <w:r>
        <w:rPr>
          <w:rFonts w:hint="cs"/>
          <w:rtl/>
          <w:lang w:eastAsia="en-US"/>
        </w:rPr>
        <w:t>.</w:t>
      </w:r>
      <w:r>
        <w:rPr>
          <w:rtl/>
          <w:lang w:eastAsia="en-US"/>
        </w:rPr>
        <w:t xml:space="preserve"> אבא שאול אומר</w:t>
      </w:r>
      <w:r>
        <w:rPr>
          <w:rFonts w:hint="cs"/>
          <w:rtl/>
          <w:lang w:eastAsia="en-US"/>
        </w:rPr>
        <w:t>:</w:t>
      </w:r>
      <w:r>
        <w:rPr>
          <w:rtl/>
          <w:lang w:eastAsia="en-US"/>
        </w:rPr>
        <w:t xml:space="preserve"> לא שהמתינו</w:t>
      </w:r>
      <w:r>
        <w:rPr>
          <w:rFonts w:hint="cs"/>
          <w:rtl/>
          <w:lang w:eastAsia="en-US"/>
        </w:rPr>
        <w:t>,</w:t>
      </w:r>
      <w:r>
        <w:rPr>
          <w:rtl/>
          <w:lang w:eastAsia="en-US"/>
        </w:rPr>
        <w:t xml:space="preserve"> אלא שפירשו</w:t>
      </w:r>
      <w:r>
        <w:rPr>
          <w:rFonts w:hint="cs"/>
          <w:rtl/>
          <w:lang w:eastAsia="en-US"/>
        </w:rPr>
        <w:t>.</w:t>
      </w:r>
      <w:r>
        <w:rPr>
          <w:rtl/>
          <w:lang w:eastAsia="en-US"/>
        </w:rPr>
        <w:t xml:space="preserve"> בראשונה היו אומרים</w:t>
      </w:r>
      <w:r>
        <w:rPr>
          <w:rFonts w:hint="cs"/>
          <w:rtl/>
          <w:lang w:eastAsia="en-US"/>
        </w:rPr>
        <w:t>:</w:t>
      </w:r>
      <w:r>
        <w:rPr>
          <w:rtl/>
          <w:lang w:eastAsia="en-US"/>
        </w:rPr>
        <w:t xml:space="preserve"> משלי ושיר השירים וקהלת גנוזים היו</w:t>
      </w:r>
      <w:r>
        <w:rPr>
          <w:rFonts w:hint="cs"/>
          <w:rtl/>
          <w:lang w:eastAsia="en-US"/>
        </w:rPr>
        <w:t>,</w:t>
      </w:r>
      <w:r>
        <w:rPr>
          <w:rtl/>
          <w:lang w:eastAsia="en-US"/>
        </w:rPr>
        <w:t xml:space="preserve"> שהם היו אומרים</w:t>
      </w:r>
      <w:r>
        <w:rPr>
          <w:rFonts w:hint="cs"/>
          <w:rtl/>
          <w:lang w:eastAsia="en-US"/>
        </w:rPr>
        <w:t>:</w:t>
      </w:r>
      <w:r>
        <w:rPr>
          <w:rtl/>
          <w:lang w:eastAsia="en-US"/>
        </w:rPr>
        <w:t xml:space="preserve"> משלות </w:t>
      </w:r>
      <w:r>
        <w:rPr>
          <w:rFonts w:hint="cs"/>
          <w:rtl/>
          <w:lang w:eastAsia="en-US"/>
        </w:rPr>
        <w:t xml:space="preserve">(הם) </w:t>
      </w:r>
      <w:r>
        <w:rPr>
          <w:rtl/>
          <w:lang w:eastAsia="en-US"/>
        </w:rPr>
        <w:t>ואינן מן הכתובים</w:t>
      </w:r>
      <w:r>
        <w:rPr>
          <w:rFonts w:hint="cs"/>
          <w:rtl/>
          <w:lang w:eastAsia="en-US"/>
        </w:rPr>
        <w:t>.</w:t>
      </w:r>
      <w:r>
        <w:rPr>
          <w:rtl/>
          <w:lang w:eastAsia="en-US"/>
        </w:rPr>
        <w:t xml:space="preserve"> ועמדו וגנזו אותם עד שבאו אנשי כנסת הגדולה ופירשו אותם</w:t>
      </w:r>
      <w:r>
        <w:rPr>
          <w:rFonts w:hint="cs"/>
          <w:rtl/>
          <w:lang w:eastAsia="en-US"/>
        </w:rPr>
        <w:t>.</w:t>
      </w:r>
      <w:r w:rsidR="0015703D">
        <w:rPr>
          <w:rStyle w:val="a5"/>
          <w:rtl/>
          <w:lang w:eastAsia="en-US"/>
        </w:rPr>
        <w:footnoteReference w:id="16"/>
      </w:r>
    </w:p>
    <w:p w14:paraId="12D4C934" w14:textId="77777777" w:rsidR="0015703D" w:rsidRPr="0015703D" w:rsidRDefault="0015703D" w:rsidP="002C2844">
      <w:pPr>
        <w:pStyle w:val="ab"/>
        <w:rPr>
          <w:rtl/>
          <w:lang w:eastAsia="en-US"/>
        </w:rPr>
      </w:pPr>
      <w:r w:rsidRPr="0015703D">
        <w:rPr>
          <w:rtl/>
          <w:lang w:eastAsia="en-US"/>
        </w:rPr>
        <w:lastRenderedPageBreak/>
        <w:t xml:space="preserve">אבות דרבי נתן נוסחא א פרק ג </w:t>
      </w:r>
    </w:p>
    <w:p w14:paraId="08378B76" w14:textId="77777777" w:rsidR="000343D4" w:rsidRDefault="00EA6C58" w:rsidP="002C2844">
      <w:pPr>
        <w:pStyle w:val="ac"/>
        <w:rPr>
          <w:rFonts w:hint="cs"/>
          <w:rtl/>
          <w:lang w:eastAsia="en-US"/>
        </w:rPr>
      </w:pPr>
      <w:r>
        <w:rPr>
          <w:rFonts w:hint="cs"/>
          <w:rtl/>
          <w:lang w:eastAsia="en-US"/>
        </w:rPr>
        <w:t>"</w:t>
      </w:r>
      <w:r w:rsidR="0015703D" w:rsidRPr="0015703D">
        <w:rPr>
          <w:rtl/>
          <w:lang w:eastAsia="en-US"/>
        </w:rPr>
        <w:t>והעמידו תלמידים הרבה</w:t>
      </w:r>
      <w:r>
        <w:rPr>
          <w:rFonts w:hint="cs"/>
          <w:rtl/>
          <w:lang w:eastAsia="en-US"/>
        </w:rPr>
        <w:t xml:space="preserve">", </w:t>
      </w:r>
      <w:r w:rsidR="0015703D" w:rsidRPr="0015703D">
        <w:rPr>
          <w:rtl/>
          <w:lang w:eastAsia="en-US"/>
        </w:rPr>
        <w:t>שבית שמאי אומרים</w:t>
      </w:r>
      <w:r>
        <w:rPr>
          <w:rFonts w:hint="cs"/>
          <w:rtl/>
          <w:lang w:eastAsia="en-US"/>
        </w:rPr>
        <w:t>:</w:t>
      </w:r>
      <w:r w:rsidR="0015703D" w:rsidRPr="0015703D">
        <w:rPr>
          <w:rtl/>
          <w:lang w:eastAsia="en-US"/>
        </w:rPr>
        <w:t xml:space="preserve"> אל י</w:t>
      </w:r>
      <w:r>
        <w:rPr>
          <w:rtl/>
          <w:lang w:eastAsia="en-US"/>
        </w:rPr>
        <w:t>ְ</w:t>
      </w:r>
      <w:r w:rsidR="0015703D" w:rsidRPr="0015703D">
        <w:rPr>
          <w:rtl/>
          <w:lang w:eastAsia="en-US"/>
        </w:rPr>
        <w:t>ש</w:t>
      </w:r>
      <w:r>
        <w:rPr>
          <w:rtl/>
          <w:lang w:eastAsia="en-US"/>
        </w:rPr>
        <w:t>ָׁ</w:t>
      </w:r>
      <w:r w:rsidR="0015703D" w:rsidRPr="0015703D">
        <w:rPr>
          <w:rtl/>
          <w:lang w:eastAsia="en-US"/>
        </w:rPr>
        <w:t>נ</w:t>
      </w:r>
      <w:r>
        <w:rPr>
          <w:rtl/>
          <w:lang w:eastAsia="en-US"/>
        </w:rPr>
        <w:t>ֶ</w:t>
      </w:r>
      <w:r w:rsidR="0015703D" w:rsidRPr="0015703D">
        <w:rPr>
          <w:rtl/>
          <w:lang w:eastAsia="en-US"/>
        </w:rPr>
        <w:t>ה אדם</w:t>
      </w:r>
      <w:r>
        <w:rPr>
          <w:rFonts w:hint="cs"/>
          <w:rtl/>
          <w:lang w:eastAsia="en-US"/>
        </w:rPr>
        <w:t>,</w:t>
      </w:r>
      <w:r w:rsidR="0015703D" w:rsidRPr="0015703D">
        <w:rPr>
          <w:rtl/>
          <w:lang w:eastAsia="en-US"/>
        </w:rPr>
        <w:t xml:space="preserve"> אלא למי שהוא חכם ועניו ובן אבות ועשיר</w:t>
      </w:r>
      <w:r>
        <w:rPr>
          <w:rFonts w:hint="cs"/>
          <w:rtl/>
          <w:lang w:eastAsia="en-US"/>
        </w:rPr>
        <w:t>.</w:t>
      </w:r>
      <w:r w:rsidR="0015703D" w:rsidRPr="0015703D">
        <w:rPr>
          <w:rtl/>
          <w:lang w:eastAsia="en-US"/>
        </w:rPr>
        <w:t xml:space="preserve"> ובית הלל אומרים</w:t>
      </w:r>
      <w:r>
        <w:rPr>
          <w:rFonts w:hint="cs"/>
          <w:rtl/>
          <w:lang w:eastAsia="en-US"/>
        </w:rPr>
        <w:t>:</w:t>
      </w:r>
      <w:r w:rsidR="0015703D" w:rsidRPr="0015703D">
        <w:rPr>
          <w:rtl/>
          <w:lang w:eastAsia="en-US"/>
        </w:rPr>
        <w:t xml:space="preserve"> לכל אדם ישנה</w:t>
      </w:r>
      <w:r>
        <w:rPr>
          <w:rFonts w:hint="cs"/>
          <w:rtl/>
          <w:lang w:eastAsia="en-US"/>
        </w:rPr>
        <w:t>,</w:t>
      </w:r>
      <w:r w:rsidR="0015703D" w:rsidRPr="0015703D">
        <w:rPr>
          <w:rtl/>
          <w:lang w:eastAsia="en-US"/>
        </w:rPr>
        <w:t xml:space="preserve"> שהרבה פושעים היו בהם בישראל ונתקרבו לתלמוד תורה ויצאו מהם צדיקים חסידים וכשרים</w:t>
      </w:r>
      <w:r>
        <w:rPr>
          <w:rFonts w:hint="cs"/>
          <w:rtl/>
          <w:lang w:eastAsia="en-US"/>
        </w:rPr>
        <w:t>.</w:t>
      </w:r>
      <w:r w:rsidR="003F254B">
        <w:rPr>
          <w:rStyle w:val="a5"/>
          <w:rtl/>
          <w:lang w:eastAsia="en-US"/>
        </w:rPr>
        <w:footnoteReference w:id="17"/>
      </w:r>
    </w:p>
    <w:p w14:paraId="55EDF0DA" w14:textId="77777777" w:rsidR="003F254B" w:rsidRDefault="003F254B" w:rsidP="003F254B">
      <w:pPr>
        <w:pStyle w:val="ab"/>
        <w:rPr>
          <w:rtl/>
          <w:lang w:eastAsia="en-US"/>
        </w:rPr>
      </w:pPr>
      <w:r>
        <w:rPr>
          <w:rtl/>
          <w:lang w:eastAsia="en-US"/>
        </w:rPr>
        <w:t xml:space="preserve">בית הבחירה למאירי מסכת סנהדרין דף ז עמוד ב </w:t>
      </w:r>
    </w:p>
    <w:p w14:paraId="243DC3DF" w14:textId="77777777" w:rsidR="003F254B" w:rsidRDefault="003F254B" w:rsidP="00FE25BA">
      <w:pPr>
        <w:pStyle w:val="ac"/>
        <w:rPr>
          <w:rFonts w:hint="cs"/>
          <w:rtl/>
          <w:lang w:eastAsia="en-US"/>
        </w:rPr>
      </w:pPr>
      <w:r>
        <w:rPr>
          <w:rtl/>
          <w:lang w:eastAsia="en-US"/>
        </w:rPr>
        <w:t>אע"פ שגדול שבדיינין נענש ביותר</w:t>
      </w:r>
      <w:r>
        <w:rPr>
          <w:rFonts w:hint="cs"/>
          <w:rtl/>
          <w:lang w:eastAsia="en-US"/>
        </w:rPr>
        <w:t>,</w:t>
      </w:r>
      <w:r>
        <w:rPr>
          <w:rtl/>
          <w:lang w:eastAsia="en-US"/>
        </w:rPr>
        <w:t xml:space="preserve"> כל הבית דין בעונש עוון הטיית הדין</w:t>
      </w:r>
      <w:r>
        <w:rPr>
          <w:rFonts w:hint="cs"/>
          <w:rtl/>
          <w:lang w:eastAsia="en-US"/>
        </w:rPr>
        <w:t>.</w:t>
      </w:r>
      <w:r>
        <w:rPr>
          <w:rtl/>
          <w:lang w:eastAsia="en-US"/>
        </w:rPr>
        <w:t xml:space="preserve"> ולא עוד</w:t>
      </w:r>
      <w:r>
        <w:rPr>
          <w:rFonts w:hint="cs"/>
          <w:rtl/>
          <w:lang w:eastAsia="en-US"/>
        </w:rPr>
        <w:t>,</w:t>
      </w:r>
      <w:r>
        <w:rPr>
          <w:rtl/>
          <w:lang w:eastAsia="en-US"/>
        </w:rPr>
        <w:t xml:space="preserve"> אלא אפילו היו שם אחרים שלא מן הבית דין ששמעו ושתקו</w:t>
      </w:r>
      <w:r>
        <w:rPr>
          <w:rFonts w:hint="cs"/>
          <w:rtl/>
          <w:lang w:eastAsia="en-US"/>
        </w:rPr>
        <w:t>,</w:t>
      </w:r>
      <w:r>
        <w:rPr>
          <w:rtl/>
          <w:lang w:eastAsia="en-US"/>
        </w:rPr>
        <w:t xml:space="preserve"> קולר תלוי בצואר כולם</w:t>
      </w:r>
      <w:r>
        <w:rPr>
          <w:rFonts w:hint="cs"/>
          <w:rtl/>
          <w:lang w:eastAsia="en-US"/>
        </w:rPr>
        <w:t>,</w:t>
      </w:r>
      <w:r>
        <w:rPr>
          <w:rtl/>
          <w:lang w:eastAsia="en-US"/>
        </w:rPr>
        <w:t xml:space="preserve"> ואפילו תלמיד לפני רבו</w:t>
      </w:r>
      <w:r>
        <w:rPr>
          <w:rFonts w:hint="cs"/>
          <w:rtl/>
          <w:lang w:eastAsia="en-US"/>
        </w:rPr>
        <w:t>.</w:t>
      </w:r>
      <w:r>
        <w:rPr>
          <w:rtl/>
          <w:lang w:eastAsia="en-US"/>
        </w:rPr>
        <w:t xml:space="preserve"> ומגדולי החכמים היו מקבצים הרבה תלמידים בשעת הדין שיתיראו מן העונש ויגלו דעתם עד שמתוך כך יצא הדבר לאמתו</w:t>
      </w:r>
      <w:r w:rsidR="00FE25BA">
        <w:rPr>
          <w:rFonts w:hint="cs"/>
          <w:rtl/>
          <w:lang w:eastAsia="en-US"/>
        </w:rPr>
        <w:t>.</w:t>
      </w:r>
      <w:r w:rsidR="00FE25BA">
        <w:rPr>
          <w:rStyle w:val="a5"/>
          <w:rtl/>
          <w:lang w:eastAsia="en-US"/>
        </w:rPr>
        <w:footnoteReference w:id="18"/>
      </w:r>
    </w:p>
    <w:p w14:paraId="70901255" w14:textId="77777777" w:rsidR="005D7ADF" w:rsidRDefault="005D7ADF" w:rsidP="00B325E9">
      <w:pPr>
        <w:pStyle w:val="ab"/>
        <w:rPr>
          <w:rtl/>
          <w:lang w:eastAsia="en-US"/>
        </w:rPr>
      </w:pPr>
      <w:r>
        <w:rPr>
          <w:rtl/>
          <w:lang w:eastAsia="en-US"/>
        </w:rPr>
        <w:t xml:space="preserve">מסכת אבות דרבי נתן נוסח ב פרק א </w:t>
      </w:r>
    </w:p>
    <w:p w14:paraId="621C3C4A" w14:textId="77777777" w:rsidR="00372B17" w:rsidRDefault="003F254B" w:rsidP="005D7ADF">
      <w:pPr>
        <w:pStyle w:val="ac"/>
        <w:rPr>
          <w:rFonts w:hint="cs"/>
          <w:rtl/>
          <w:lang w:eastAsia="en-US"/>
        </w:rPr>
      </w:pPr>
      <w:r>
        <w:rPr>
          <w:rFonts w:hint="cs"/>
          <w:rtl/>
          <w:lang w:eastAsia="en-US"/>
        </w:rPr>
        <w:t>"</w:t>
      </w:r>
      <w:r w:rsidR="005D7ADF">
        <w:rPr>
          <w:rtl/>
          <w:lang w:eastAsia="en-US"/>
        </w:rPr>
        <w:t>ועשו סייג לתורה</w:t>
      </w:r>
      <w:r>
        <w:rPr>
          <w:rFonts w:hint="cs"/>
          <w:rtl/>
          <w:lang w:eastAsia="en-US"/>
        </w:rPr>
        <w:t>",</w:t>
      </w:r>
      <w:r w:rsidR="005D7ADF">
        <w:rPr>
          <w:rtl/>
          <w:lang w:eastAsia="en-US"/>
        </w:rPr>
        <w:t xml:space="preserve"> לא דומה כרם שהוא מוקף גדר</w:t>
      </w:r>
      <w:r>
        <w:rPr>
          <w:rFonts w:hint="cs"/>
          <w:rtl/>
          <w:lang w:eastAsia="en-US"/>
        </w:rPr>
        <w:t>,</w:t>
      </w:r>
      <w:r w:rsidR="005D7ADF">
        <w:rPr>
          <w:rtl/>
          <w:lang w:eastAsia="en-US"/>
        </w:rPr>
        <w:t xml:space="preserve"> לכרם שאינו מוקף גדר</w:t>
      </w:r>
      <w:r>
        <w:rPr>
          <w:rFonts w:hint="cs"/>
          <w:rtl/>
          <w:lang w:eastAsia="en-US"/>
        </w:rPr>
        <w:t>.</w:t>
      </w:r>
      <w:r w:rsidR="005D7ADF">
        <w:rPr>
          <w:rtl/>
          <w:lang w:eastAsia="en-US"/>
        </w:rPr>
        <w:t xml:space="preserve"> שלא יעשה אדם גדר יותר מן העיקר ו</w:t>
      </w:r>
      <w:r>
        <w:rPr>
          <w:rFonts w:hint="cs"/>
          <w:rtl/>
          <w:lang w:eastAsia="en-US"/>
        </w:rPr>
        <w:t>י</w:t>
      </w:r>
      <w:r w:rsidR="005D7ADF">
        <w:rPr>
          <w:rtl/>
          <w:lang w:eastAsia="en-US"/>
        </w:rPr>
        <w:t>יפול הגדר ויקצץ את הנטיעות</w:t>
      </w:r>
      <w:r>
        <w:rPr>
          <w:rFonts w:hint="cs"/>
          <w:rtl/>
          <w:lang w:eastAsia="en-US"/>
        </w:rPr>
        <w:t>.</w:t>
      </w:r>
      <w:r w:rsidR="005D7ADF">
        <w:rPr>
          <w:rtl/>
          <w:lang w:eastAsia="en-US"/>
        </w:rPr>
        <w:t xml:space="preserve"> שכך מצינו שעשה אדם הראשון גדר יותר מן </w:t>
      </w:r>
      <w:r>
        <w:rPr>
          <w:rtl/>
          <w:lang w:eastAsia="en-US"/>
        </w:rPr>
        <w:t>העיקר ונפל הגדר וקצץ את הנטיעות</w:t>
      </w:r>
      <w:r>
        <w:rPr>
          <w:rFonts w:hint="cs"/>
          <w:rtl/>
          <w:lang w:eastAsia="en-US"/>
        </w:rPr>
        <w:t>.</w:t>
      </w:r>
      <w:r w:rsidR="0026490B">
        <w:rPr>
          <w:rStyle w:val="a5"/>
          <w:rtl/>
          <w:lang w:eastAsia="en-US"/>
        </w:rPr>
        <w:footnoteReference w:id="19"/>
      </w:r>
    </w:p>
    <w:p w14:paraId="7041D4FF" w14:textId="77777777" w:rsidR="003F254B" w:rsidRPr="004A5A7B" w:rsidRDefault="003F254B" w:rsidP="0026490B">
      <w:pPr>
        <w:pStyle w:val="a3"/>
        <w:rPr>
          <w:rFonts w:hint="cs"/>
          <w:rtl/>
          <w:lang w:eastAsia="en-US"/>
        </w:rPr>
      </w:pPr>
    </w:p>
    <w:p w14:paraId="28952CFB" w14:textId="77777777" w:rsidR="00F614F2" w:rsidRPr="004A5A7B" w:rsidRDefault="00F614F2">
      <w:pPr>
        <w:pStyle w:val="ad"/>
        <w:spacing w:before="120"/>
        <w:rPr>
          <w:rtl/>
        </w:rPr>
      </w:pPr>
      <w:r w:rsidRPr="004A5A7B">
        <w:rPr>
          <w:rtl/>
        </w:rPr>
        <w:t xml:space="preserve">שבת שלום </w:t>
      </w:r>
    </w:p>
    <w:p w14:paraId="7DEB53D9" w14:textId="77777777" w:rsidR="00F614F2" w:rsidRPr="004A5A7B" w:rsidRDefault="00F614F2">
      <w:pPr>
        <w:pStyle w:val="ad"/>
        <w:rPr>
          <w:rFonts w:hint="cs"/>
          <w:rtl/>
        </w:rPr>
      </w:pPr>
      <w:r w:rsidRPr="004A5A7B">
        <w:rPr>
          <w:rtl/>
        </w:rPr>
        <w:t>מחלקי המים</w:t>
      </w:r>
    </w:p>
    <w:sectPr w:rsidR="00F614F2" w:rsidRPr="004A5A7B" w:rsidSect="00AF170A">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59FFA" w14:textId="77777777" w:rsidR="00F3612C" w:rsidRDefault="00F3612C">
      <w:r>
        <w:separator/>
      </w:r>
    </w:p>
  </w:endnote>
  <w:endnote w:type="continuationSeparator" w:id="0">
    <w:p w14:paraId="1CDC1277" w14:textId="77777777" w:rsidR="00F3612C" w:rsidRDefault="00F3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BA57" w14:textId="77777777" w:rsidR="004D01AE" w:rsidRPr="00F8747C" w:rsidRDefault="004D01AE"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025C6E">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025C6E">
      <w:rPr>
        <w:rStyle w:val="af3"/>
        <w:noProof/>
        <w:rtl/>
      </w:rPr>
      <w:t>4</w:t>
    </w:r>
    <w:r w:rsidRPr="00F8747C">
      <w:rPr>
        <w:rStyle w:val="af3"/>
      </w:rPr>
      <w:fldChar w:fldCharType="end"/>
    </w:r>
  </w:p>
  <w:p w14:paraId="62447212" w14:textId="77777777" w:rsidR="004D01AE" w:rsidRPr="00B065AC" w:rsidRDefault="004D01AE"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9C27" w14:textId="77777777" w:rsidR="00F3612C" w:rsidRDefault="00F3612C">
      <w:r>
        <w:separator/>
      </w:r>
    </w:p>
  </w:footnote>
  <w:footnote w:type="continuationSeparator" w:id="0">
    <w:p w14:paraId="22E919DE" w14:textId="77777777" w:rsidR="00F3612C" w:rsidRDefault="00F3612C">
      <w:r>
        <w:continuationSeparator/>
      </w:r>
    </w:p>
  </w:footnote>
  <w:footnote w:id="1">
    <w:p w14:paraId="288184A0" w14:textId="77777777" w:rsidR="004D01AE" w:rsidRDefault="004D01AE" w:rsidP="00432DC9">
      <w:pPr>
        <w:pStyle w:val="a3"/>
        <w:rPr>
          <w:rFonts w:hint="cs"/>
          <w:rtl/>
        </w:rPr>
      </w:pPr>
      <w:r>
        <w:rPr>
          <w:rStyle w:val="a5"/>
        </w:rPr>
        <w:footnoteRef/>
      </w:r>
      <w:r>
        <w:rPr>
          <w:rtl/>
        </w:rPr>
        <w:t xml:space="preserve"> </w:t>
      </w:r>
      <w:r w:rsidR="00DF24B4">
        <w:rPr>
          <w:rFonts w:hint="cs"/>
          <w:rtl/>
          <w:lang w:eastAsia="en-US"/>
        </w:rPr>
        <w:t xml:space="preserve">בימינו השתלטה אווירת האבל של "ימי הספירה" על התקופה שבין פסח לעצרת (חג השבועות). </w:t>
      </w:r>
      <w:r>
        <w:rPr>
          <w:rFonts w:hint="cs"/>
          <w:rtl/>
          <w:lang w:eastAsia="en-US"/>
        </w:rPr>
        <w:t xml:space="preserve">במקור, </w:t>
      </w:r>
      <w:r w:rsidR="00DF24B4">
        <w:rPr>
          <w:rFonts w:hint="cs"/>
          <w:rtl/>
          <w:lang w:eastAsia="en-US"/>
        </w:rPr>
        <w:t xml:space="preserve">כפי שהדבר משתקף </w:t>
      </w:r>
      <w:r>
        <w:rPr>
          <w:rFonts w:hint="cs"/>
          <w:rtl/>
          <w:lang w:eastAsia="en-US"/>
        </w:rPr>
        <w:t>במקרא ובמדרשים הקדומים, הייתה זו תקופה של דאגה חקלאית לגורל התבואה ו</w:t>
      </w:r>
      <w:r w:rsidR="007D671C">
        <w:rPr>
          <w:rFonts w:hint="cs"/>
          <w:rtl/>
          <w:lang w:eastAsia="en-US"/>
        </w:rPr>
        <w:t>יבול</w:t>
      </w:r>
      <w:r>
        <w:rPr>
          <w:rFonts w:hint="cs"/>
          <w:rtl/>
          <w:lang w:eastAsia="en-US"/>
        </w:rPr>
        <w:t xml:space="preserve"> הארץ, ראה דברינו </w:t>
      </w:r>
      <w:hyperlink r:id="rId1" w:history="1">
        <w:r w:rsidRPr="0026490B">
          <w:rPr>
            <w:rStyle w:val="Hyperlink"/>
            <w:rFonts w:hint="cs"/>
            <w:rtl/>
            <w:lang w:eastAsia="en-US"/>
          </w:rPr>
          <w:t>מנחת אומר לעומר</w:t>
        </w:r>
      </w:hyperlink>
      <w:r>
        <w:rPr>
          <w:rFonts w:hint="cs"/>
          <w:rtl/>
          <w:lang w:eastAsia="en-US"/>
        </w:rPr>
        <w:t xml:space="preserve"> בפרשת אמור</w:t>
      </w:r>
      <w:r w:rsidR="00DF24B4">
        <w:rPr>
          <w:rFonts w:hint="cs"/>
          <w:rtl/>
          <w:lang w:eastAsia="en-US"/>
        </w:rPr>
        <w:t xml:space="preserve">. </w:t>
      </w:r>
      <w:r>
        <w:rPr>
          <w:rFonts w:hint="cs"/>
          <w:rtl/>
          <w:lang w:eastAsia="en-US"/>
        </w:rPr>
        <w:t>בהדרגה הלך מוטיב מתן תורה והשתלט על חג השבועות ועל</w:t>
      </w:r>
      <w:r>
        <w:rPr>
          <w:rFonts w:hint="cs"/>
          <w:rtl/>
        </w:rPr>
        <w:t xml:space="preserve"> התקופה שבין פסח לשבועות</w:t>
      </w:r>
      <w:r w:rsidR="00432DC9">
        <w:rPr>
          <w:rFonts w:hint="cs"/>
          <w:rtl/>
        </w:rPr>
        <w:t xml:space="preserve"> </w:t>
      </w:r>
      <w:r w:rsidR="00432DC9">
        <w:rPr>
          <w:rtl/>
        </w:rPr>
        <w:t>–</w:t>
      </w:r>
      <w:r w:rsidR="00432DC9">
        <w:rPr>
          <w:rFonts w:hint="cs"/>
          <w:rtl/>
        </w:rPr>
        <w:t xml:space="preserve"> בין יציאת מצרים ומתן תורה</w:t>
      </w:r>
      <w:r>
        <w:rPr>
          <w:rFonts w:hint="cs"/>
          <w:rtl/>
        </w:rPr>
        <w:t xml:space="preserve">. בעקבות זאת, לפי מקור זה, נתקן גם לימוד פרקי אבות בתקופה זו (כשיטת הספרדים, ראה להלן). </w:t>
      </w:r>
      <w:r w:rsidR="00DA47CD">
        <w:rPr>
          <w:rFonts w:hint="cs"/>
          <w:rtl/>
        </w:rPr>
        <w:t xml:space="preserve">ובימינו, כאמור, </w:t>
      </w:r>
      <w:r w:rsidR="007D671C">
        <w:rPr>
          <w:rFonts w:hint="cs"/>
          <w:rtl/>
        </w:rPr>
        <w:t xml:space="preserve">השתלטו על תקופה זו </w:t>
      </w:r>
      <w:r w:rsidR="00DA47CD">
        <w:rPr>
          <w:rFonts w:hint="cs"/>
          <w:rtl/>
        </w:rPr>
        <w:t xml:space="preserve">ימי "הספירה" של אבל שמיוחס למותם של תלמידי רבי עקיבא, אבל מקורותיו הם </w:t>
      </w:r>
      <w:r w:rsidR="007D671C">
        <w:rPr>
          <w:rFonts w:hint="cs"/>
          <w:rtl/>
        </w:rPr>
        <w:t xml:space="preserve">כפי הנראה </w:t>
      </w:r>
      <w:r w:rsidR="00DA47CD">
        <w:rPr>
          <w:rFonts w:hint="cs"/>
          <w:rtl/>
        </w:rPr>
        <w:t>בצרות ורדיפות ימי הביניים.</w:t>
      </w:r>
    </w:p>
  </w:footnote>
  <w:footnote w:id="2">
    <w:p w14:paraId="0BC9C352" w14:textId="77777777" w:rsidR="004D01AE" w:rsidRDefault="004D01AE" w:rsidP="00DA47CD">
      <w:pPr>
        <w:pStyle w:val="a3"/>
        <w:rPr>
          <w:rFonts w:hint="cs"/>
          <w:rtl/>
        </w:rPr>
      </w:pPr>
      <w:r>
        <w:rPr>
          <w:rStyle w:val="a5"/>
        </w:rPr>
        <w:footnoteRef/>
      </w:r>
      <w:r>
        <w:rPr>
          <w:rtl/>
        </w:rPr>
        <w:t xml:space="preserve"> </w:t>
      </w:r>
      <w:r>
        <w:rPr>
          <w:rFonts w:hint="cs"/>
          <w:rtl/>
          <w:lang w:eastAsia="en-US"/>
        </w:rPr>
        <w:t>טעם נוסף שהוא מביא שם, הוא ש</w:t>
      </w:r>
      <w:r>
        <w:rPr>
          <w:rtl/>
          <w:lang w:eastAsia="en-US"/>
        </w:rPr>
        <w:t xml:space="preserve">זמן הקציר </w:t>
      </w:r>
      <w:r>
        <w:rPr>
          <w:rFonts w:hint="cs"/>
          <w:rtl/>
          <w:lang w:eastAsia="en-US"/>
        </w:rPr>
        <w:t>מעורר את "</w:t>
      </w:r>
      <w:r>
        <w:rPr>
          <w:rtl/>
          <w:lang w:eastAsia="en-US"/>
        </w:rPr>
        <w:t>רוב התאוה ובקשת רוב ההנאות וצריך להשקיטו ולתקנו במה שיש בזאת מן המסכתא מן המוסרים המביאי</w:t>
      </w:r>
      <w:r>
        <w:rPr>
          <w:rFonts w:hint="cs"/>
          <w:rtl/>
          <w:lang w:eastAsia="en-US"/>
        </w:rPr>
        <w:t>ם</w:t>
      </w:r>
      <w:r>
        <w:rPr>
          <w:rtl/>
          <w:lang w:eastAsia="en-US"/>
        </w:rPr>
        <w:t xml:space="preserve"> לפרישות והכנעת הנפש ושברונה </w:t>
      </w:r>
      <w:r>
        <w:rPr>
          <w:rFonts w:hint="cs"/>
          <w:rtl/>
          <w:lang w:eastAsia="en-US"/>
        </w:rPr>
        <w:t xml:space="preserve">... </w:t>
      </w:r>
      <w:r>
        <w:rPr>
          <w:rtl/>
          <w:lang w:eastAsia="en-US"/>
        </w:rPr>
        <w:t>ולתקן נהיגת המ</w:t>
      </w:r>
      <w:r>
        <w:rPr>
          <w:rFonts w:hint="cs"/>
          <w:rtl/>
          <w:lang w:eastAsia="en-US"/>
        </w:rPr>
        <w:t>י</w:t>
      </w:r>
      <w:r>
        <w:rPr>
          <w:rtl/>
          <w:lang w:eastAsia="en-US"/>
        </w:rPr>
        <w:t>דות להיותה הולכים על קו המוסר והדעת</w:t>
      </w:r>
      <w:r>
        <w:rPr>
          <w:rFonts w:hint="cs"/>
          <w:rtl/>
          <w:lang w:eastAsia="en-US"/>
        </w:rPr>
        <w:t xml:space="preserve">". כך או כך, ששת פרקי המסכת, </w:t>
      </w:r>
      <w:r w:rsidR="00432DC9">
        <w:rPr>
          <w:rFonts w:hint="cs"/>
          <w:rtl/>
          <w:lang w:eastAsia="en-US"/>
        </w:rPr>
        <w:t xml:space="preserve">כולל הפרק השישי שהתווסף למסכת בשלב מאוחר יותר, </w:t>
      </w:r>
      <w:r>
        <w:rPr>
          <w:rFonts w:hint="cs"/>
          <w:rtl/>
          <w:lang w:eastAsia="en-US"/>
        </w:rPr>
        <w:t xml:space="preserve">מתאימים לשש השבתות שבין פסח לעצרת (שבועות). בספרו הנ"ל (ראה </w:t>
      </w:r>
      <w:r w:rsidR="00DA47CD">
        <w:rPr>
          <w:rFonts w:hint="cs"/>
          <w:rtl/>
          <w:lang w:eastAsia="en-US"/>
        </w:rPr>
        <w:t>מים ראשונים</w:t>
      </w:r>
      <w:r>
        <w:rPr>
          <w:rFonts w:hint="cs"/>
          <w:rtl/>
          <w:lang w:eastAsia="en-US"/>
        </w:rPr>
        <w:t>), מביא שנאן את הסברה שמנהג זה נולד גם מהעימות עם הקראים אשר אינם מכירים בתורה שבע"פ: "כתגובה על כך הונהג לקרוא ... את המסכת המדגישה את מעלתה של התורה שבע"פ, לומדיה ומעצביה, ואת שרשרת המסירה שלה מדור לדור". ולנו נראה להוסיף שלימוד זה של פרקי אבות כהכנה לחג מתן תורה הוא בבחינת "דרך ארץ קדמה לתורה" ומן הסתם כבר אמרו זאת לפנינו, רק לא מצאנו מי.</w:t>
      </w:r>
    </w:p>
  </w:footnote>
  <w:footnote w:id="3">
    <w:p w14:paraId="5656E86B" w14:textId="77777777" w:rsidR="004D01AE" w:rsidRDefault="004D01AE" w:rsidP="00F431B7">
      <w:pPr>
        <w:pStyle w:val="a3"/>
        <w:rPr>
          <w:rFonts w:hint="cs"/>
        </w:rPr>
      </w:pPr>
      <w:r>
        <w:rPr>
          <w:rStyle w:val="a5"/>
        </w:rPr>
        <w:footnoteRef/>
      </w:r>
      <w:r>
        <w:rPr>
          <w:rtl/>
        </w:rPr>
        <w:t xml:space="preserve"> </w:t>
      </w:r>
      <w:r>
        <w:rPr>
          <w:rFonts w:hint="cs"/>
          <w:rtl/>
          <w:lang w:eastAsia="en-US"/>
        </w:rPr>
        <w:t xml:space="preserve">המנהג שפשט ברוב קהילות אשכנז הוא לקרוא את ששת פרקי </w:t>
      </w:r>
      <w:r w:rsidR="00DA47CD">
        <w:rPr>
          <w:rFonts w:hint="cs"/>
          <w:rtl/>
          <w:lang w:eastAsia="en-US"/>
        </w:rPr>
        <w:t xml:space="preserve">מסכת </w:t>
      </w:r>
      <w:r>
        <w:rPr>
          <w:rFonts w:hint="cs"/>
          <w:rtl/>
          <w:lang w:eastAsia="en-US"/>
        </w:rPr>
        <w:t>אבות מפסח ועד ראש השנה בארבעה מחזורים. ואף נתנו</w:t>
      </w:r>
      <w:r>
        <w:rPr>
          <w:rFonts w:cs="David"/>
          <w:rtl/>
          <w:lang w:eastAsia="en-US"/>
        </w:rPr>
        <w:t xml:space="preserve"> </w:t>
      </w:r>
      <w:r>
        <w:rPr>
          <w:rFonts w:hint="cs"/>
          <w:rtl/>
          <w:lang w:eastAsia="en-US"/>
        </w:rPr>
        <w:t xml:space="preserve">סימן לפרשות בהן מתחילים מחזור חדש: שנפ"ש </w:t>
      </w:r>
      <w:r>
        <w:rPr>
          <w:rFonts w:cs="David"/>
          <w:rtl/>
          <w:lang w:eastAsia="en-US"/>
        </w:rPr>
        <w:t>–</w:t>
      </w:r>
      <w:r>
        <w:rPr>
          <w:rFonts w:hint="cs"/>
          <w:rtl/>
          <w:lang w:eastAsia="en-US"/>
        </w:rPr>
        <w:t xml:space="preserve"> שמיני, נשא, פנחס, שופטים. ועוד הבדל בין ספרד לאשכנז: "</w:t>
      </w:r>
      <w:r w:rsidRPr="009F3633">
        <w:rPr>
          <w:rtl/>
        </w:rPr>
        <w:t>נוהגין באשכנז לומר פרקי אבות במנחה וכ"כ רב עמרם ובספרד אומרים אותם בשחרית</w:t>
      </w:r>
      <w:r>
        <w:rPr>
          <w:rFonts w:hint="cs"/>
          <w:rtl/>
          <w:lang w:eastAsia="en-US"/>
        </w:rPr>
        <w:t>" (</w:t>
      </w:r>
      <w:r w:rsidRPr="00CA63E1">
        <w:rPr>
          <w:rtl/>
        </w:rPr>
        <w:t>טור אורח חיים הלכות שבת סימן רצב</w:t>
      </w:r>
      <w:r>
        <w:rPr>
          <w:rFonts w:hint="cs"/>
          <w:rtl/>
          <w:lang w:eastAsia="en-US"/>
        </w:rPr>
        <w:t xml:space="preserve">). ובאו בנושא זה הלכות נוספות, כגון אם לומר או לא לומר פרקי אבות בשבת שהוא יום טוב, בשבת שחל בו תשעה באב (ונדחה) ועוד. </w:t>
      </w:r>
    </w:p>
  </w:footnote>
  <w:footnote w:id="4">
    <w:p w14:paraId="5F1F4396" w14:textId="77777777" w:rsidR="004D01AE" w:rsidRDefault="004D01AE" w:rsidP="007068F4">
      <w:pPr>
        <w:pStyle w:val="a3"/>
        <w:rPr>
          <w:rFonts w:hint="cs"/>
        </w:rPr>
      </w:pPr>
      <w:r>
        <w:rPr>
          <w:rStyle w:val="a5"/>
        </w:rPr>
        <w:footnoteRef/>
      </w:r>
      <w:r>
        <w:rPr>
          <w:rtl/>
        </w:rPr>
        <w:t xml:space="preserve"> </w:t>
      </w:r>
      <w:r>
        <w:rPr>
          <w:rFonts w:hint="cs"/>
          <w:rtl/>
        </w:rPr>
        <w:t>ראה בגמרא שם כל נושא סילוק קוצים וזכוכיות שלא יזיקו את הרבים, איפה מותר להצניע אותם ומתי המצניע חייב אם נחשפו והזיקו. ורב ששת היה שורף אותם ורבא זורק אותם לנהר.</w:t>
      </w:r>
      <w:r w:rsidR="00DA47CD">
        <w:rPr>
          <w:rFonts w:hint="cs"/>
          <w:rtl/>
        </w:rPr>
        <w:t xml:space="preserve"> ובהמשך מסכת בבא קמא </w:t>
      </w:r>
      <w:r w:rsidR="00DA47CD">
        <w:rPr>
          <w:rtl/>
        </w:rPr>
        <w:t>דף נ ע</w:t>
      </w:r>
      <w:r w:rsidR="00DA47CD">
        <w:rPr>
          <w:rFonts w:hint="cs"/>
          <w:rtl/>
        </w:rPr>
        <w:t>"ב</w:t>
      </w:r>
      <w:r w:rsidR="007068F4">
        <w:rPr>
          <w:rFonts w:hint="cs"/>
          <w:rtl/>
        </w:rPr>
        <w:t>: "</w:t>
      </w:r>
      <w:r w:rsidR="00DA47CD">
        <w:rPr>
          <w:rtl/>
        </w:rPr>
        <w:t>ת</w:t>
      </w:r>
      <w:r w:rsidR="007068F4">
        <w:rPr>
          <w:rFonts w:hint="cs"/>
          <w:rtl/>
        </w:rPr>
        <w:t>נו רבנן</w:t>
      </w:r>
      <w:r w:rsidR="00DA47CD">
        <w:rPr>
          <w:rtl/>
        </w:rPr>
        <w:t>: לא יסקל אדם מרשותו לר</w:t>
      </w:r>
      <w:r w:rsidR="007068F4">
        <w:rPr>
          <w:rFonts w:hint="cs"/>
          <w:rtl/>
        </w:rPr>
        <w:t>שות הרבים</w:t>
      </w:r>
      <w:r w:rsidR="00DA47CD">
        <w:rPr>
          <w:rtl/>
        </w:rPr>
        <w:t>. מעשה באדם אחד שהיה מסקל מרשותו ל</w:t>
      </w:r>
      <w:r w:rsidR="007068F4">
        <w:rPr>
          <w:rtl/>
        </w:rPr>
        <w:t>רשות הרבים</w:t>
      </w:r>
      <w:r w:rsidR="00DA47CD">
        <w:rPr>
          <w:rtl/>
        </w:rPr>
        <w:t xml:space="preserve">, ומצאו חסיד אחד, אמר לו: ריקה, מפני מה אתה מסקל מרשות שאינה שלך לרשות שלך! לגלג עליו. לימים נצרך למכור שדהו, והיה מהלך באותו </w:t>
      </w:r>
      <w:r w:rsidR="007068F4">
        <w:rPr>
          <w:rtl/>
        </w:rPr>
        <w:t>רשות הרבים</w:t>
      </w:r>
      <w:r w:rsidR="00DA47CD">
        <w:rPr>
          <w:rtl/>
        </w:rPr>
        <w:t xml:space="preserve"> ונכשל באותן אבנים, אמר: יפה אמר לי אותו חסיד מפני מה אתה מסקל מרשות שאינה שלך לרשות שלך</w:t>
      </w:r>
      <w:r w:rsidR="00432DC9">
        <w:rPr>
          <w:rFonts w:hint="cs"/>
          <w:rtl/>
        </w:rPr>
        <w:t>"</w:t>
      </w:r>
      <w:r w:rsidR="00DA47CD">
        <w:rPr>
          <w:rtl/>
        </w:rPr>
        <w:t>.</w:t>
      </w:r>
    </w:p>
  </w:footnote>
  <w:footnote w:id="5">
    <w:p w14:paraId="4D70AEDA" w14:textId="77777777" w:rsidR="004D01AE" w:rsidRDefault="004D01AE" w:rsidP="00F431B7">
      <w:pPr>
        <w:pStyle w:val="a3"/>
        <w:rPr>
          <w:rFonts w:hint="cs"/>
        </w:rPr>
      </w:pPr>
      <w:r>
        <w:rPr>
          <w:rStyle w:val="a5"/>
        </w:rPr>
        <w:footnoteRef/>
      </w:r>
      <w:r>
        <w:rPr>
          <w:rtl/>
        </w:rPr>
        <w:t xml:space="preserve"> </w:t>
      </w:r>
      <w:r>
        <w:rPr>
          <w:rFonts w:hint="cs"/>
          <w:rtl/>
          <w:lang w:eastAsia="en-US"/>
        </w:rPr>
        <w:t xml:space="preserve">על בסיס גמרא זו ניסו פרשני המשנה ורבים אחרים להסביר מדוע נקבע מקומה של מסכת אבות, הדנה בענייני הנהגה ומוסר, בסדר נזיקין דווקא. אם משום בעלי הדין, שהמקפיד בהנהגות טובות ירחיק עצמו מראש מנזיקין, ומפגעים שונים שבין אדם לחברו ויימנע מבתי משפט כמה שאפשר; ואם משום שזו אזהרה לדיינים, הפוסקים בדיני נזיקין, שיהיו במעלה הראויה ולא ישכחו את המוסר הבסיסי. ראה הקדמת המאיר למסכת זו: " ... </w:t>
      </w:r>
      <w:r>
        <w:rPr>
          <w:rtl/>
          <w:lang w:eastAsia="en-US"/>
        </w:rPr>
        <w:t>וענין המסכת הלזו הוא להעיר האדם להיות מ</w:t>
      </w:r>
      <w:r>
        <w:rPr>
          <w:rFonts w:hint="cs"/>
          <w:rtl/>
          <w:lang w:eastAsia="en-US"/>
        </w:rPr>
        <w:t>י</w:t>
      </w:r>
      <w:r>
        <w:rPr>
          <w:rtl/>
          <w:lang w:eastAsia="en-US"/>
        </w:rPr>
        <w:t xml:space="preserve">דותיו והנהגותיו על תכלית השלימות כדי שיגיע מהן לשלמות אחרון </w:t>
      </w:r>
      <w:r>
        <w:rPr>
          <w:rFonts w:hint="cs"/>
          <w:rtl/>
          <w:lang w:eastAsia="en-US"/>
        </w:rPr>
        <w:t xml:space="preserve">... </w:t>
      </w:r>
      <w:r>
        <w:rPr>
          <w:rtl/>
          <w:lang w:eastAsia="en-US"/>
        </w:rPr>
        <w:t>עד שאין צורך לשום מ</w:t>
      </w:r>
      <w:r>
        <w:rPr>
          <w:rFonts w:hint="cs"/>
          <w:rtl/>
          <w:lang w:eastAsia="en-US"/>
        </w:rPr>
        <w:t>י</w:t>
      </w:r>
      <w:r>
        <w:rPr>
          <w:rtl/>
          <w:lang w:eastAsia="en-US"/>
        </w:rPr>
        <w:t>דה הגונה ומעולה שלא יב</w:t>
      </w:r>
      <w:r w:rsidR="002C2844">
        <w:rPr>
          <w:rFonts w:hint="cs"/>
          <w:rtl/>
          <w:lang w:eastAsia="en-US"/>
        </w:rPr>
        <w:t>ו</w:t>
      </w:r>
      <w:r>
        <w:rPr>
          <w:rtl/>
          <w:lang w:eastAsia="en-US"/>
        </w:rPr>
        <w:t>א ממנה רמז בזאת המסכתא</w:t>
      </w:r>
      <w:r>
        <w:rPr>
          <w:rFonts w:hint="cs"/>
          <w:rtl/>
          <w:lang w:eastAsia="en-US"/>
        </w:rPr>
        <w:t xml:space="preserve">. וכן יש </w:t>
      </w:r>
      <w:r>
        <w:rPr>
          <w:rtl/>
          <w:lang w:eastAsia="en-US"/>
        </w:rPr>
        <w:t xml:space="preserve">בה רמזים גנוזים </w:t>
      </w:r>
      <w:r>
        <w:rPr>
          <w:rFonts w:hint="cs"/>
          <w:rtl/>
          <w:lang w:eastAsia="en-US"/>
        </w:rPr>
        <w:t>בעניינ</w:t>
      </w:r>
      <w:r>
        <w:rPr>
          <w:rFonts w:hint="eastAsia"/>
          <w:rtl/>
          <w:lang w:eastAsia="en-US"/>
        </w:rPr>
        <w:t>י</w:t>
      </w:r>
      <w:r>
        <w:rPr>
          <w:rtl/>
          <w:lang w:eastAsia="en-US"/>
        </w:rPr>
        <w:t xml:space="preserve"> האמונות בקצת פינות תוריות והמושכלות אל החכם</w:t>
      </w:r>
      <w:r>
        <w:rPr>
          <w:rFonts w:hint="cs"/>
          <w:rtl/>
          <w:lang w:eastAsia="en-US"/>
        </w:rPr>
        <w:t xml:space="preserve">". וכבר האריכו רבים וטובים בהקדמות למסכת זו, בפרט הרמב"ם שבנוסף להקדמתו הכללית לפירושו למשנה, כתב את "שמונה פרקים" כהקדמה מיוחדת למסכת זו. ראה הקדמת קהתי למסכת. </w:t>
      </w:r>
      <w:r w:rsidRPr="0066417C">
        <w:rPr>
          <w:rFonts w:hint="cs"/>
          <w:rtl/>
          <w:lang w:eastAsia="en-US"/>
        </w:rPr>
        <w:t xml:space="preserve"> </w:t>
      </w:r>
    </w:p>
  </w:footnote>
  <w:footnote w:id="6">
    <w:p w14:paraId="76F0C778" w14:textId="77777777" w:rsidR="004D01AE" w:rsidRDefault="004D01AE" w:rsidP="00F431B7">
      <w:pPr>
        <w:pStyle w:val="a3"/>
        <w:rPr>
          <w:rFonts w:hint="cs"/>
          <w:rtl/>
        </w:rPr>
      </w:pPr>
      <w:r>
        <w:rPr>
          <w:rStyle w:val="a5"/>
        </w:rPr>
        <w:footnoteRef/>
      </w:r>
      <w:r>
        <w:rPr>
          <w:rtl/>
        </w:rPr>
        <w:t xml:space="preserve"> </w:t>
      </w:r>
      <w:r>
        <w:rPr>
          <w:rFonts w:hint="cs"/>
          <w:rtl/>
          <w:lang w:eastAsia="en-US"/>
        </w:rPr>
        <w:t xml:space="preserve">זו הצהרת הפתיחה של מסכת (פרקי אבות), אשר באה להדגיש העברת התורה במסורת מדור לדור, מהנהגת כל דור להנהגה הדור הבא; מסורת שמקורה בסיני, ובדמותו המרכזית של משה כחוליה ראשונה (שנייה) בשרשרת המסירה, הן של התורה שבכתב והן (אולי אפילו יותר) של התורה שבע"פ. </w:t>
      </w:r>
    </w:p>
  </w:footnote>
  <w:footnote w:id="7">
    <w:p w14:paraId="0E21447A" w14:textId="77777777" w:rsidR="004D01AE" w:rsidRDefault="004D01AE" w:rsidP="00834356">
      <w:pPr>
        <w:pStyle w:val="a3"/>
        <w:rPr>
          <w:rFonts w:hint="cs"/>
          <w:rtl/>
        </w:rPr>
      </w:pPr>
      <w:r>
        <w:rPr>
          <w:rStyle w:val="a5"/>
        </w:rPr>
        <w:footnoteRef/>
      </w:r>
      <w:r>
        <w:rPr>
          <w:rtl/>
        </w:rPr>
        <w:t xml:space="preserve"> </w:t>
      </w:r>
      <w:r>
        <w:rPr>
          <w:rFonts w:hint="cs"/>
          <w:rtl/>
        </w:rPr>
        <w:t xml:space="preserve">מיד לאחר הצהרת הפתיחה הראשונה, באה השנייה. זו שפותחת בדבריהם של אנשי הכנסת הגדולה, ושרשרת החכמים שבאה אחריהם, בזוגות, ביחידים ובחבורות. בכל השרשרת עד כאן לא שמענו שמישהו הרחיב, ביאר הוסיף על מה שנמסר לו בדור הקודם. ראה הגמרא בתמורה טז ע"א על </w:t>
      </w:r>
      <w:r>
        <w:rPr>
          <w:rtl/>
        </w:rPr>
        <w:t xml:space="preserve">שלשת אלפים </w:t>
      </w:r>
      <w:r>
        <w:rPr>
          <w:rFonts w:hint="cs"/>
          <w:rtl/>
        </w:rPr>
        <w:t>ה</w:t>
      </w:r>
      <w:r>
        <w:rPr>
          <w:rtl/>
        </w:rPr>
        <w:t xml:space="preserve">הלכות </w:t>
      </w:r>
      <w:r>
        <w:rPr>
          <w:rFonts w:hint="cs"/>
          <w:rtl/>
        </w:rPr>
        <w:t>ו</w:t>
      </w:r>
      <w:r>
        <w:rPr>
          <w:rtl/>
        </w:rPr>
        <w:t xml:space="preserve">אלף ושבע מאות קלין וחמורין, וגזירות שוות, ודקדוקי סופרים </w:t>
      </w:r>
      <w:r>
        <w:rPr>
          <w:rFonts w:hint="cs"/>
          <w:rtl/>
        </w:rPr>
        <w:t>ש</w:t>
      </w:r>
      <w:r>
        <w:rPr>
          <w:rtl/>
        </w:rPr>
        <w:t>נשתכחו בימי אבלו של משה</w:t>
      </w:r>
      <w:r>
        <w:rPr>
          <w:rFonts w:hint="cs"/>
          <w:rtl/>
        </w:rPr>
        <w:t xml:space="preserve"> ואיך החזירום (כבר הרחבנו בגמרא זו בדברינו </w:t>
      </w:r>
      <w:hyperlink r:id="rId2" w:history="1">
        <w:r w:rsidRPr="0026490B">
          <w:rPr>
            <w:rStyle w:val="Hyperlink"/>
            <w:rFonts w:hint="cs"/>
            <w:rtl/>
          </w:rPr>
          <w:t>לא בשמים היא</w:t>
        </w:r>
      </w:hyperlink>
      <w:r>
        <w:rPr>
          <w:rFonts w:hint="cs"/>
          <w:rtl/>
        </w:rPr>
        <w:t xml:space="preserve"> בפרשת נצבים). בהעברת המסורת עצמה היו עליות וירידות</w:t>
      </w:r>
      <w:r w:rsidR="001C6E84">
        <w:rPr>
          <w:rFonts w:hint="cs"/>
          <w:rtl/>
        </w:rPr>
        <w:t xml:space="preserve"> (ראה דברינו </w:t>
      </w:r>
      <w:hyperlink r:id="rId3" w:history="1">
        <w:r w:rsidR="001C6E84" w:rsidRPr="001C6E84">
          <w:rPr>
            <w:rStyle w:val="Hyperlink"/>
            <w:rFonts w:hint="cs"/>
            <w:rtl/>
          </w:rPr>
          <w:t>כי לא תשכח מפי זרעו</w:t>
        </w:r>
      </w:hyperlink>
      <w:r w:rsidR="001C6E84">
        <w:rPr>
          <w:rFonts w:hint="cs"/>
          <w:rtl/>
        </w:rPr>
        <w:t xml:space="preserve"> בפרשת וילך)</w:t>
      </w:r>
      <w:r>
        <w:rPr>
          <w:rFonts w:hint="cs"/>
          <w:rtl/>
        </w:rPr>
        <w:t>, אבל המשנה כאן מציגה אותן כקו ישר ועקבי. אבל גם לשיטתה, בדור אנשי הכנסת הגדולה, זכינו לפרץ יצירתי של דברי חכמה ולקחי מוסר אבות, דברים שאינם בתורה. דברים שמן הסתם לא נמסרו למשה בסיני, ואנשי הכנסת הגדולה והבאים בעקבותיהם, הם אשר שכללו והוסיפו. לאנשי הכנסת הגדולה מיוחסים גם תקנת "</w:t>
      </w:r>
      <w:r>
        <w:rPr>
          <w:rtl/>
        </w:rPr>
        <w:t>ברכות ותפלות קדושות והבדלות</w:t>
      </w:r>
      <w:r>
        <w:rPr>
          <w:rFonts w:hint="cs"/>
          <w:rtl/>
        </w:rPr>
        <w:t>" (</w:t>
      </w:r>
      <w:r>
        <w:rPr>
          <w:rtl/>
        </w:rPr>
        <w:t>ברכות לג ע</w:t>
      </w:r>
      <w:r>
        <w:rPr>
          <w:rFonts w:hint="cs"/>
          <w:rtl/>
        </w:rPr>
        <w:t>"א), דיני קריאת מגילה (מגילה ב ע"</w:t>
      </w:r>
      <w:r>
        <w:rPr>
          <w:rtl/>
        </w:rPr>
        <w:t>א</w:t>
      </w:r>
      <w:r>
        <w:rPr>
          <w:rFonts w:hint="cs"/>
          <w:rtl/>
        </w:rPr>
        <w:t>), כתיבת ספרים מרכזיים בתנ"ך (בבא בתרא טו ע"א), סידור טעמי המקרא</w:t>
      </w:r>
      <w:r w:rsidR="008C717A">
        <w:rPr>
          <w:rFonts w:hint="cs"/>
          <w:rtl/>
        </w:rPr>
        <w:t>, האותיות הסופיות מנצפ"ך (ירושלמי מגילה א ט)</w:t>
      </w:r>
      <w:r>
        <w:rPr>
          <w:rFonts w:hint="cs"/>
          <w:rtl/>
        </w:rPr>
        <w:t xml:space="preserve"> ועוד ועוד. יש השלמה אבל גם מתח מסוים בין שני חלקי המשנה: הראשון, המדגיש את העברת התורה במסורת הדוקה מהמקור האלהי בסיני; והשני, החותם את המשנה הראשונה, אבל פותח את המסכת, בדברי אנשי הכנסת הגדולה מהם משתלשלת המסכת כולה, דברים שהם תורת דרך הארץ שקדמה לתורה שנתנה בסיני ("</w:t>
      </w:r>
      <w:r>
        <w:rPr>
          <w:rtl/>
        </w:rPr>
        <w:t>לשמור את דרך עץ החיים</w:t>
      </w:r>
      <w:r>
        <w:rPr>
          <w:rFonts w:hint="cs"/>
          <w:rtl/>
        </w:rPr>
        <w:t>,</w:t>
      </w:r>
      <w:r>
        <w:rPr>
          <w:rtl/>
        </w:rPr>
        <w:t xml:space="preserve"> דרך זו דרך ארץ ואח"כ עץ החיים זו תורה</w:t>
      </w:r>
      <w:r>
        <w:rPr>
          <w:rFonts w:hint="cs"/>
          <w:rtl/>
        </w:rPr>
        <w:t>",</w:t>
      </w:r>
      <w:r>
        <w:rPr>
          <w:rtl/>
        </w:rPr>
        <w:t xml:space="preserve"> ויקרא רבה </w:t>
      </w:r>
      <w:r>
        <w:rPr>
          <w:rFonts w:hint="cs"/>
          <w:rtl/>
        </w:rPr>
        <w:t xml:space="preserve">ט </w:t>
      </w:r>
      <w:r>
        <w:rPr>
          <w:rtl/>
        </w:rPr>
        <w:t>פרשת צו</w:t>
      </w:r>
      <w:r>
        <w:rPr>
          <w:rFonts w:hint="cs"/>
          <w:rtl/>
        </w:rPr>
        <w:t xml:space="preserve">), שמן הסתם לא נמסרה למשה בסיני. מתח זה בין שני חלקי המשנה הראשונה בפרקי אבות, הוא עצמו יצירה גדולה! </w:t>
      </w:r>
    </w:p>
  </w:footnote>
  <w:footnote w:id="8">
    <w:p w14:paraId="2D4CB5CB" w14:textId="77777777" w:rsidR="004D01AE" w:rsidRDefault="004D01AE" w:rsidP="00B762A8">
      <w:pPr>
        <w:pStyle w:val="a3"/>
        <w:rPr>
          <w:rFonts w:hint="cs"/>
        </w:rPr>
      </w:pPr>
      <w:r>
        <w:rPr>
          <w:rStyle w:val="a5"/>
        </w:rPr>
        <w:footnoteRef/>
      </w:r>
      <w:r>
        <w:rPr>
          <w:rtl/>
        </w:rPr>
        <w:t xml:space="preserve"> </w:t>
      </w:r>
      <w:r>
        <w:rPr>
          <w:rFonts w:hint="cs"/>
          <w:rtl/>
        </w:rPr>
        <w:t xml:space="preserve">"אבות דרבי נתן הוא חיבור המפרש ומרחיב את מסכת אבות שבמשנה. החיבור הגיע אלינו בשני נוסחים שנוצרו, ככל הנראה, מנוסח קדום אחד, והועברו בנפרד ללא מגע או השפעה ביניהם. החיבור על שני נוסחיו עבר תקופה ארוכה של התהוות, ומצויים בו מקורות קדומים מתקופת התנאים בצד מקורות מאוחרים במאות שנים. החיבור המקורי הוא כפי הנראה מסוף תקופת התנאים, אולם זמנו של החיבור כפי שהוא מצוי בפנינו הוא מן המאה השביעית לספירת הנוצרים. המדרש נערך ככל הנראה בארץ ישראל" </w:t>
      </w:r>
      <w:r>
        <w:rPr>
          <w:rtl/>
        </w:rPr>
        <w:t>–</w:t>
      </w:r>
      <w:r>
        <w:rPr>
          <w:rFonts w:hint="cs"/>
          <w:rtl/>
        </w:rPr>
        <w:t xml:space="preserve"> ציטוט מתוך מבוא לאבות דרבי נתן, מתוך </w:t>
      </w:r>
      <w:hyperlink r:id="rId4" w:history="1">
        <w:r w:rsidRPr="002C2844">
          <w:rPr>
            <w:rStyle w:val="Hyperlink"/>
            <w:rFonts w:hint="cs"/>
            <w:rtl/>
          </w:rPr>
          <w:t>"מבוא למ</w:t>
        </w:r>
        <w:r w:rsidRPr="002C2844">
          <w:rPr>
            <w:rStyle w:val="Hyperlink"/>
            <w:rFonts w:hint="cs"/>
            <w:rtl/>
          </w:rPr>
          <w:t>ד</w:t>
        </w:r>
        <w:r w:rsidRPr="002C2844">
          <w:rPr>
            <w:rStyle w:val="Hyperlink"/>
            <w:rFonts w:hint="cs"/>
            <w:rtl/>
          </w:rPr>
          <w:t>רשים", ענ</w:t>
        </w:r>
        <w:r w:rsidRPr="002C2844">
          <w:rPr>
            <w:rStyle w:val="Hyperlink"/>
            <w:rFonts w:hint="cs"/>
            <w:rtl/>
          </w:rPr>
          <w:t>ת</w:t>
        </w:r>
        <w:r w:rsidRPr="002C2844">
          <w:rPr>
            <w:rStyle w:val="Hyperlink"/>
            <w:rFonts w:hint="cs"/>
            <w:rtl/>
          </w:rPr>
          <w:t xml:space="preserve"> רייזל, הוצאת תבונות</w:t>
        </w:r>
      </w:hyperlink>
      <w:r>
        <w:rPr>
          <w:rFonts w:hint="cs"/>
          <w:rtl/>
        </w:rPr>
        <w:t>.</w:t>
      </w:r>
    </w:p>
  </w:footnote>
  <w:footnote w:id="9">
    <w:p w14:paraId="72E6EC6F" w14:textId="77777777" w:rsidR="004D01AE" w:rsidRDefault="004D01AE" w:rsidP="00CA63E1">
      <w:pPr>
        <w:pStyle w:val="a3"/>
        <w:rPr>
          <w:rFonts w:hint="cs"/>
        </w:rPr>
      </w:pPr>
      <w:r>
        <w:rPr>
          <w:rStyle w:val="a5"/>
        </w:rPr>
        <w:footnoteRef/>
      </w:r>
      <w:r>
        <w:rPr>
          <w:rtl/>
        </w:rPr>
        <w:t xml:space="preserve"> </w:t>
      </w:r>
      <w:r>
        <w:rPr>
          <w:rFonts w:hint="cs"/>
          <w:rtl/>
          <w:lang w:eastAsia="en-US"/>
        </w:rPr>
        <w:t>מדרש אבות דרבי נתן מוסיף את השופטים, בין הזקנים לנביאים, אך אינו מפרט אותם בשמותם. בין השופטים לנביאים הוא מרחיב ומוסיף את עלי ושמואל: "</w:t>
      </w:r>
      <w:r>
        <w:rPr>
          <w:rtl/>
          <w:lang w:eastAsia="en-US"/>
        </w:rPr>
        <w:t xml:space="preserve">יהושע מסר לזקנים </w:t>
      </w:r>
      <w:r>
        <w:rPr>
          <w:rFonts w:hint="cs"/>
          <w:rtl/>
          <w:lang w:eastAsia="en-US"/>
        </w:rPr>
        <w:t xml:space="preserve">... </w:t>
      </w:r>
      <w:r>
        <w:rPr>
          <w:rtl/>
          <w:lang w:eastAsia="en-US"/>
        </w:rPr>
        <w:t xml:space="preserve">זקנים מסרו לשופטים </w:t>
      </w:r>
      <w:r>
        <w:rPr>
          <w:rFonts w:hint="cs"/>
          <w:rtl/>
          <w:lang w:eastAsia="en-US"/>
        </w:rPr>
        <w:t xml:space="preserve">... </w:t>
      </w:r>
      <w:r>
        <w:rPr>
          <w:rtl/>
          <w:lang w:eastAsia="en-US"/>
        </w:rPr>
        <w:t xml:space="preserve">שופטים מסרו לעלי </w:t>
      </w:r>
      <w:r>
        <w:rPr>
          <w:rFonts w:hint="cs"/>
          <w:rtl/>
          <w:lang w:eastAsia="en-US"/>
        </w:rPr>
        <w:t xml:space="preserve">... </w:t>
      </w:r>
      <w:r>
        <w:rPr>
          <w:rtl/>
          <w:lang w:eastAsia="en-US"/>
        </w:rPr>
        <w:t>ועלי מסר לשמואל</w:t>
      </w:r>
      <w:r>
        <w:rPr>
          <w:rFonts w:hint="cs"/>
          <w:rtl/>
          <w:lang w:eastAsia="en-US"/>
        </w:rPr>
        <w:t xml:space="preserve"> ... </w:t>
      </w:r>
      <w:r>
        <w:rPr>
          <w:rtl/>
          <w:lang w:eastAsia="en-US"/>
        </w:rPr>
        <w:t>שמואל מסר לנביאים</w:t>
      </w:r>
      <w:r>
        <w:rPr>
          <w:rFonts w:hint="cs"/>
          <w:rtl/>
          <w:lang w:eastAsia="en-US"/>
        </w:rPr>
        <w:t xml:space="preserve"> וכו' ". משמע שעלי ושמואל מכלל שופטים יצאו ולכלל נביאים לא באו. בולטים בהעדרם </w:t>
      </w:r>
      <w:smartTag w:uri="urn:schemas-microsoft-com:office:smarttags" w:element="PersonName">
        <w:smartTagPr>
          <w:attr w:name="ProductID" w:val="עזרא ונחמיה"/>
        </w:smartTagPr>
        <w:r>
          <w:rPr>
            <w:rFonts w:hint="cs"/>
            <w:rtl/>
            <w:lang w:eastAsia="en-US"/>
          </w:rPr>
          <w:t>עזרא ונחמיה</w:t>
        </w:r>
      </w:smartTag>
      <w:r>
        <w:rPr>
          <w:rFonts w:hint="cs"/>
          <w:rtl/>
          <w:lang w:eastAsia="en-US"/>
        </w:rPr>
        <w:t>, אחרי שהנביאים האחרונים: חגי, זכריה ומלאכי נזכרים בשמותם. כמה מאות שנים מפרידות בין שיבת ציון וראשוני הזוגות הנזכרים להלן ועל כורחנו נצטרך לומר ש</w:t>
      </w:r>
      <w:smartTag w:uri="urn:schemas-microsoft-com:office:smarttags" w:element="PersonName">
        <w:smartTagPr>
          <w:attr w:name="ProductID" w:val="עזרא ונחמיה"/>
        </w:smartTagPr>
        <w:r>
          <w:rPr>
            <w:rFonts w:hint="cs"/>
            <w:rtl/>
            <w:lang w:eastAsia="en-US"/>
          </w:rPr>
          <w:t>עזרא ונחמיה</w:t>
        </w:r>
      </w:smartTag>
      <w:r>
        <w:rPr>
          <w:rFonts w:hint="cs"/>
          <w:rtl/>
          <w:lang w:eastAsia="en-US"/>
        </w:rPr>
        <w:t xml:space="preserve"> הם ראשוני אנשי הכנסת הגדולה. ובהמשך נראה שיש מי שהקדים את אנשי הכנסת הגדולה לבית ראשון! ומה שנוגע ל</w:t>
      </w:r>
      <w:smartTag w:uri="urn:schemas-microsoft-com:office:smarttags" w:element="PersonName">
        <w:smartTagPr>
          <w:attr w:name="ProductID" w:val="עזרא ונחמיה"/>
        </w:smartTagPr>
        <w:r>
          <w:rPr>
            <w:rFonts w:hint="cs"/>
            <w:rtl/>
            <w:lang w:eastAsia="en-US"/>
          </w:rPr>
          <w:t>עזרא ונחמיה</w:t>
        </w:r>
      </w:smartTag>
      <w:r>
        <w:rPr>
          <w:rFonts w:hint="cs"/>
          <w:rtl/>
          <w:lang w:eastAsia="en-US"/>
        </w:rPr>
        <w:t xml:space="preserve">, ראה </w:t>
      </w:r>
      <w:r>
        <w:rPr>
          <w:rtl/>
          <w:lang w:eastAsia="en-US"/>
        </w:rPr>
        <w:t>ספר הלכות גדולות הקדמה עמוד כ</w:t>
      </w:r>
      <w:r>
        <w:rPr>
          <w:rFonts w:hint="cs"/>
          <w:rtl/>
          <w:lang w:eastAsia="en-US"/>
        </w:rPr>
        <w:t>: "</w:t>
      </w:r>
      <w:r>
        <w:rPr>
          <w:rtl/>
          <w:lang w:eastAsia="en-US"/>
        </w:rPr>
        <w:t>משה קיבל תורה מסיני ומסרה ל</w:t>
      </w:r>
      <w:smartTag w:uri="urn:schemas-microsoft-com:office:smarttags" w:element="PersonName">
        <w:smartTagPr>
          <w:attr w:name="ProductID" w:val="יהושע ויהושע"/>
        </w:smartTagPr>
        <w:r>
          <w:rPr>
            <w:rtl/>
            <w:lang w:eastAsia="en-US"/>
          </w:rPr>
          <w:t>יהושע ויהושע</w:t>
        </w:r>
      </w:smartTag>
      <w:r>
        <w:rPr>
          <w:rtl/>
          <w:lang w:eastAsia="en-US"/>
        </w:rPr>
        <w:t xml:space="preserve"> לזקנים וזקנים לנביאים ונביאים מסרוה לאנשי כנסת הגדולה</w:t>
      </w:r>
      <w:r>
        <w:rPr>
          <w:rFonts w:hint="cs"/>
          <w:rtl/>
          <w:lang w:eastAsia="en-US"/>
        </w:rPr>
        <w:t>:</w:t>
      </w:r>
      <w:r>
        <w:rPr>
          <w:rtl/>
          <w:lang w:eastAsia="en-US"/>
        </w:rPr>
        <w:t xml:space="preserve"> חגי זכריה ומלאכי ועזרא וסיעתו</w:t>
      </w:r>
      <w:r>
        <w:rPr>
          <w:rFonts w:hint="cs"/>
          <w:rtl/>
          <w:lang w:eastAsia="en-US"/>
        </w:rPr>
        <w:t xml:space="preserve">". </w:t>
      </w:r>
    </w:p>
  </w:footnote>
  <w:footnote w:id="10">
    <w:p w14:paraId="2009474D" w14:textId="77777777" w:rsidR="00025C6E" w:rsidRDefault="00025C6E">
      <w:pPr>
        <w:pStyle w:val="a3"/>
        <w:rPr>
          <w:rFonts w:hint="cs"/>
        </w:rPr>
      </w:pPr>
      <w:r>
        <w:rPr>
          <w:rStyle w:val="a5"/>
        </w:rPr>
        <w:footnoteRef/>
      </w:r>
      <w:r>
        <w:rPr>
          <w:rtl/>
        </w:rPr>
        <w:t xml:space="preserve"> </w:t>
      </w:r>
      <w:r>
        <w:rPr>
          <w:rFonts w:hint="cs"/>
          <w:rtl/>
          <w:lang w:eastAsia="en-US"/>
        </w:rPr>
        <w:t xml:space="preserve">חיבור זה מתקופת הגאונים מונה כחמישים שמות בשרשרת מסירת התורה ממשה ועד עזרא ובהם שתי נשים: דבורה וחולדה! אולי מקור טוב לכל המתדיינים על לימוד תורה לנשים. אילולי דבורה שקיבלה משמגר והעבירה לברק ואילולי חולדה שקבלה מיחזקאל והעבירה לחגי, חו"ח נשתכחה תורה מישראל. ראה אזכור שרשרת זו חלקית גם במחזור ויטרי </w:t>
      </w:r>
      <w:r>
        <w:rPr>
          <w:rtl/>
          <w:lang w:eastAsia="en-US"/>
        </w:rPr>
        <w:t>סימן תכד</w:t>
      </w:r>
      <w:r>
        <w:rPr>
          <w:rFonts w:hint="cs"/>
          <w:rtl/>
          <w:lang w:eastAsia="en-US"/>
        </w:rPr>
        <w:t xml:space="preserve"> - </w:t>
      </w:r>
      <w:r>
        <w:rPr>
          <w:rtl/>
          <w:lang w:eastAsia="en-US"/>
        </w:rPr>
        <w:t>סדר מקבלי התורה ולומדיה</w:t>
      </w:r>
      <w:r>
        <w:rPr>
          <w:rFonts w:hint="cs"/>
          <w:rtl/>
          <w:lang w:eastAsia="en-US"/>
        </w:rPr>
        <w:t>.</w:t>
      </w:r>
    </w:p>
  </w:footnote>
  <w:footnote w:id="11">
    <w:p w14:paraId="1F011AE2" w14:textId="77777777" w:rsidR="004D01AE" w:rsidRDefault="004D01AE" w:rsidP="007068F4">
      <w:pPr>
        <w:pStyle w:val="a3"/>
        <w:rPr>
          <w:rFonts w:hint="cs"/>
        </w:rPr>
      </w:pPr>
      <w:r>
        <w:rPr>
          <w:rStyle w:val="a5"/>
        </w:rPr>
        <w:footnoteRef/>
      </w:r>
      <w:r>
        <w:rPr>
          <w:rtl/>
        </w:rPr>
        <w:t xml:space="preserve"> </w:t>
      </w:r>
      <w:r>
        <w:rPr>
          <w:rFonts w:hint="cs"/>
          <w:rtl/>
          <w:lang w:eastAsia="en-US"/>
        </w:rPr>
        <w:t>ראה הפסוק המלא בקהלת יב יא: "</w:t>
      </w:r>
      <w:r w:rsidRPr="001674B4">
        <w:rPr>
          <w:rFonts w:hint="eastAsia"/>
          <w:rtl/>
          <w:lang w:eastAsia="en-US"/>
        </w:rPr>
        <w:t>דִּבְרֵי</w:t>
      </w:r>
      <w:r w:rsidRPr="001674B4">
        <w:rPr>
          <w:rtl/>
          <w:lang w:eastAsia="en-US"/>
        </w:rPr>
        <w:t xml:space="preserve"> </w:t>
      </w:r>
      <w:r w:rsidRPr="001674B4">
        <w:rPr>
          <w:rFonts w:hint="eastAsia"/>
          <w:rtl/>
          <w:lang w:eastAsia="en-US"/>
        </w:rPr>
        <w:t>חֲכָמִים</w:t>
      </w:r>
      <w:r w:rsidRPr="001674B4">
        <w:rPr>
          <w:rtl/>
          <w:lang w:eastAsia="en-US"/>
        </w:rPr>
        <w:t xml:space="preserve"> </w:t>
      </w:r>
      <w:r w:rsidRPr="001674B4">
        <w:rPr>
          <w:rFonts w:hint="eastAsia"/>
          <w:rtl/>
          <w:lang w:eastAsia="en-US"/>
        </w:rPr>
        <w:t>כַּדָּרְבֹנוֹת</w:t>
      </w:r>
      <w:r w:rsidRPr="001674B4">
        <w:rPr>
          <w:rtl/>
          <w:lang w:eastAsia="en-US"/>
        </w:rPr>
        <w:t xml:space="preserve"> </w:t>
      </w:r>
      <w:r w:rsidRPr="001674B4">
        <w:rPr>
          <w:rFonts w:hint="eastAsia"/>
          <w:rtl/>
          <w:lang w:eastAsia="en-US"/>
        </w:rPr>
        <w:t>וּכְמַשְׂמְרוֹת</w:t>
      </w:r>
      <w:r w:rsidRPr="001674B4">
        <w:rPr>
          <w:rtl/>
          <w:lang w:eastAsia="en-US"/>
        </w:rPr>
        <w:t xml:space="preserve"> </w:t>
      </w:r>
      <w:r w:rsidRPr="001674B4">
        <w:rPr>
          <w:rFonts w:hint="eastAsia"/>
          <w:rtl/>
          <w:lang w:eastAsia="en-US"/>
        </w:rPr>
        <w:t>נְטוּעִים</w:t>
      </w:r>
      <w:r w:rsidRPr="001674B4">
        <w:rPr>
          <w:rtl/>
          <w:lang w:eastAsia="en-US"/>
        </w:rPr>
        <w:t xml:space="preserve"> </w:t>
      </w:r>
      <w:r w:rsidRPr="001674B4">
        <w:rPr>
          <w:rFonts w:hint="eastAsia"/>
          <w:rtl/>
          <w:lang w:eastAsia="en-US"/>
        </w:rPr>
        <w:t>בַּעֲלֵי</w:t>
      </w:r>
      <w:r w:rsidRPr="001674B4">
        <w:rPr>
          <w:rtl/>
          <w:lang w:eastAsia="en-US"/>
        </w:rPr>
        <w:t xml:space="preserve"> </w:t>
      </w:r>
      <w:r w:rsidRPr="001674B4">
        <w:rPr>
          <w:rFonts w:hint="eastAsia"/>
          <w:rtl/>
          <w:lang w:eastAsia="en-US"/>
        </w:rPr>
        <w:t>אֲסֻפּוֹת</w:t>
      </w:r>
      <w:r w:rsidRPr="001674B4">
        <w:rPr>
          <w:rtl/>
          <w:lang w:eastAsia="en-US"/>
        </w:rPr>
        <w:t xml:space="preserve"> </w:t>
      </w:r>
      <w:r w:rsidRPr="001674B4">
        <w:rPr>
          <w:rFonts w:hint="eastAsia"/>
          <w:rtl/>
          <w:lang w:eastAsia="en-US"/>
        </w:rPr>
        <w:t>נִתְּנוּ</w:t>
      </w:r>
      <w:r w:rsidRPr="001674B4">
        <w:rPr>
          <w:rtl/>
          <w:lang w:eastAsia="en-US"/>
        </w:rPr>
        <w:t xml:space="preserve"> </w:t>
      </w:r>
      <w:r w:rsidRPr="001674B4">
        <w:rPr>
          <w:rFonts w:hint="eastAsia"/>
          <w:rtl/>
          <w:lang w:eastAsia="en-US"/>
        </w:rPr>
        <w:t>מֵרֹעֶה</w:t>
      </w:r>
      <w:r w:rsidRPr="001674B4">
        <w:rPr>
          <w:rtl/>
          <w:lang w:eastAsia="en-US"/>
        </w:rPr>
        <w:t xml:space="preserve"> </w:t>
      </w:r>
      <w:r w:rsidRPr="001674B4">
        <w:rPr>
          <w:rFonts w:hint="eastAsia"/>
          <w:rtl/>
          <w:lang w:eastAsia="en-US"/>
        </w:rPr>
        <w:t>אֶחָד</w:t>
      </w:r>
      <w:r>
        <w:rPr>
          <w:rFonts w:ascii="Narkisim" w:hint="cs"/>
          <w:color w:val="000000"/>
          <w:rtl/>
          <w:lang w:eastAsia="en-US"/>
        </w:rPr>
        <w:t>". כאן, בירושלמי משמש פסוק זה להמחיש את העברת המסורת מדור לדור ואילו בגמרא</w:t>
      </w:r>
      <w:r w:rsidRPr="001674B4">
        <w:rPr>
          <w:rFonts w:hint="cs"/>
          <w:rtl/>
          <w:lang w:eastAsia="en-US"/>
        </w:rPr>
        <w:t xml:space="preserve"> </w:t>
      </w:r>
      <w:r>
        <w:rPr>
          <w:rFonts w:hint="cs"/>
          <w:rtl/>
          <w:lang w:eastAsia="en-US"/>
        </w:rPr>
        <w:t xml:space="preserve">בבלי, מסכת חגיגה </w:t>
      </w:r>
      <w:r w:rsidRPr="001674B4">
        <w:rPr>
          <w:rFonts w:hint="eastAsia"/>
          <w:rtl/>
          <w:lang w:eastAsia="en-US"/>
        </w:rPr>
        <w:t>דף</w:t>
      </w:r>
      <w:r w:rsidRPr="001674B4">
        <w:rPr>
          <w:rtl/>
          <w:lang w:eastAsia="en-US"/>
        </w:rPr>
        <w:t xml:space="preserve"> </w:t>
      </w:r>
      <w:r w:rsidRPr="001674B4">
        <w:rPr>
          <w:rFonts w:hint="eastAsia"/>
          <w:rtl/>
          <w:lang w:eastAsia="en-US"/>
        </w:rPr>
        <w:t>ג</w:t>
      </w:r>
      <w:r w:rsidRPr="001674B4">
        <w:rPr>
          <w:rtl/>
          <w:lang w:eastAsia="en-US"/>
        </w:rPr>
        <w:t xml:space="preserve"> </w:t>
      </w:r>
      <w:r w:rsidRPr="001674B4">
        <w:rPr>
          <w:rFonts w:hint="eastAsia"/>
          <w:rtl/>
          <w:lang w:eastAsia="en-US"/>
        </w:rPr>
        <w:t>עמוד</w:t>
      </w:r>
      <w:r w:rsidRPr="001674B4">
        <w:rPr>
          <w:rtl/>
          <w:lang w:eastAsia="en-US"/>
        </w:rPr>
        <w:t xml:space="preserve"> </w:t>
      </w:r>
      <w:r w:rsidRPr="001674B4">
        <w:rPr>
          <w:rFonts w:hint="eastAsia"/>
          <w:rtl/>
          <w:lang w:eastAsia="en-US"/>
        </w:rPr>
        <w:t>ב</w:t>
      </w:r>
      <w:r w:rsidR="002C2844">
        <w:rPr>
          <w:rFonts w:hint="cs"/>
          <w:rtl/>
          <w:lang w:eastAsia="en-US"/>
        </w:rPr>
        <w:t>,</w:t>
      </w:r>
      <w:r>
        <w:rPr>
          <w:rFonts w:hint="cs"/>
          <w:rtl/>
          <w:lang w:eastAsia="en-US"/>
        </w:rPr>
        <w:t xml:space="preserve"> נדרש הפסוק דווקא על החידוש הגדול של בית המדרש בכל דור ודור: "</w:t>
      </w:r>
      <w:r w:rsidRPr="001674B4">
        <w:rPr>
          <w:rFonts w:hint="eastAsia"/>
          <w:rtl/>
          <w:lang w:eastAsia="en-US"/>
        </w:rPr>
        <w:t>בעלי</w:t>
      </w:r>
      <w:r w:rsidRPr="001674B4">
        <w:rPr>
          <w:rtl/>
          <w:lang w:eastAsia="en-US"/>
        </w:rPr>
        <w:t xml:space="preserve"> </w:t>
      </w:r>
      <w:r w:rsidRPr="001674B4">
        <w:rPr>
          <w:rFonts w:hint="eastAsia"/>
          <w:rtl/>
          <w:lang w:eastAsia="en-US"/>
        </w:rPr>
        <w:t>אס</w:t>
      </w:r>
      <w:r>
        <w:rPr>
          <w:rFonts w:hint="cs"/>
          <w:rtl/>
          <w:lang w:eastAsia="en-US"/>
        </w:rPr>
        <w:t>ו</w:t>
      </w:r>
      <w:r w:rsidRPr="001674B4">
        <w:rPr>
          <w:rFonts w:hint="eastAsia"/>
          <w:rtl/>
          <w:lang w:eastAsia="en-US"/>
        </w:rPr>
        <w:t>פות</w:t>
      </w:r>
      <w:r w:rsidRPr="001674B4">
        <w:rPr>
          <w:rtl/>
          <w:lang w:eastAsia="en-US"/>
        </w:rPr>
        <w:t xml:space="preserve"> - </w:t>
      </w:r>
      <w:r w:rsidRPr="001674B4">
        <w:rPr>
          <w:rFonts w:hint="eastAsia"/>
          <w:rtl/>
          <w:lang w:eastAsia="en-US"/>
        </w:rPr>
        <w:t>אלו</w:t>
      </w:r>
      <w:r w:rsidRPr="001674B4">
        <w:rPr>
          <w:rtl/>
          <w:lang w:eastAsia="en-US"/>
        </w:rPr>
        <w:t xml:space="preserve"> </w:t>
      </w:r>
      <w:r w:rsidRPr="001674B4">
        <w:rPr>
          <w:rFonts w:hint="eastAsia"/>
          <w:rtl/>
          <w:lang w:eastAsia="en-US"/>
        </w:rPr>
        <w:t>תלמידי</w:t>
      </w:r>
      <w:r w:rsidRPr="001674B4">
        <w:rPr>
          <w:rtl/>
          <w:lang w:eastAsia="en-US"/>
        </w:rPr>
        <w:t xml:space="preserve"> </w:t>
      </w:r>
      <w:r w:rsidRPr="001674B4">
        <w:rPr>
          <w:rFonts w:hint="eastAsia"/>
          <w:rtl/>
          <w:lang w:eastAsia="en-US"/>
        </w:rPr>
        <w:t>חכמים</w:t>
      </w:r>
      <w:r w:rsidRPr="001674B4">
        <w:rPr>
          <w:rtl/>
          <w:lang w:eastAsia="en-US"/>
        </w:rPr>
        <w:t xml:space="preserve"> </w:t>
      </w:r>
      <w:r w:rsidRPr="001674B4">
        <w:rPr>
          <w:rFonts w:hint="eastAsia"/>
          <w:rtl/>
          <w:lang w:eastAsia="en-US"/>
        </w:rPr>
        <w:t>שיושבין</w:t>
      </w:r>
      <w:r w:rsidRPr="001674B4">
        <w:rPr>
          <w:rtl/>
          <w:lang w:eastAsia="en-US"/>
        </w:rPr>
        <w:t xml:space="preserve"> </w:t>
      </w:r>
      <w:r w:rsidRPr="001674B4">
        <w:rPr>
          <w:rFonts w:hint="eastAsia"/>
          <w:rtl/>
          <w:lang w:eastAsia="en-US"/>
        </w:rPr>
        <w:t>אסופות</w:t>
      </w:r>
      <w:r w:rsidRPr="001674B4">
        <w:rPr>
          <w:rtl/>
          <w:lang w:eastAsia="en-US"/>
        </w:rPr>
        <w:t xml:space="preserve"> </w:t>
      </w:r>
      <w:r w:rsidRPr="001674B4">
        <w:rPr>
          <w:rFonts w:hint="eastAsia"/>
          <w:rtl/>
          <w:lang w:eastAsia="en-US"/>
        </w:rPr>
        <w:t>אסופות</w:t>
      </w:r>
      <w:r w:rsidRPr="001674B4">
        <w:rPr>
          <w:rtl/>
          <w:lang w:eastAsia="en-US"/>
        </w:rPr>
        <w:t xml:space="preserve"> </w:t>
      </w:r>
      <w:r w:rsidRPr="001674B4">
        <w:rPr>
          <w:rFonts w:hint="eastAsia"/>
          <w:rtl/>
          <w:lang w:eastAsia="en-US"/>
        </w:rPr>
        <w:t>ועוסקין</w:t>
      </w:r>
      <w:r w:rsidRPr="001674B4">
        <w:rPr>
          <w:rtl/>
          <w:lang w:eastAsia="en-US"/>
        </w:rPr>
        <w:t xml:space="preserve"> </w:t>
      </w:r>
      <w:r w:rsidRPr="001674B4">
        <w:rPr>
          <w:rFonts w:hint="eastAsia"/>
          <w:rtl/>
          <w:lang w:eastAsia="en-US"/>
        </w:rPr>
        <w:t>בתורה</w:t>
      </w:r>
      <w:r>
        <w:rPr>
          <w:rFonts w:hint="cs"/>
          <w:rtl/>
          <w:lang w:eastAsia="en-US"/>
        </w:rPr>
        <w:t>.</w:t>
      </w:r>
      <w:r w:rsidRPr="001674B4">
        <w:rPr>
          <w:rtl/>
          <w:lang w:eastAsia="en-US"/>
        </w:rPr>
        <w:t xml:space="preserve"> </w:t>
      </w:r>
      <w:r w:rsidRPr="001674B4">
        <w:rPr>
          <w:rFonts w:hint="eastAsia"/>
          <w:rtl/>
          <w:lang w:eastAsia="en-US"/>
        </w:rPr>
        <w:t>הללו</w:t>
      </w:r>
      <w:r w:rsidRPr="001674B4">
        <w:rPr>
          <w:rtl/>
          <w:lang w:eastAsia="en-US"/>
        </w:rPr>
        <w:t xml:space="preserve"> </w:t>
      </w:r>
      <w:r w:rsidRPr="001674B4">
        <w:rPr>
          <w:rFonts w:hint="eastAsia"/>
          <w:rtl/>
          <w:lang w:eastAsia="en-US"/>
        </w:rPr>
        <w:t>מטמאין</w:t>
      </w:r>
      <w:r w:rsidRPr="001674B4">
        <w:rPr>
          <w:rtl/>
          <w:lang w:eastAsia="en-US"/>
        </w:rPr>
        <w:t xml:space="preserve"> </w:t>
      </w:r>
      <w:r w:rsidRPr="001674B4">
        <w:rPr>
          <w:rFonts w:hint="eastAsia"/>
          <w:rtl/>
          <w:lang w:eastAsia="en-US"/>
        </w:rPr>
        <w:t>והללו</w:t>
      </w:r>
      <w:r w:rsidRPr="001674B4">
        <w:rPr>
          <w:rtl/>
          <w:lang w:eastAsia="en-US"/>
        </w:rPr>
        <w:t xml:space="preserve"> </w:t>
      </w:r>
      <w:r w:rsidRPr="001674B4">
        <w:rPr>
          <w:rFonts w:hint="eastAsia"/>
          <w:rtl/>
          <w:lang w:eastAsia="en-US"/>
        </w:rPr>
        <w:t>מטהרין</w:t>
      </w:r>
      <w:r w:rsidRPr="001674B4">
        <w:rPr>
          <w:rtl/>
          <w:lang w:eastAsia="en-US"/>
        </w:rPr>
        <w:t xml:space="preserve">, </w:t>
      </w:r>
      <w:r w:rsidRPr="001674B4">
        <w:rPr>
          <w:rFonts w:hint="eastAsia"/>
          <w:rtl/>
          <w:lang w:eastAsia="en-US"/>
        </w:rPr>
        <w:t>הללו</w:t>
      </w:r>
      <w:r w:rsidRPr="001674B4">
        <w:rPr>
          <w:rtl/>
          <w:lang w:eastAsia="en-US"/>
        </w:rPr>
        <w:t xml:space="preserve"> </w:t>
      </w:r>
      <w:r w:rsidRPr="001674B4">
        <w:rPr>
          <w:rFonts w:hint="eastAsia"/>
          <w:rtl/>
          <w:lang w:eastAsia="en-US"/>
        </w:rPr>
        <w:t>אוסרין</w:t>
      </w:r>
      <w:r w:rsidRPr="001674B4">
        <w:rPr>
          <w:rtl/>
          <w:lang w:eastAsia="en-US"/>
        </w:rPr>
        <w:t xml:space="preserve"> </w:t>
      </w:r>
      <w:r w:rsidRPr="001674B4">
        <w:rPr>
          <w:rFonts w:hint="eastAsia"/>
          <w:rtl/>
          <w:lang w:eastAsia="en-US"/>
        </w:rPr>
        <w:t>והללו</w:t>
      </w:r>
      <w:r w:rsidRPr="001674B4">
        <w:rPr>
          <w:rtl/>
          <w:lang w:eastAsia="en-US"/>
        </w:rPr>
        <w:t xml:space="preserve"> </w:t>
      </w:r>
      <w:r w:rsidRPr="001674B4">
        <w:rPr>
          <w:rFonts w:hint="eastAsia"/>
          <w:rtl/>
          <w:lang w:eastAsia="en-US"/>
        </w:rPr>
        <w:t>מתירין</w:t>
      </w:r>
      <w:r w:rsidRPr="001674B4">
        <w:rPr>
          <w:rtl/>
          <w:lang w:eastAsia="en-US"/>
        </w:rPr>
        <w:t xml:space="preserve">, </w:t>
      </w:r>
      <w:r w:rsidRPr="001674B4">
        <w:rPr>
          <w:rFonts w:hint="eastAsia"/>
          <w:rtl/>
          <w:lang w:eastAsia="en-US"/>
        </w:rPr>
        <w:t>הללו</w:t>
      </w:r>
      <w:r w:rsidRPr="001674B4">
        <w:rPr>
          <w:rtl/>
          <w:lang w:eastAsia="en-US"/>
        </w:rPr>
        <w:t xml:space="preserve"> </w:t>
      </w:r>
      <w:r w:rsidRPr="001674B4">
        <w:rPr>
          <w:rFonts w:hint="eastAsia"/>
          <w:rtl/>
          <w:lang w:eastAsia="en-US"/>
        </w:rPr>
        <w:t>פוסלין</w:t>
      </w:r>
      <w:r w:rsidRPr="001674B4">
        <w:rPr>
          <w:rtl/>
          <w:lang w:eastAsia="en-US"/>
        </w:rPr>
        <w:t xml:space="preserve"> </w:t>
      </w:r>
      <w:r w:rsidRPr="001674B4">
        <w:rPr>
          <w:rFonts w:hint="eastAsia"/>
          <w:rtl/>
          <w:lang w:eastAsia="en-US"/>
        </w:rPr>
        <w:t>והללו</w:t>
      </w:r>
      <w:r w:rsidRPr="001674B4">
        <w:rPr>
          <w:rtl/>
          <w:lang w:eastAsia="en-US"/>
        </w:rPr>
        <w:t xml:space="preserve"> </w:t>
      </w:r>
      <w:r w:rsidRPr="001674B4">
        <w:rPr>
          <w:rFonts w:hint="eastAsia"/>
          <w:rtl/>
          <w:lang w:eastAsia="en-US"/>
        </w:rPr>
        <w:t>מכשירין</w:t>
      </w:r>
      <w:r w:rsidRPr="001674B4">
        <w:rPr>
          <w:rtl/>
          <w:lang w:eastAsia="en-US"/>
        </w:rPr>
        <w:t xml:space="preserve">. </w:t>
      </w:r>
      <w:r w:rsidRPr="001674B4">
        <w:rPr>
          <w:rFonts w:hint="eastAsia"/>
          <w:rtl/>
          <w:lang w:eastAsia="en-US"/>
        </w:rPr>
        <w:t>שמא</w:t>
      </w:r>
      <w:r w:rsidRPr="001674B4">
        <w:rPr>
          <w:rtl/>
          <w:lang w:eastAsia="en-US"/>
        </w:rPr>
        <w:t xml:space="preserve"> </w:t>
      </w:r>
      <w:r w:rsidRPr="001674B4">
        <w:rPr>
          <w:rFonts w:hint="eastAsia"/>
          <w:rtl/>
          <w:lang w:eastAsia="en-US"/>
        </w:rPr>
        <w:t>יאמר</w:t>
      </w:r>
      <w:r w:rsidRPr="001674B4">
        <w:rPr>
          <w:rtl/>
          <w:lang w:eastAsia="en-US"/>
        </w:rPr>
        <w:t xml:space="preserve"> </w:t>
      </w:r>
      <w:r w:rsidRPr="001674B4">
        <w:rPr>
          <w:rFonts w:hint="eastAsia"/>
          <w:rtl/>
          <w:lang w:eastAsia="en-US"/>
        </w:rPr>
        <w:t>אדם</w:t>
      </w:r>
      <w:r w:rsidRPr="001674B4">
        <w:rPr>
          <w:rtl/>
          <w:lang w:eastAsia="en-US"/>
        </w:rPr>
        <w:t xml:space="preserve">: </w:t>
      </w:r>
      <w:r w:rsidRPr="001674B4">
        <w:rPr>
          <w:rFonts w:hint="eastAsia"/>
          <w:rtl/>
          <w:lang w:eastAsia="en-US"/>
        </w:rPr>
        <w:t>היאך</w:t>
      </w:r>
      <w:r w:rsidRPr="001674B4">
        <w:rPr>
          <w:rtl/>
          <w:lang w:eastAsia="en-US"/>
        </w:rPr>
        <w:t xml:space="preserve"> </w:t>
      </w:r>
      <w:r w:rsidRPr="001674B4">
        <w:rPr>
          <w:rFonts w:hint="eastAsia"/>
          <w:rtl/>
          <w:lang w:eastAsia="en-US"/>
        </w:rPr>
        <w:t>אני</w:t>
      </w:r>
      <w:r w:rsidRPr="001674B4">
        <w:rPr>
          <w:rtl/>
          <w:lang w:eastAsia="en-US"/>
        </w:rPr>
        <w:t xml:space="preserve"> </w:t>
      </w:r>
      <w:r w:rsidRPr="001674B4">
        <w:rPr>
          <w:rFonts w:hint="eastAsia"/>
          <w:rtl/>
          <w:lang w:eastAsia="en-US"/>
        </w:rPr>
        <w:t>למד</w:t>
      </w:r>
      <w:r w:rsidRPr="001674B4">
        <w:rPr>
          <w:rtl/>
          <w:lang w:eastAsia="en-US"/>
        </w:rPr>
        <w:t xml:space="preserve"> </w:t>
      </w:r>
      <w:r w:rsidRPr="001674B4">
        <w:rPr>
          <w:rFonts w:hint="eastAsia"/>
          <w:rtl/>
          <w:lang w:eastAsia="en-US"/>
        </w:rPr>
        <w:t>תורה</w:t>
      </w:r>
      <w:r w:rsidRPr="001674B4">
        <w:rPr>
          <w:rtl/>
          <w:lang w:eastAsia="en-US"/>
        </w:rPr>
        <w:t xml:space="preserve"> </w:t>
      </w:r>
      <w:r w:rsidRPr="001674B4">
        <w:rPr>
          <w:rFonts w:hint="eastAsia"/>
          <w:rtl/>
          <w:lang w:eastAsia="en-US"/>
        </w:rPr>
        <w:t>מעתה</w:t>
      </w:r>
      <w:r w:rsidRPr="001674B4">
        <w:rPr>
          <w:rtl/>
          <w:lang w:eastAsia="en-US"/>
        </w:rPr>
        <w:t xml:space="preserve">? </w:t>
      </w:r>
      <w:r w:rsidRPr="001674B4">
        <w:rPr>
          <w:rFonts w:hint="eastAsia"/>
          <w:rtl/>
          <w:lang w:eastAsia="en-US"/>
        </w:rPr>
        <w:t>תלמוד</w:t>
      </w:r>
      <w:r w:rsidRPr="001674B4">
        <w:rPr>
          <w:rtl/>
          <w:lang w:eastAsia="en-US"/>
        </w:rPr>
        <w:t xml:space="preserve"> </w:t>
      </w:r>
      <w:r w:rsidRPr="001674B4">
        <w:rPr>
          <w:rFonts w:hint="eastAsia"/>
          <w:rtl/>
          <w:lang w:eastAsia="en-US"/>
        </w:rPr>
        <w:t>לומר</w:t>
      </w:r>
      <w:r w:rsidRPr="001674B4">
        <w:rPr>
          <w:rtl/>
          <w:lang w:eastAsia="en-US"/>
        </w:rPr>
        <w:t xml:space="preserve">: </w:t>
      </w:r>
      <w:r w:rsidRPr="001674B4">
        <w:rPr>
          <w:rFonts w:hint="eastAsia"/>
          <w:rtl/>
          <w:lang w:eastAsia="en-US"/>
        </w:rPr>
        <w:t>כולם</w:t>
      </w:r>
      <w:r w:rsidRPr="001674B4">
        <w:rPr>
          <w:rtl/>
          <w:lang w:eastAsia="en-US"/>
        </w:rPr>
        <w:t xml:space="preserve"> </w:t>
      </w:r>
      <w:r w:rsidRPr="001674B4">
        <w:rPr>
          <w:rFonts w:hint="eastAsia"/>
          <w:rtl/>
          <w:lang w:eastAsia="en-US"/>
        </w:rPr>
        <w:t>נתנו</w:t>
      </w:r>
      <w:r w:rsidRPr="001674B4">
        <w:rPr>
          <w:rtl/>
          <w:lang w:eastAsia="en-US"/>
        </w:rPr>
        <w:t xml:space="preserve"> </w:t>
      </w:r>
      <w:r w:rsidRPr="001674B4">
        <w:rPr>
          <w:rFonts w:hint="eastAsia"/>
          <w:rtl/>
          <w:lang w:eastAsia="en-US"/>
        </w:rPr>
        <w:t>מר</w:t>
      </w:r>
      <w:r>
        <w:rPr>
          <w:rFonts w:hint="cs"/>
          <w:rtl/>
          <w:lang w:eastAsia="en-US"/>
        </w:rPr>
        <w:t>ו</w:t>
      </w:r>
      <w:r w:rsidRPr="001674B4">
        <w:rPr>
          <w:rFonts w:hint="eastAsia"/>
          <w:rtl/>
          <w:lang w:eastAsia="en-US"/>
        </w:rPr>
        <w:t>עה</w:t>
      </w:r>
      <w:r w:rsidRPr="001674B4">
        <w:rPr>
          <w:rtl/>
          <w:lang w:eastAsia="en-US"/>
        </w:rPr>
        <w:t xml:space="preserve"> </w:t>
      </w:r>
      <w:r w:rsidRPr="001674B4">
        <w:rPr>
          <w:rFonts w:hint="eastAsia"/>
          <w:rtl/>
          <w:lang w:eastAsia="en-US"/>
        </w:rPr>
        <w:t>אחד</w:t>
      </w:r>
      <w:r w:rsidRPr="001674B4">
        <w:rPr>
          <w:rtl/>
          <w:lang w:eastAsia="en-US"/>
        </w:rPr>
        <w:t xml:space="preserve"> - </w:t>
      </w:r>
      <w:r w:rsidRPr="001674B4">
        <w:rPr>
          <w:rFonts w:hint="eastAsia"/>
          <w:rtl/>
          <w:lang w:eastAsia="en-US"/>
        </w:rPr>
        <w:t>אל</w:t>
      </w:r>
      <w:r w:rsidRPr="001674B4">
        <w:rPr>
          <w:rtl/>
          <w:lang w:eastAsia="en-US"/>
        </w:rPr>
        <w:t xml:space="preserve"> </w:t>
      </w:r>
      <w:r w:rsidRPr="001674B4">
        <w:rPr>
          <w:rFonts w:hint="eastAsia"/>
          <w:rtl/>
          <w:lang w:eastAsia="en-US"/>
        </w:rPr>
        <w:t>אחד</w:t>
      </w:r>
      <w:r w:rsidRPr="001674B4">
        <w:rPr>
          <w:rtl/>
          <w:lang w:eastAsia="en-US"/>
        </w:rPr>
        <w:t xml:space="preserve"> </w:t>
      </w:r>
      <w:r w:rsidRPr="001674B4">
        <w:rPr>
          <w:rFonts w:hint="eastAsia"/>
          <w:rtl/>
          <w:lang w:eastAsia="en-US"/>
        </w:rPr>
        <w:t>נתנן</w:t>
      </w:r>
      <w:r w:rsidRPr="001674B4">
        <w:rPr>
          <w:rtl/>
          <w:lang w:eastAsia="en-US"/>
        </w:rPr>
        <w:t xml:space="preserve">, </w:t>
      </w:r>
      <w:r w:rsidRPr="001674B4">
        <w:rPr>
          <w:rFonts w:hint="eastAsia"/>
          <w:rtl/>
          <w:lang w:eastAsia="en-US"/>
        </w:rPr>
        <w:t>פרנס</w:t>
      </w:r>
      <w:r w:rsidRPr="001674B4">
        <w:rPr>
          <w:rtl/>
          <w:lang w:eastAsia="en-US"/>
        </w:rPr>
        <w:t xml:space="preserve"> </w:t>
      </w:r>
      <w:r w:rsidRPr="001674B4">
        <w:rPr>
          <w:rFonts w:hint="eastAsia"/>
          <w:rtl/>
          <w:lang w:eastAsia="en-US"/>
        </w:rPr>
        <w:t>אחד</w:t>
      </w:r>
      <w:r w:rsidRPr="001674B4">
        <w:rPr>
          <w:rtl/>
          <w:lang w:eastAsia="en-US"/>
        </w:rPr>
        <w:t xml:space="preserve"> </w:t>
      </w:r>
      <w:r w:rsidRPr="001674B4">
        <w:rPr>
          <w:rFonts w:hint="eastAsia"/>
          <w:rtl/>
          <w:lang w:eastAsia="en-US"/>
        </w:rPr>
        <w:t>אמרן</w:t>
      </w:r>
      <w:r w:rsidRPr="001674B4">
        <w:rPr>
          <w:rtl/>
          <w:lang w:eastAsia="en-US"/>
        </w:rPr>
        <w:t xml:space="preserve">, </w:t>
      </w:r>
      <w:r w:rsidRPr="001674B4">
        <w:rPr>
          <w:rFonts w:hint="eastAsia"/>
          <w:rtl/>
          <w:lang w:eastAsia="en-US"/>
        </w:rPr>
        <w:t>מפי</w:t>
      </w:r>
      <w:r w:rsidRPr="001674B4">
        <w:rPr>
          <w:rtl/>
          <w:lang w:eastAsia="en-US"/>
        </w:rPr>
        <w:t xml:space="preserve"> </w:t>
      </w:r>
      <w:r w:rsidRPr="001674B4">
        <w:rPr>
          <w:rFonts w:hint="eastAsia"/>
          <w:rtl/>
          <w:lang w:eastAsia="en-US"/>
        </w:rPr>
        <w:t>אדון</w:t>
      </w:r>
      <w:r w:rsidRPr="001674B4">
        <w:rPr>
          <w:rtl/>
          <w:lang w:eastAsia="en-US"/>
        </w:rPr>
        <w:t xml:space="preserve"> </w:t>
      </w:r>
      <w:r w:rsidRPr="001674B4">
        <w:rPr>
          <w:rFonts w:hint="eastAsia"/>
          <w:rtl/>
          <w:lang w:eastAsia="en-US"/>
        </w:rPr>
        <w:t>כל</w:t>
      </w:r>
      <w:r w:rsidRPr="001674B4">
        <w:rPr>
          <w:rtl/>
          <w:lang w:eastAsia="en-US"/>
        </w:rPr>
        <w:t xml:space="preserve"> </w:t>
      </w:r>
      <w:r w:rsidRPr="001674B4">
        <w:rPr>
          <w:rFonts w:hint="eastAsia"/>
          <w:rtl/>
          <w:lang w:eastAsia="en-US"/>
        </w:rPr>
        <w:t>המעשים</w:t>
      </w:r>
      <w:r w:rsidRPr="001674B4">
        <w:rPr>
          <w:rtl/>
          <w:lang w:eastAsia="en-US"/>
        </w:rPr>
        <w:t xml:space="preserve"> </w:t>
      </w:r>
      <w:r w:rsidRPr="001674B4">
        <w:rPr>
          <w:rFonts w:hint="eastAsia"/>
          <w:rtl/>
          <w:lang w:eastAsia="en-US"/>
        </w:rPr>
        <w:t>ברוך</w:t>
      </w:r>
      <w:r w:rsidRPr="001674B4">
        <w:rPr>
          <w:rtl/>
          <w:lang w:eastAsia="en-US"/>
        </w:rPr>
        <w:t xml:space="preserve"> </w:t>
      </w:r>
      <w:r w:rsidRPr="001674B4">
        <w:rPr>
          <w:rFonts w:hint="eastAsia"/>
          <w:rtl/>
          <w:lang w:eastAsia="en-US"/>
        </w:rPr>
        <w:t>הוא</w:t>
      </w:r>
      <w:r w:rsidRPr="001674B4">
        <w:rPr>
          <w:rtl/>
          <w:lang w:eastAsia="en-US"/>
        </w:rPr>
        <w:t xml:space="preserve">, </w:t>
      </w:r>
      <w:r w:rsidRPr="001674B4">
        <w:rPr>
          <w:rFonts w:hint="eastAsia"/>
          <w:rtl/>
          <w:lang w:eastAsia="en-US"/>
        </w:rPr>
        <w:t>דכתיב</w:t>
      </w:r>
      <w:r>
        <w:rPr>
          <w:rFonts w:hint="cs"/>
          <w:rtl/>
          <w:lang w:eastAsia="en-US"/>
        </w:rPr>
        <w:t xml:space="preserve">: </w:t>
      </w:r>
      <w:r w:rsidRPr="001674B4">
        <w:rPr>
          <w:rFonts w:hint="eastAsia"/>
          <w:rtl/>
          <w:lang w:eastAsia="en-US"/>
        </w:rPr>
        <w:t>וידבר</w:t>
      </w:r>
      <w:r w:rsidRPr="001674B4">
        <w:rPr>
          <w:rtl/>
          <w:lang w:eastAsia="en-US"/>
        </w:rPr>
        <w:t xml:space="preserve"> </w:t>
      </w:r>
      <w:r w:rsidRPr="001674B4">
        <w:rPr>
          <w:rFonts w:hint="eastAsia"/>
          <w:rtl/>
          <w:lang w:eastAsia="en-US"/>
        </w:rPr>
        <w:t>אלהים</w:t>
      </w:r>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כל</w:t>
      </w:r>
      <w:r w:rsidRPr="001674B4">
        <w:rPr>
          <w:rtl/>
          <w:lang w:eastAsia="en-US"/>
        </w:rPr>
        <w:t xml:space="preserve"> </w:t>
      </w:r>
      <w:r w:rsidRPr="001674B4">
        <w:rPr>
          <w:rFonts w:hint="eastAsia"/>
          <w:rtl/>
          <w:lang w:eastAsia="en-US"/>
        </w:rPr>
        <w:t>הדברים</w:t>
      </w:r>
      <w:r w:rsidRPr="001674B4">
        <w:rPr>
          <w:rtl/>
          <w:lang w:eastAsia="en-US"/>
        </w:rPr>
        <w:t xml:space="preserve"> </w:t>
      </w:r>
      <w:r w:rsidRPr="001674B4">
        <w:rPr>
          <w:rFonts w:hint="eastAsia"/>
          <w:rtl/>
          <w:lang w:eastAsia="en-US"/>
        </w:rPr>
        <w:t>האלה</w:t>
      </w:r>
      <w:r w:rsidRPr="001674B4">
        <w:rPr>
          <w:rtl/>
          <w:lang w:eastAsia="en-US"/>
        </w:rPr>
        <w:t xml:space="preserve">. </w:t>
      </w:r>
      <w:r w:rsidRPr="001674B4">
        <w:rPr>
          <w:rFonts w:hint="eastAsia"/>
          <w:rtl/>
          <w:lang w:eastAsia="en-US"/>
        </w:rPr>
        <w:t>אף</w:t>
      </w:r>
      <w:r w:rsidRPr="001674B4">
        <w:rPr>
          <w:rtl/>
          <w:lang w:eastAsia="en-US"/>
        </w:rPr>
        <w:t xml:space="preserve"> </w:t>
      </w:r>
      <w:r w:rsidRPr="001674B4">
        <w:rPr>
          <w:rFonts w:hint="eastAsia"/>
          <w:rtl/>
          <w:lang w:eastAsia="en-US"/>
        </w:rPr>
        <w:t>אתה</w:t>
      </w:r>
      <w:r w:rsidRPr="001674B4">
        <w:rPr>
          <w:rtl/>
          <w:lang w:eastAsia="en-US"/>
        </w:rPr>
        <w:t xml:space="preserve"> </w:t>
      </w:r>
      <w:r w:rsidRPr="001674B4">
        <w:rPr>
          <w:rFonts w:hint="eastAsia"/>
          <w:rtl/>
          <w:lang w:eastAsia="en-US"/>
        </w:rPr>
        <w:t>עשה</w:t>
      </w:r>
      <w:r w:rsidRPr="001674B4">
        <w:rPr>
          <w:rtl/>
          <w:lang w:eastAsia="en-US"/>
        </w:rPr>
        <w:t xml:space="preserve"> </w:t>
      </w:r>
      <w:r w:rsidRPr="001674B4">
        <w:rPr>
          <w:rFonts w:hint="eastAsia"/>
          <w:rtl/>
          <w:lang w:eastAsia="en-US"/>
        </w:rPr>
        <w:t>אזניך</w:t>
      </w:r>
      <w:r w:rsidRPr="001674B4">
        <w:rPr>
          <w:rtl/>
          <w:lang w:eastAsia="en-US"/>
        </w:rPr>
        <w:t xml:space="preserve"> </w:t>
      </w:r>
      <w:r w:rsidRPr="001674B4">
        <w:rPr>
          <w:rFonts w:hint="eastAsia"/>
          <w:rtl/>
          <w:lang w:eastAsia="en-US"/>
        </w:rPr>
        <w:t>כאפרכסת</w:t>
      </w:r>
      <w:r w:rsidRPr="001674B4">
        <w:rPr>
          <w:rtl/>
          <w:lang w:eastAsia="en-US"/>
        </w:rPr>
        <w:t xml:space="preserve">, </w:t>
      </w:r>
      <w:r w:rsidRPr="001674B4">
        <w:rPr>
          <w:rFonts w:hint="eastAsia"/>
          <w:rtl/>
          <w:lang w:eastAsia="en-US"/>
        </w:rPr>
        <w:t>וקנה</w:t>
      </w:r>
      <w:r w:rsidRPr="001674B4">
        <w:rPr>
          <w:rtl/>
          <w:lang w:eastAsia="en-US"/>
        </w:rPr>
        <w:t xml:space="preserve"> </w:t>
      </w:r>
      <w:r w:rsidRPr="001674B4">
        <w:rPr>
          <w:rFonts w:hint="eastAsia"/>
          <w:rtl/>
          <w:lang w:eastAsia="en-US"/>
        </w:rPr>
        <w:t>לך</w:t>
      </w:r>
      <w:r w:rsidRPr="001674B4">
        <w:rPr>
          <w:rtl/>
          <w:lang w:eastAsia="en-US"/>
        </w:rPr>
        <w:t xml:space="preserve"> </w:t>
      </w:r>
      <w:r w:rsidRPr="001674B4">
        <w:rPr>
          <w:rFonts w:hint="eastAsia"/>
          <w:rtl/>
          <w:lang w:eastAsia="en-US"/>
        </w:rPr>
        <w:t>לב</w:t>
      </w:r>
      <w:r w:rsidRPr="001674B4">
        <w:rPr>
          <w:rtl/>
          <w:lang w:eastAsia="en-US"/>
        </w:rPr>
        <w:t xml:space="preserve"> </w:t>
      </w:r>
      <w:r w:rsidRPr="001674B4">
        <w:rPr>
          <w:rFonts w:hint="eastAsia"/>
          <w:rtl/>
          <w:lang w:eastAsia="en-US"/>
        </w:rPr>
        <w:t>מבין</w:t>
      </w:r>
      <w:r w:rsidRPr="001674B4">
        <w:rPr>
          <w:rtl/>
          <w:lang w:eastAsia="en-US"/>
        </w:rPr>
        <w:t xml:space="preserve"> </w:t>
      </w:r>
      <w:r w:rsidRPr="001674B4">
        <w:rPr>
          <w:rFonts w:hint="eastAsia"/>
          <w:rtl/>
          <w:lang w:eastAsia="en-US"/>
        </w:rPr>
        <w:t>לשמוע</w:t>
      </w:r>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מטמאים</w:t>
      </w:r>
      <w:r w:rsidRPr="001674B4">
        <w:rPr>
          <w:rtl/>
          <w:lang w:eastAsia="en-US"/>
        </w:rPr>
        <w:t xml:space="preserve"> </w:t>
      </w:r>
      <w:r w:rsidRPr="001674B4">
        <w:rPr>
          <w:rFonts w:hint="eastAsia"/>
          <w:rtl/>
          <w:lang w:eastAsia="en-US"/>
        </w:rPr>
        <w:t>ואת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מטהרים</w:t>
      </w:r>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אוסרין</w:t>
      </w:r>
      <w:r w:rsidRPr="001674B4">
        <w:rPr>
          <w:rtl/>
          <w:lang w:eastAsia="en-US"/>
        </w:rPr>
        <w:t xml:space="preserve"> </w:t>
      </w:r>
      <w:r w:rsidRPr="001674B4">
        <w:rPr>
          <w:rFonts w:hint="eastAsia"/>
          <w:rtl/>
          <w:lang w:eastAsia="en-US"/>
        </w:rPr>
        <w:t>ואת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מתירין</w:t>
      </w:r>
      <w:r w:rsidRPr="001674B4">
        <w:rPr>
          <w:rtl/>
          <w:lang w:eastAsia="en-US"/>
        </w:rPr>
        <w:t xml:space="preserve">, </w:t>
      </w:r>
      <w:r w:rsidRPr="001674B4">
        <w:rPr>
          <w:rFonts w:hint="eastAsia"/>
          <w:rtl/>
          <w:lang w:eastAsia="en-US"/>
        </w:rPr>
        <w:t>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פוסלין</w:t>
      </w:r>
      <w:r w:rsidRPr="001674B4">
        <w:rPr>
          <w:rtl/>
          <w:lang w:eastAsia="en-US"/>
        </w:rPr>
        <w:t xml:space="preserve"> </w:t>
      </w:r>
      <w:r w:rsidRPr="001674B4">
        <w:rPr>
          <w:rFonts w:hint="eastAsia"/>
          <w:rtl/>
          <w:lang w:eastAsia="en-US"/>
        </w:rPr>
        <w:t>ואת</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מכשירין</w:t>
      </w:r>
      <w:r>
        <w:rPr>
          <w:rFonts w:hint="cs"/>
          <w:rtl/>
          <w:lang w:eastAsia="en-US"/>
        </w:rPr>
        <w:t>"</w:t>
      </w:r>
      <w:r w:rsidRPr="001674B4">
        <w:rPr>
          <w:rtl/>
          <w:lang w:eastAsia="en-US"/>
        </w:rPr>
        <w:t xml:space="preserve">. </w:t>
      </w:r>
      <w:r>
        <w:rPr>
          <w:rFonts w:hint="cs"/>
          <w:rtl/>
          <w:lang w:eastAsia="en-US"/>
        </w:rPr>
        <w:t>ורש"י מסביר שם: "</w:t>
      </w:r>
      <w:r w:rsidRPr="001674B4">
        <w:rPr>
          <w:rFonts w:hint="eastAsia"/>
          <w:rtl/>
          <w:lang w:eastAsia="en-US"/>
        </w:rPr>
        <w:t>מאחר</w:t>
      </w:r>
      <w:r w:rsidRPr="001674B4">
        <w:rPr>
          <w:rtl/>
          <w:lang w:eastAsia="en-US"/>
        </w:rPr>
        <w:t xml:space="preserve"> </w:t>
      </w:r>
      <w:r w:rsidRPr="001674B4">
        <w:rPr>
          <w:rFonts w:hint="eastAsia"/>
          <w:rtl/>
          <w:lang w:eastAsia="en-US"/>
        </w:rPr>
        <w:t>שכולן</w:t>
      </w:r>
      <w:r w:rsidRPr="001674B4">
        <w:rPr>
          <w:rtl/>
          <w:lang w:eastAsia="en-US"/>
        </w:rPr>
        <w:t xml:space="preserve"> </w:t>
      </w:r>
      <w:r w:rsidRPr="001674B4">
        <w:rPr>
          <w:rFonts w:hint="eastAsia"/>
          <w:rtl/>
          <w:lang w:eastAsia="en-US"/>
        </w:rPr>
        <w:t>ל</w:t>
      </w:r>
      <w:r>
        <w:rPr>
          <w:rFonts w:hint="eastAsia"/>
          <w:rtl/>
          <w:lang w:eastAsia="en-US"/>
        </w:rPr>
        <w:t>ִ</w:t>
      </w:r>
      <w:r w:rsidRPr="001674B4">
        <w:rPr>
          <w:rFonts w:hint="eastAsia"/>
          <w:rtl/>
          <w:lang w:eastAsia="en-US"/>
        </w:rPr>
        <w:t>ב</w:t>
      </w:r>
      <w:r>
        <w:rPr>
          <w:rFonts w:hint="eastAsia"/>
          <w:rtl/>
          <w:lang w:eastAsia="en-US"/>
        </w:rPr>
        <w:t>ָּ</w:t>
      </w:r>
      <w:r w:rsidRPr="001674B4">
        <w:rPr>
          <w:rFonts w:hint="eastAsia"/>
          <w:rtl/>
          <w:lang w:eastAsia="en-US"/>
        </w:rPr>
        <w:t>ן</w:t>
      </w:r>
      <w:r w:rsidRPr="001674B4">
        <w:rPr>
          <w:rtl/>
          <w:lang w:eastAsia="en-US"/>
        </w:rPr>
        <w:t xml:space="preserve"> </w:t>
      </w:r>
      <w:r w:rsidRPr="001674B4">
        <w:rPr>
          <w:rFonts w:hint="eastAsia"/>
          <w:rtl/>
          <w:lang w:eastAsia="en-US"/>
        </w:rPr>
        <w:t>לשמים</w:t>
      </w:r>
      <w:r w:rsidRPr="001674B4">
        <w:rPr>
          <w:rtl/>
          <w:lang w:eastAsia="en-US"/>
        </w:rPr>
        <w:t xml:space="preserve"> - </w:t>
      </w:r>
      <w:r w:rsidRPr="001674B4">
        <w:rPr>
          <w:rFonts w:hint="eastAsia"/>
          <w:rtl/>
          <w:lang w:eastAsia="en-US"/>
        </w:rPr>
        <w:t>עשה</w:t>
      </w:r>
      <w:r w:rsidRPr="001674B4">
        <w:rPr>
          <w:rtl/>
          <w:lang w:eastAsia="en-US"/>
        </w:rPr>
        <w:t xml:space="preserve"> </w:t>
      </w:r>
      <w:r w:rsidRPr="001674B4">
        <w:rPr>
          <w:rFonts w:hint="eastAsia"/>
          <w:rtl/>
          <w:lang w:eastAsia="en-US"/>
        </w:rPr>
        <w:t>אזנך</w:t>
      </w:r>
      <w:r w:rsidRPr="001674B4">
        <w:rPr>
          <w:rtl/>
          <w:lang w:eastAsia="en-US"/>
        </w:rPr>
        <w:t xml:space="preserve"> </w:t>
      </w:r>
      <w:r w:rsidRPr="001674B4">
        <w:rPr>
          <w:rFonts w:hint="eastAsia"/>
          <w:rtl/>
          <w:lang w:eastAsia="en-US"/>
        </w:rPr>
        <w:t>שומעת</w:t>
      </w:r>
      <w:r w:rsidRPr="001674B4">
        <w:rPr>
          <w:rtl/>
          <w:lang w:eastAsia="en-US"/>
        </w:rPr>
        <w:t xml:space="preserve"> </w:t>
      </w:r>
      <w:r w:rsidRPr="001674B4">
        <w:rPr>
          <w:rFonts w:hint="eastAsia"/>
          <w:rtl/>
          <w:lang w:eastAsia="en-US"/>
        </w:rPr>
        <w:t>ו</w:t>
      </w:r>
      <w:r>
        <w:rPr>
          <w:rFonts w:hint="eastAsia"/>
          <w:rtl/>
          <w:lang w:eastAsia="en-US"/>
        </w:rPr>
        <w:t>ּ</w:t>
      </w:r>
      <w:r w:rsidRPr="001674B4">
        <w:rPr>
          <w:rFonts w:hint="eastAsia"/>
          <w:rtl/>
          <w:lang w:eastAsia="en-US"/>
        </w:rPr>
        <w:t>ל</w:t>
      </w:r>
      <w:r>
        <w:rPr>
          <w:rFonts w:hint="eastAsia"/>
          <w:rtl/>
          <w:lang w:eastAsia="en-US"/>
        </w:rPr>
        <w:t>ְ</w:t>
      </w:r>
      <w:r w:rsidRPr="001674B4">
        <w:rPr>
          <w:rFonts w:hint="eastAsia"/>
          <w:rtl/>
          <w:lang w:eastAsia="en-US"/>
        </w:rPr>
        <w:t>מו</w:t>
      </w:r>
      <w:r>
        <w:rPr>
          <w:rFonts w:hint="eastAsia"/>
          <w:rtl/>
          <w:lang w:eastAsia="en-US"/>
        </w:rPr>
        <w:t>ֹ</w:t>
      </w:r>
      <w:r w:rsidRPr="001674B4">
        <w:rPr>
          <w:rFonts w:hint="eastAsia"/>
          <w:rtl/>
          <w:lang w:eastAsia="en-US"/>
        </w:rPr>
        <w:t>ד</w:t>
      </w:r>
      <w:r w:rsidRPr="001674B4">
        <w:rPr>
          <w:rtl/>
          <w:lang w:eastAsia="en-US"/>
        </w:rPr>
        <w:t xml:space="preserve">, </w:t>
      </w:r>
      <w:r w:rsidRPr="001674B4">
        <w:rPr>
          <w:rFonts w:hint="eastAsia"/>
          <w:rtl/>
          <w:lang w:eastAsia="en-US"/>
        </w:rPr>
        <w:t>ודע</w:t>
      </w:r>
      <w:r w:rsidRPr="001674B4">
        <w:rPr>
          <w:rtl/>
          <w:lang w:eastAsia="en-US"/>
        </w:rPr>
        <w:t xml:space="preserve"> </w:t>
      </w:r>
      <w:r w:rsidRPr="001674B4">
        <w:rPr>
          <w:rFonts w:hint="eastAsia"/>
          <w:rtl/>
          <w:lang w:eastAsia="en-US"/>
        </w:rPr>
        <w:t>דברי</w:t>
      </w:r>
      <w:r w:rsidRPr="001674B4">
        <w:rPr>
          <w:rtl/>
          <w:lang w:eastAsia="en-US"/>
        </w:rPr>
        <w:t xml:space="preserve"> </w:t>
      </w:r>
      <w:r w:rsidRPr="001674B4">
        <w:rPr>
          <w:rFonts w:hint="eastAsia"/>
          <w:rtl/>
          <w:lang w:eastAsia="en-US"/>
        </w:rPr>
        <w:t>כולן</w:t>
      </w:r>
      <w:r w:rsidRPr="001674B4">
        <w:rPr>
          <w:rtl/>
          <w:lang w:eastAsia="en-US"/>
        </w:rPr>
        <w:t xml:space="preserve">, </w:t>
      </w:r>
      <w:r w:rsidRPr="001674B4">
        <w:rPr>
          <w:rFonts w:hint="eastAsia"/>
          <w:rtl/>
          <w:lang w:eastAsia="en-US"/>
        </w:rPr>
        <w:t>וכשתדע</w:t>
      </w:r>
      <w:r w:rsidRPr="001674B4">
        <w:rPr>
          <w:rtl/>
          <w:lang w:eastAsia="en-US"/>
        </w:rPr>
        <w:t xml:space="preserve"> </w:t>
      </w:r>
      <w:r w:rsidRPr="001674B4">
        <w:rPr>
          <w:rFonts w:hint="eastAsia"/>
          <w:rtl/>
          <w:lang w:eastAsia="en-US"/>
        </w:rPr>
        <w:t>להבחין</w:t>
      </w:r>
      <w:r w:rsidRPr="001674B4">
        <w:rPr>
          <w:rtl/>
          <w:lang w:eastAsia="en-US"/>
        </w:rPr>
        <w:t xml:space="preserve"> </w:t>
      </w:r>
      <w:r w:rsidRPr="001674B4">
        <w:rPr>
          <w:rFonts w:hint="eastAsia"/>
          <w:rtl/>
          <w:lang w:eastAsia="en-US"/>
        </w:rPr>
        <w:t>אי</w:t>
      </w:r>
      <w:r w:rsidRPr="001674B4">
        <w:rPr>
          <w:rtl/>
          <w:lang w:eastAsia="en-US"/>
        </w:rPr>
        <w:t xml:space="preserve"> </w:t>
      </w:r>
      <w:r w:rsidRPr="001674B4">
        <w:rPr>
          <w:rFonts w:hint="eastAsia"/>
          <w:rtl/>
          <w:lang w:eastAsia="en-US"/>
        </w:rPr>
        <w:t>זה</w:t>
      </w:r>
      <w:r w:rsidRPr="001674B4">
        <w:rPr>
          <w:rtl/>
          <w:lang w:eastAsia="en-US"/>
        </w:rPr>
        <w:t xml:space="preserve"> </w:t>
      </w:r>
      <w:r w:rsidRPr="001674B4">
        <w:rPr>
          <w:rFonts w:hint="eastAsia"/>
          <w:rtl/>
          <w:lang w:eastAsia="en-US"/>
        </w:rPr>
        <w:t>יכשר</w:t>
      </w:r>
      <w:r w:rsidRPr="001674B4">
        <w:rPr>
          <w:rtl/>
          <w:lang w:eastAsia="en-US"/>
        </w:rPr>
        <w:t xml:space="preserve"> - </w:t>
      </w:r>
      <w:r w:rsidRPr="001674B4">
        <w:rPr>
          <w:rFonts w:hint="eastAsia"/>
          <w:rtl/>
          <w:lang w:eastAsia="en-US"/>
        </w:rPr>
        <w:t>קבע</w:t>
      </w:r>
      <w:r w:rsidRPr="001674B4">
        <w:rPr>
          <w:rtl/>
          <w:lang w:eastAsia="en-US"/>
        </w:rPr>
        <w:t xml:space="preserve"> </w:t>
      </w:r>
      <w:r w:rsidRPr="001674B4">
        <w:rPr>
          <w:rFonts w:hint="eastAsia"/>
          <w:rtl/>
          <w:lang w:eastAsia="en-US"/>
        </w:rPr>
        <w:t>הלכה</w:t>
      </w:r>
      <w:r w:rsidRPr="001674B4">
        <w:rPr>
          <w:rtl/>
          <w:lang w:eastAsia="en-US"/>
        </w:rPr>
        <w:t xml:space="preserve"> </w:t>
      </w:r>
      <w:r w:rsidRPr="001674B4">
        <w:rPr>
          <w:rFonts w:hint="eastAsia"/>
          <w:rtl/>
          <w:lang w:eastAsia="en-US"/>
        </w:rPr>
        <w:t>כמותו</w:t>
      </w:r>
      <w:r>
        <w:rPr>
          <w:rFonts w:hint="cs"/>
          <w:rtl/>
          <w:lang w:eastAsia="en-US"/>
        </w:rPr>
        <w:t xml:space="preserve">". המסורת לא ברורה, חכמים נחלקים בבית המדרש, ומי מחליט? אתה! האם שתי גישות שונות לפנינו? מסורת מול חידוש? ירושלמי מול בבלי? לאו דווקא. שים לב לדברי הירושלמי המתאר את העברת הכדור מיד ליד, עד שסופו לנוח ביד אחת. מי היא היד בה נח הכדור? אנשי הכנסת הגדולה! ומה קורה לכדור מכאן ואילך? ראה הערה </w:t>
      </w:r>
      <w:r w:rsidR="007068F4">
        <w:rPr>
          <w:rFonts w:hint="cs"/>
          <w:rtl/>
          <w:lang w:eastAsia="en-US"/>
        </w:rPr>
        <w:t>7</w:t>
      </w:r>
      <w:r>
        <w:rPr>
          <w:rFonts w:hint="cs"/>
          <w:rtl/>
          <w:lang w:eastAsia="en-US"/>
        </w:rPr>
        <w:t xml:space="preserve"> לעיל על המתח שבין שני חלקי המשנה שלנו.</w:t>
      </w:r>
    </w:p>
  </w:footnote>
  <w:footnote w:id="12">
    <w:p w14:paraId="087115A4" w14:textId="77777777" w:rsidR="002C2844" w:rsidRDefault="002C2844" w:rsidP="002C2844">
      <w:pPr>
        <w:pStyle w:val="a3"/>
        <w:rPr>
          <w:rFonts w:hint="cs"/>
          <w:rtl/>
        </w:rPr>
      </w:pPr>
      <w:r>
        <w:rPr>
          <w:rStyle w:val="a5"/>
        </w:rPr>
        <w:footnoteRef/>
      </w:r>
      <w:r>
        <w:rPr>
          <w:rtl/>
        </w:rPr>
        <w:t xml:space="preserve"> </w:t>
      </w:r>
      <w:smartTag w:uri="urn:schemas-microsoft-com:office:smarttags" w:element="PersonName">
        <w:smartTagPr>
          <w:attr w:name="ProductID" w:val="בני ישראל"/>
        </w:smartTagPr>
        <w:r>
          <w:rPr>
            <w:rFonts w:hint="cs"/>
            <w:rtl/>
          </w:rPr>
          <w:t>בני ישראל</w:t>
        </w:r>
      </w:smartTag>
      <w:r>
        <w:rPr>
          <w:rFonts w:hint="cs"/>
          <w:rtl/>
        </w:rPr>
        <w:t xml:space="preserve"> ליהושע.</w:t>
      </w:r>
    </w:p>
  </w:footnote>
  <w:footnote w:id="13">
    <w:p w14:paraId="7557D744" w14:textId="77777777" w:rsidR="002C2844" w:rsidRDefault="002C2844" w:rsidP="00B762A8">
      <w:pPr>
        <w:pStyle w:val="a3"/>
        <w:rPr>
          <w:rFonts w:hint="cs"/>
          <w:rtl/>
        </w:rPr>
      </w:pPr>
      <w:r>
        <w:rPr>
          <w:rStyle w:val="a5"/>
        </w:rPr>
        <w:footnoteRef/>
      </w:r>
      <w:r>
        <w:rPr>
          <w:rtl/>
        </w:rPr>
        <w:t xml:space="preserve"> </w:t>
      </w:r>
      <w:r>
        <w:rPr>
          <w:rFonts w:hint="cs"/>
          <w:rtl/>
        </w:rPr>
        <w:t xml:space="preserve">הדרשן משווה פסוק זה עם הפסוק בראש הפרק האומר: "וילך משה" </w:t>
      </w:r>
      <w:r>
        <w:rPr>
          <w:rtl/>
        </w:rPr>
        <w:t>–</w:t>
      </w:r>
      <w:r>
        <w:rPr>
          <w:rFonts w:hint="cs"/>
          <w:rtl/>
        </w:rPr>
        <w:t xml:space="preserve"> לבדו. וכאן, אחרי הכתרת יהושע הולכים שניהם יחדיו.</w:t>
      </w:r>
    </w:p>
  </w:footnote>
  <w:footnote w:id="14">
    <w:p w14:paraId="45EA4FBA" w14:textId="77777777" w:rsidR="002C2844" w:rsidRDefault="002C2844" w:rsidP="00B762A8">
      <w:pPr>
        <w:pStyle w:val="a3"/>
        <w:rPr>
          <w:rFonts w:hint="cs"/>
          <w:rtl/>
        </w:rPr>
      </w:pPr>
      <w:r>
        <w:rPr>
          <w:rStyle w:val="a5"/>
        </w:rPr>
        <w:footnoteRef/>
      </w:r>
      <w:r>
        <w:rPr>
          <w:rtl/>
        </w:rPr>
        <w:t xml:space="preserve"> </w:t>
      </w:r>
      <w:r>
        <w:rPr>
          <w:rFonts w:hint="cs"/>
          <w:rtl/>
          <w:lang w:eastAsia="en-US"/>
        </w:rPr>
        <w:t>"</w:t>
      </w:r>
      <w:r>
        <w:rPr>
          <w:rtl/>
          <w:lang w:eastAsia="en-US"/>
        </w:rPr>
        <w:t>משה קבל תורה מסיני</w:t>
      </w:r>
      <w:r>
        <w:rPr>
          <w:rFonts w:hint="cs"/>
          <w:rtl/>
          <w:lang w:eastAsia="en-US"/>
        </w:rPr>
        <w:t>,</w:t>
      </w:r>
      <w:r>
        <w:rPr>
          <w:rtl/>
          <w:lang w:eastAsia="en-US"/>
        </w:rPr>
        <w:t xml:space="preserve"> ל</w:t>
      </w:r>
      <w:smartTag w:uri="urn:schemas-microsoft-com:office:smarttags" w:element="PersonName">
        <w:smartTagPr>
          <w:attr w:name="ProductID" w:val="א מפי מלאך"/>
        </w:smartTagPr>
        <w:r>
          <w:rPr>
            <w:rtl/>
            <w:lang w:eastAsia="en-US"/>
          </w:rPr>
          <w:t>א מפי מלאך</w:t>
        </w:r>
      </w:smartTag>
      <w:r>
        <w:rPr>
          <w:rtl/>
          <w:lang w:eastAsia="en-US"/>
        </w:rPr>
        <w:t xml:space="preserve"> ולא מפי שרף אלא מפי מ</w:t>
      </w:r>
      <w:r>
        <w:rPr>
          <w:rFonts w:hint="cs"/>
          <w:rtl/>
          <w:lang w:eastAsia="en-US"/>
        </w:rPr>
        <w:t xml:space="preserve">לך מלכי המלכים </w:t>
      </w:r>
      <w:r>
        <w:rPr>
          <w:rtl/>
          <w:lang w:eastAsia="en-US"/>
        </w:rPr>
        <w:t>הקב"ה</w:t>
      </w:r>
      <w:r>
        <w:rPr>
          <w:rFonts w:hint="cs"/>
          <w:rtl/>
          <w:lang w:eastAsia="en-US"/>
        </w:rPr>
        <w:t xml:space="preserve">" (אבות דרבי נתן הנ"ל), לפיכך, העברת המקל ממשה ליהושע, החוליה הראשונה בשרשרת, היא מיוחדת במינה וכבר האריכו בה המדרשים. מהם המתארים מעבר זה ברוח טובה כמו מדרש זה, ומהם בצורה פחות מרנינה כמו </w:t>
      </w:r>
      <w:r w:rsidRPr="00DF6A77">
        <w:rPr>
          <w:rtl/>
        </w:rPr>
        <w:t>דברים רבה (ליברמן) פרשת ואתחנן</w:t>
      </w:r>
      <w:r w:rsidRPr="00DF6A77">
        <w:rPr>
          <w:rFonts w:hint="cs"/>
          <w:rtl/>
        </w:rPr>
        <w:t xml:space="preserve">: " ... </w:t>
      </w:r>
      <w:r w:rsidRPr="00DF6A77">
        <w:rPr>
          <w:rtl/>
        </w:rPr>
        <w:t>והיה יהושע יושב ודורש, ומשה עומד ברגליו</w:t>
      </w:r>
      <w:r w:rsidRPr="00DF6A77">
        <w:rPr>
          <w:rFonts w:hint="cs"/>
          <w:rtl/>
        </w:rPr>
        <w:t>.</w:t>
      </w:r>
      <w:r w:rsidRPr="00DF6A77">
        <w:rPr>
          <w:rtl/>
        </w:rPr>
        <w:t xml:space="preserve"> אמרו לו ליהושע</w:t>
      </w:r>
      <w:r w:rsidRPr="00DF6A77">
        <w:rPr>
          <w:rFonts w:hint="cs"/>
          <w:rtl/>
        </w:rPr>
        <w:t>:</w:t>
      </w:r>
      <w:r w:rsidRPr="00DF6A77">
        <w:rPr>
          <w:rtl/>
        </w:rPr>
        <w:t xml:space="preserve"> מה עלתה השעה הזו שמשה עומד ואתה יושב</w:t>
      </w:r>
      <w:r w:rsidRPr="00DF6A77">
        <w:rPr>
          <w:rFonts w:hint="cs"/>
          <w:rtl/>
        </w:rPr>
        <w:t xml:space="preserve">? </w:t>
      </w:r>
      <w:r w:rsidRPr="00DF6A77">
        <w:rPr>
          <w:rtl/>
        </w:rPr>
        <w:t>כיון שתלה עיניו וראהו, מיד קרע את בגדיו וצעק ובכה, אמ</w:t>
      </w:r>
      <w:r w:rsidRPr="00DF6A77">
        <w:rPr>
          <w:rFonts w:hint="cs"/>
          <w:rtl/>
        </w:rPr>
        <w:t xml:space="preserve">ר: רבי, רבי, </w:t>
      </w:r>
      <w:r w:rsidRPr="00DF6A77">
        <w:rPr>
          <w:rtl/>
        </w:rPr>
        <w:t>אדוני אבי, למה אתה מחייבני ומענישני</w:t>
      </w:r>
      <w:r w:rsidRPr="00DF6A77">
        <w:rPr>
          <w:rFonts w:hint="cs"/>
          <w:rtl/>
        </w:rPr>
        <w:t>?</w:t>
      </w:r>
      <w:r w:rsidRPr="00DF6A77">
        <w:rPr>
          <w:rtl/>
        </w:rPr>
        <w:t xml:space="preserve"> אמרו ישר</w:t>
      </w:r>
      <w:r w:rsidRPr="00DF6A77">
        <w:rPr>
          <w:rFonts w:hint="cs"/>
          <w:rtl/>
        </w:rPr>
        <w:t>אל</w:t>
      </w:r>
      <w:r w:rsidRPr="00DF6A77">
        <w:rPr>
          <w:rtl/>
        </w:rPr>
        <w:t xml:space="preserve"> למשה</w:t>
      </w:r>
      <w:r w:rsidRPr="00DF6A77">
        <w:rPr>
          <w:rFonts w:hint="cs"/>
          <w:rtl/>
        </w:rPr>
        <w:t>:</w:t>
      </w:r>
      <w:r w:rsidRPr="00DF6A77">
        <w:rPr>
          <w:rtl/>
        </w:rPr>
        <w:t xml:space="preserve"> משה רבי</w:t>
      </w:r>
      <w:r w:rsidRPr="00DF6A77">
        <w:rPr>
          <w:rFonts w:hint="cs"/>
          <w:rtl/>
        </w:rPr>
        <w:t>נו</w:t>
      </w:r>
      <w:r w:rsidRPr="00DF6A77">
        <w:rPr>
          <w:rtl/>
        </w:rPr>
        <w:t>, למדנו תורה. אמ</w:t>
      </w:r>
      <w:r w:rsidRPr="00DF6A77">
        <w:rPr>
          <w:rFonts w:hint="cs"/>
          <w:rtl/>
        </w:rPr>
        <w:t>ר</w:t>
      </w:r>
      <w:r w:rsidRPr="00DF6A77">
        <w:rPr>
          <w:rtl/>
        </w:rPr>
        <w:t xml:space="preserve"> להם</w:t>
      </w:r>
      <w:r w:rsidRPr="00DF6A77">
        <w:rPr>
          <w:rFonts w:hint="cs"/>
          <w:rtl/>
        </w:rPr>
        <w:t>:</w:t>
      </w:r>
      <w:r w:rsidRPr="00DF6A77">
        <w:rPr>
          <w:rtl/>
        </w:rPr>
        <w:t xml:space="preserve"> אין לי רשות. א"ל</w:t>
      </w:r>
      <w:r w:rsidRPr="00DF6A77">
        <w:rPr>
          <w:rFonts w:hint="cs"/>
          <w:rtl/>
        </w:rPr>
        <w:t>:</w:t>
      </w:r>
      <w:r w:rsidRPr="00DF6A77">
        <w:rPr>
          <w:rtl/>
        </w:rPr>
        <w:t xml:space="preserve"> אין אנו מניחין אותך. יצאת בת קול ואמרה להם</w:t>
      </w:r>
      <w:r w:rsidRPr="00DF6A77">
        <w:rPr>
          <w:rFonts w:hint="cs"/>
          <w:rtl/>
        </w:rPr>
        <w:t>:</w:t>
      </w:r>
      <w:r w:rsidRPr="00DF6A77">
        <w:rPr>
          <w:rtl/>
        </w:rPr>
        <w:t xml:space="preserve"> למדו מיהושע</w:t>
      </w:r>
      <w:r w:rsidRPr="00DF6A77">
        <w:rPr>
          <w:rFonts w:hint="cs"/>
          <w:rtl/>
        </w:rPr>
        <w:t>.</w:t>
      </w:r>
      <w:r w:rsidRPr="00DF6A77">
        <w:rPr>
          <w:rtl/>
        </w:rPr>
        <w:t xml:space="preserve"> קבלו עליהם לישב וללמוד מיהושע. ישב יהושע בראש ומשה מימינו ובני אהרן משמאלו, והיה יושב ודורש בפני משה</w:t>
      </w:r>
      <w:r w:rsidRPr="00DF6A77">
        <w:rPr>
          <w:rFonts w:hint="cs"/>
          <w:rtl/>
        </w:rPr>
        <w:t xml:space="preserve"> ... </w:t>
      </w:r>
      <w:r w:rsidRPr="00DF6A77">
        <w:rPr>
          <w:rtl/>
        </w:rPr>
        <w:t>נ</w:t>
      </w:r>
      <w:r w:rsidRPr="00DF6A77">
        <w:rPr>
          <w:rFonts w:hint="cs"/>
          <w:rtl/>
        </w:rPr>
        <w:t>י</w:t>
      </w:r>
      <w:r w:rsidRPr="00DF6A77">
        <w:rPr>
          <w:rtl/>
        </w:rPr>
        <w:t>טלו מסורות החכמה ממשה ונתנו ליהושע, ולא היה יודע משה מה היה יהושע דורש. אחר שעמדו ישראל מהישיבה א"ל</w:t>
      </w:r>
      <w:r w:rsidRPr="00DF6A77">
        <w:rPr>
          <w:rFonts w:hint="cs"/>
          <w:rtl/>
        </w:rPr>
        <w:t>:</w:t>
      </w:r>
      <w:r w:rsidRPr="00DF6A77">
        <w:rPr>
          <w:rtl/>
        </w:rPr>
        <w:t xml:space="preserve"> משה, סתום לנו את התורה</w:t>
      </w:r>
      <w:r w:rsidRPr="00DF6A77">
        <w:rPr>
          <w:rFonts w:hint="cs"/>
          <w:rtl/>
        </w:rPr>
        <w:t>.</w:t>
      </w:r>
      <w:r w:rsidRPr="00DF6A77">
        <w:rPr>
          <w:rtl/>
        </w:rPr>
        <w:t xml:space="preserve"> א"ל</w:t>
      </w:r>
      <w:r w:rsidRPr="00DF6A77">
        <w:rPr>
          <w:rFonts w:hint="cs"/>
          <w:rtl/>
        </w:rPr>
        <w:t>:</w:t>
      </w:r>
      <w:r w:rsidRPr="00DF6A77">
        <w:rPr>
          <w:rtl/>
        </w:rPr>
        <w:t xml:space="preserve"> איני יודע מה להשיב לכם, והיה מ</w:t>
      </w:r>
      <w:r w:rsidRPr="00DF6A77">
        <w:rPr>
          <w:rFonts w:hint="cs"/>
          <w:rtl/>
        </w:rPr>
        <w:t xml:space="preserve">שה רבנו עליו השלום </w:t>
      </w:r>
      <w:r w:rsidRPr="00DF6A77">
        <w:rPr>
          <w:rtl/>
        </w:rPr>
        <w:t>נכשל ונופל</w:t>
      </w:r>
      <w:r w:rsidRPr="00DF6A77">
        <w:rPr>
          <w:rFonts w:hint="cs"/>
          <w:rtl/>
        </w:rPr>
        <w:t>"</w:t>
      </w:r>
      <w:r>
        <w:rPr>
          <w:rFonts w:hint="cs"/>
          <w:rtl/>
          <w:lang w:eastAsia="en-US"/>
        </w:rPr>
        <w:t xml:space="preserve">. וכבר נגענו במקצת בנושא זה בדברינו </w:t>
      </w:r>
      <w:hyperlink r:id="rId5" w:history="1">
        <w:r w:rsidRPr="0026490B">
          <w:rPr>
            <w:rStyle w:val="Hyperlink"/>
            <w:rFonts w:hint="cs"/>
            <w:rtl/>
            <w:lang w:eastAsia="en-US"/>
          </w:rPr>
          <w:t>עזה כמות אהבה, קשה כשאול קנאה</w:t>
        </w:r>
      </w:hyperlink>
      <w:r>
        <w:rPr>
          <w:rFonts w:hint="cs"/>
          <w:rtl/>
          <w:lang w:eastAsia="en-US"/>
        </w:rPr>
        <w:t xml:space="preserve"> בפרשת וילך</w:t>
      </w:r>
      <w:r w:rsidR="00B762A8">
        <w:rPr>
          <w:rFonts w:hint="cs"/>
          <w:rtl/>
          <w:lang w:eastAsia="en-US"/>
        </w:rPr>
        <w:t>. נראה ש</w:t>
      </w:r>
      <w:r w:rsidR="00C249C9">
        <w:rPr>
          <w:rFonts w:hint="cs"/>
          <w:rtl/>
          <w:lang w:eastAsia="en-US"/>
        </w:rPr>
        <w:t xml:space="preserve">העברת פיקוד זו, </w:t>
      </w:r>
      <w:r w:rsidR="00B762A8">
        <w:rPr>
          <w:rFonts w:hint="cs"/>
          <w:rtl/>
          <w:lang w:eastAsia="en-US"/>
        </w:rPr>
        <w:t xml:space="preserve">היא </w:t>
      </w:r>
      <w:r w:rsidR="00C249C9">
        <w:rPr>
          <w:rFonts w:hint="cs"/>
          <w:rtl/>
          <w:lang w:eastAsia="en-US"/>
        </w:rPr>
        <w:t>דוגמה ובית אב לכל ההעברות והמסירות האחרות של התורה לאורך שרשרת המסורת, שלא תמיד הייתה קלה ופשוטה. לא תמיד העביר הדור היוצא את המקל בנחת ובקלות לדור הבא.</w:t>
      </w:r>
    </w:p>
  </w:footnote>
  <w:footnote w:id="15">
    <w:p w14:paraId="49016E82" w14:textId="77777777" w:rsidR="00B762A8" w:rsidRDefault="00B762A8" w:rsidP="00677E38">
      <w:pPr>
        <w:pStyle w:val="a3"/>
        <w:rPr>
          <w:rFonts w:hint="cs"/>
        </w:rPr>
      </w:pPr>
      <w:r>
        <w:rPr>
          <w:rStyle w:val="a5"/>
        </w:rPr>
        <w:footnoteRef/>
      </w:r>
      <w:r>
        <w:rPr>
          <w:rtl/>
        </w:rPr>
        <w:t xml:space="preserve"> </w:t>
      </w:r>
      <w:r>
        <w:rPr>
          <w:rFonts w:hint="cs"/>
          <w:rtl/>
          <w:lang w:eastAsia="en-US"/>
        </w:rPr>
        <w:t xml:space="preserve">ברייתא זו מתארת בית מדרש אנושי, עוד בחייו של משה, כולל הקטע בו משה מסתלק ואהרון שונה את הפרק (את אותה הלכה בה עסקו). ואם נבין את "נסתלק משה", בדומה ל"נסתלק אהרון", "נסתלקו בניו" וכו', אזי משה לא יוצא מבית המדרש, אלא נשאר ונותן למישהו אחר: לאהרון, לבני אהרון ולזקנים, לדרוש בנוכחותו. לא בכדי בחר </w:t>
      </w:r>
      <w:r w:rsidR="00677E38">
        <w:rPr>
          <w:rFonts w:hint="cs"/>
          <w:rtl/>
          <w:lang w:eastAsia="en-US"/>
        </w:rPr>
        <w:t>ה</w:t>
      </w:r>
      <w:r>
        <w:rPr>
          <w:rFonts w:hint="cs"/>
          <w:rtl/>
          <w:lang w:eastAsia="en-US"/>
        </w:rPr>
        <w:t xml:space="preserve">רמב"ם לפתוח את פירושו למשנה בברייתא זו. חידוש חשוב נוסף של מקור זה הוא היעלמותו של יהושע! יהושע, תלמידו המסור של משה "לא ימיש מתוך האוהל", לא נוכח כאן. האם מתווכח מקור זה עם המשנה בראש מסכת אבות? כך או כך, נחזור לכבד את יהושע בסיפור שבגמרא </w:t>
      </w:r>
      <w:r>
        <w:rPr>
          <w:rtl/>
        </w:rPr>
        <w:t>יבמות דף צו עמוד ב</w:t>
      </w:r>
      <w:r>
        <w:rPr>
          <w:rFonts w:hint="cs"/>
          <w:rtl/>
          <w:lang w:eastAsia="en-US"/>
        </w:rPr>
        <w:t xml:space="preserve">, על ר' יוחנן שהקפיד על כך שלא אמרו תורה בשמו: </w:t>
      </w:r>
      <w:r>
        <w:rPr>
          <w:rFonts w:hint="cs"/>
          <w:rtl/>
        </w:rPr>
        <w:t>"הלך</w:t>
      </w:r>
      <w:r>
        <w:rPr>
          <w:rtl/>
        </w:rPr>
        <w:t xml:space="preserve"> ר' אלעזר אמר </w:t>
      </w:r>
      <w:r>
        <w:rPr>
          <w:rFonts w:hint="cs"/>
          <w:rtl/>
        </w:rPr>
        <w:t>שמועה בבית המ</w:t>
      </w:r>
      <w:r>
        <w:rPr>
          <w:rtl/>
        </w:rPr>
        <w:t>דרש, ולא אמרה משמ</w:t>
      </w:r>
      <w:r>
        <w:rPr>
          <w:rFonts w:hint="cs"/>
          <w:rtl/>
        </w:rPr>
        <w:t xml:space="preserve">ו של </w:t>
      </w:r>
      <w:r>
        <w:rPr>
          <w:rtl/>
        </w:rPr>
        <w:t>ר' יוחנן. שמע רבי יוחנן</w:t>
      </w:r>
      <w:r>
        <w:rPr>
          <w:rFonts w:hint="cs"/>
          <w:rtl/>
        </w:rPr>
        <w:t xml:space="preserve"> והקפיד</w:t>
      </w:r>
      <w:r>
        <w:rPr>
          <w:rtl/>
        </w:rPr>
        <w:t xml:space="preserve">. </w:t>
      </w:r>
      <w:r>
        <w:rPr>
          <w:rFonts w:hint="cs"/>
          <w:rtl/>
        </w:rPr>
        <w:t xml:space="preserve">... נכנס אליו </w:t>
      </w:r>
      <w:r>
        <w:rPr>
          <w:rtl/>
        </w:rPr>
        <w:t>ר' יעקב בר אידי, א"ל: כאשר צוה ה' את משה עבדו כן צוה משה את יהושע וכן עשה יהושע לא הסיר דבר מכל אשר צוה ה' את משה</w:t>
      </w:r>
      <w:r>
        <w:rPr>
          <w:rFonts w:hint="cs"/>
          <w:rtl/>
        </w:rPr>
        <w:t xml:space="preserve"> (יהושע יא טו)</w:t>
      </w:r>
      <w:r>
        <w:rPr>
          <w:rtl/>
        </w:rPr>
        <w:t>, וכי על כל דבר שאמר יהושע היה אומר להם כך אמר לי משה? אלא יהושע יושב ודורש סתם, והכל יודעין שתורתו של משה היא</w:t>
      </w:r>
      <w:r>
        <w:rPr>
          <w:rFonts w:hint="cs"/>
          <w:rtl/>
        </w:rPr>
        <w:t>.</w:t>
      </w:r>
      <w:r>
        <w:rPr>
          <w:rtl/>
        </w:rPr>
        <w:t xml:space="preserve"> אף ר' אלעזר תלמידך יושב ודורש סתם, והכל יודעין כי שלך היא</w:t>
      </w:r>
      <w:r>
        <w:rPr>
          <w:rFonts w:hint="cs"/>
          <w:rtl/>
        </w:rPr>
        <w:t xml:space="preserve">". יהושע הוא המשך ישיר וטבעי למשה ואינו צריך לומר תורה בשמו! ואגב, נגענו בנושא "כל האומר דבר בשם אומרו" - ציטוט ההלכה מפי ששמעו אותה ממנו </w:t>
      </w:r>
      <w:r>
        <w:rPr>
          <w:rtl/>
        </w:rPr>
        <w:t>–</w:t>
      </w:r>
      <w:r>
        <w:rPr>
          <w:rFonts w:hint="cs"/>
          <w:rtl/>
        </w:rPr>
        <w:t xml:space="preserve"> שלא מוזכר בשרשרת המסירה הראשונית ומתקופה מסוימת ואילך, החלו להקפיד בה. וזה באמת נושא נפרד וכבר הפלגנו דיינו</w:t>
      </w:r>
      <w:r>
        <w:rPr>
          <w:rtl/>
        </w:rPr>
        <w:t>.</w:t>
      </w:r>
    </w:p>
  </w:footnote>
  <w:footnote w:id="16">
    <w:p w14:paraId="56F94632" w14:textId="77777777" w:rsidR="004D01AE" w:rsidRDefault="004D01AE" w:rsidP="00677E38">
      <w:pPr>
        <w:pStyle w:val="a3"/>
        <w:rPr>
          <w:rFonts w:hint="cs"/>
          <w:rtl/>
        </w:rPr>
      </w:pPr>
      <w:r>
        <w:rPr>
          <w:rStyle w:val="a5"/>
        </w:rPr>
        <w:footnoteRef/>
      </w:r>
      <w:r>
        <w:rPr>
          <w:rtl/>
        </w:rPr>
        <w:t xml:space="preserve"> </w:t>
      </w:r>
      <w:r>
        <w:rPr>
          <w:rFonts w:hint="cs"/>
          <w:rtl/>
          <w:lang w:eastAsia="en-US"/>
        </w:rPr>
        <w:t xml:space="preserve">פירוש </w:t>
      </w:r>
      <w:r w:rsidR="00677E38">
        <w:rPr>
          <w:rFonts w:hint="cs"/>
          <w:rtl/>
          <w:lang w:eastAsia="en-US"/>
        </w:rPr>
        <w:t xml:space="preserve">זה </w:t>
      </w:r>
      <w:r>
        <w:rPr>
          <w:rFonts w:hint="cs"/>
          <w:rtl/>
          <w:lang w:eastAsia="en-US"/>
        </w:rPr>
        <w:t xml:space="preserve">מפתיע. כפשוטו, מתונים בדין הוא לא למהר לחתוך את הדין, להקשיב לשני הצדדים, לא להיחפז ולשקול את כל העובדות במתינות ובאחריות: "שכל המתון בדין, מיושב בדין" (הוספה לנוסח א, שם). ראה </w:t>
      </w:r>
      <w:r w:rsidRPr="00CA63E1">
        <w:rPr>
          <w:rtl/>
        </w:rPr>
        <w:t>ספרי דברים פרשת דברים פיסקא טז</w:t>
      </w:r>
      <w:r w:rsidRPr="00CA63E1">
        <w:rPr>
          <w:rFonts w:hint="cs"/>
          <w:rtl/>
        </w:rPr>
        <w:t>: "</w:t>
      </w:r>
      <w:r w:rsidRPr="00CA63E1">
        <w:rPr>
          <w:rtl/>
        </w:rPr>
        <w:t>היו מתונים בדין שאם בא דין לפניך פעם שתים ושלש אל תאמר כבר בא דין זה לפני ושניתיו ושלשתיו אלא היו מתונים בדין</w:t>
      </w:r>
      <w:r>
        <w:rPr>
          <w:rFonts w:hint="cs"/>
          <w:rtl/>
          <w:lang w:eastAsia="en-US"/>
        </w:rPr>
        <w:t>". אפשר גם להרחיב בכיוון הבא: "</w:t>
      </w:r>
      <w:r>
        <w:rPr>
          <w:rFonts w:hint="cs"/>
          <w:rtl/>
        </w:rPr>
        <w:t xml:space="preserve">דבר אחר: </w:t>
      </w:r>
      <w:r>
        <w:rPr>
          <w:rtl/>
          <w:lang w:eastAsia="en-US"/>
        </w:rPr>
        <w:t>הוו מתונים בדין</w:t>
      </w:r>
      <w:r>
        <w:rPr>
          <w:rFonts w:hint="cs"/>
          <w:rtl/>
          <w:lang w:eastAsia="en-US"/>
        </w:rPr>
        <w:t>,</w:t>
      </w:r>
      <w:r>
        <w:rPr>
          <w:rtl/>
          <w:lang w:eastAsia="en-US"/>
        </w:rPr>
        <w:t xml:space="preserve"> כיצד</w:t>
      </w:r>
      <w:r>
        <w:rPr>
          <w:rFonts w:hint="cs"/>
          <w:rtl/>
          <w:lang w:eastAsia="en-US"/>
        </w:rPr>
        <w:t>?</w:t>
      </w:r>
      <w:r>
        <w:rPr>
          <w:rtl/>
          <w:lang w:eastAsia="en-US"/>
        </w:rPr>
        <w:t xml:space="preserve"> מלמד שיהא אדם ממתין בדבריו ואל יהי מקפיד על דבריו</w:t>
      </w:r>
      <w:r>
        <w:rPr>
          <w:rFonts w:hint="cs"/>
          <w:rtl/>
          <w:lang w:eastAsia="en-US"/>
        </w:rPr>
        <w:t>.</w:t>
      </w:r>
      <w:r>
        <w:rPr>
          <w:rtl/>
          <w:lang w:eastAsia="en-US"/>
        </w:rPr>
        <w:t xml:space="preserve"> שכל המקפיד על דבריו משכח את דבריו</w:t>
      </w:r>
      <w:r>
        <w:rPr>
          <w:rFonts w:hint="cs"/>
          <w:rtl/>
          <w:lang w:eastAsia="en-US"/>
        </w:rPr>
        <w:t>". (המשך אבות דרבי נתן נוסח א פרק א). והוא מביא שם דוגמא ממשה, החוליה הראשונה בשרשרת המסורת: "</w:t>
      </w:r>
      <w:r>
        <w:rPr>
          <w:rtl/>
          <w:lang w:eastAsia="en-US"/>
        </w:rPr>
        <w:t>שכן מצינו במשה רבינו בשעה שהיה מקפיד על דבריו משכח דבריו</w:t>
      </w:r>
      <w:r>
        <w:rPr>
          <w:rFonts w:hint="cs"/>
          <w:rtl/>
          <w:lang w:eastAsia="en-US"/>
        </w:rPr>
        <w:t xml:space="preserve">". אבל הכיוון של העתקת </w:t>
      </w:r>
      <w:r w:rsidR="00677E38">
        <w:rPr>
          <w:rFonts w:hint="cs"/>
          <w:rtl/>
          <w:lang w:eastAsia="en-US"/>
        </w:rPr>
        <w:t xml:space="preserve">הכתובים, </w:t>
      </w:r>
      <w:r>
        <w:rPr>
          <w:rFonts w:hint="cs"/>
          <w:rtl/>
          <w:lang w:eastAsia="en-US"/>
        </w:rPr>
        <w:t>פירוש</w:t>
      </w:r>
      <w:r w:rsidR="00677E38">
        <w:rPr>
          <w:rFonts w:hint="cs"/>
          <w:rtl/>
          <w:lang w:eastAsia="en-US"/>
        </w:rPr>
        <w:t>ם</w:t>
      </w:r>
      <w:r>
        <w:rPr>
          <w:rFonts w:hint="cs"/>
          <w:rtl/>
          <w:lang w:eastAsia="en-US"/>
        </w:rPr>
        <w:t xml:space="preserve"> והצלתם מגניזה הוא בהחלט מפתיע ומחזיר אותנו לכל הדיון לעיל של מי הם אנשי הכנסת הגדולה (שים </w:t>
      </w:r>
      <w:smartTag w:uri="urn:schemas-microsoft-com:office:smarttags" w:element="PersonName">
        <w:smartTagPr>
          <w:attr w:name="ProductID" w:val="לב, כבר"/>
        </w:smartTagPr>
        <w:r>
          <w:rPr>
            <w:rFonts w:hint="cs"/>
            <w:rtl/>
            <w:lang w:eastAsia="en-US"/>
          </w:rPr>
          <w:t>לב, כבר</w:t>
        </w:r>
      </w:smartTag>
      <w:r>
        <w:rPr>
          <w:rFonts w:hint="cs"/>
          <w:rtl/>
          <w:lang w:eastAsia="en-US"/>
        </w:rPr>
        <w:t xml:space="preserve"> בימי חזקיהו המלך הם שם!) ופועלם בהמשך לתורה שבכתב, לכתובים. וכבר הארכנו לדון במדרש זה דברינו </w:t>
      </w:r>
      <w:hyperlink r:id="rId6" w:history="1">
        <w:r w:rsidRPr="0026490B">
          <w:rPr>
            <w:rStyle w:val="Hyperlink"/>
            <w:rFonts w:hint="cs"/>
            <w:rtl/>
            <w:lang w:eastAsia="en-US"/>
          </w:rPr>
          <w:t>בקשו חכמים לגנוז את ספר קהלת</w:t>
        </w:r>
      </w:hyperlink>
      <w:r>
        <w:rPr>
          <w:rFonts w:hint="cs"/>
          <w:rtl/>
          <w:lang w:eastAsia="en-US"/>
        </w:rPr>
        <w:t>.</w:t>
      </w:r>
    </w:p>
  </w:footnote>
  <w:footnote w:id="17">
    <w:p w14:paraId="3406C541" w14:textId="77777777" w:rsidR="004D01AE" w:rsidRDefault="004D01AE" w:rsidP="00677E38">
      <w:pPr>
        <w:pStyle w:val="a3"/>
        <w:rPr>
          <w:rFonts w:hint="cs"/>
          <w:rtl/>
        </w:rPr>
      </w:pPr>
      <w:r>
        <w:rPr>
          <w:rStyle w:val="a5"/>
        </w:rPr>
        <w:footnoteRef/>
      </w:r>
      <w:r>
        <w:rPr>
          <w:rtl/>
        </w:rPr>
        <w:t xml:space="preserve"> </w:t>
      </w:r>
      <w:r w:rsidRPr="00CA63E1">
        <w:rPr>
          <w:rFonts w:hint="cs"/>
          <w:rtl/>
        </w:rPr>
        <w:t xml:space="preserve">זו הגישה האליטיסטית של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מול הגישה העממית-פלורליסטית של בית הלל. ניחא ענו וחכם ("</w:t>
      </w:r>
      <w:r w:rsidRPr="00CA63E1">
        <w:rPr>
          <w:rtl/>
        </w:rPr>
        <w:t>תֵּן לְחָכָם וְיֶחְכַּם עוֹד הוֹדַע לְצַדִּיק וְיוֹסֶף לֶקַח</w:t>
      </w:r>
      <w:r w:rsidRPr="00CA63E1">
        <w:rPr>
          <w:rFonts w:hint="cs"/>
          <w:rtl/>
        </w:rPr>
        <w:t xml:space="preserve">", </w:t>
      </w:r>
      <w:r w:rsidRPr="00CA63E1">
        <w:rPr>
          <w:rtl/>
        </w:rPr>
        <w:t xml:space="preserve">משלי ט </w:t>
      </w:r>
      <w:r w:rsidRPr="00CA63E1">
        <w:rPr>
          <w:rFonts w:hint="cs"/>
          <w:rtl/>
        </w:rPr>
        <w:t>ט), אבל עשיר? רק מי שיכול לממן את לימודיו? ואיפה הכלל: "</w:t>
      </w:r>
      <w:r w:rsidRPr="00CA63E1">
        <w:rPr>
          <w:rtl/>
        </w:rPr>
        <w:t>מה אני בח</w:t>
      </w:r>
      <w:r w:rsidRPr="00CA63E1">
        <w:rPr>
          <w:rFonts w:hint="cs"/>
          <w:rtl/>
        </w:rPr>
        <w:t>י</w:t>
      </w:r>
      <w:r w:rsidRPr="00CA63E1">
        <w:rPr>
          <w:rtl/>
        </w:rPr>
        <w:t>נם</w:t>
      </w:r>
      <w:r w:rsidRPr="00CA63E1">
        <w:rPr>
          <w:rFonts w:hint="cs"/>
          <w:rtl/>
        </w:rPr>
        <w:t>,</w:t>
      </w:r>
      <w:r w:rsidRPr="00CA63E1">
        <w:rPr>
          <w:rtl/>
        </w:rPr>
        <w:t xml:space="preserve"> אף אתם נמי בח</w:t>
      </w:r>
      <w:r w:rsidRPr="00CA63E1">
        <w:rPr>
          <w:rFonts w:hint="cs"/>
          <w:rtl/>
        </w:rPr>
        <w:t>י</w:t>
      </w:r>
      <w:r w:rsidRPr="00CA63E1">
        <w:rPr>
          <w:rtl/>
        </w:rPr>
        <w:t>נם</w:t>
      </w:r>
      <w:r w:rsidRPr="00CA63E1">
        <w:rPr>
          <w:rFonts w:hint="cs"/>
          <w:rtl/>
        </w:rPr>
        <w:t>"? (</w:t>
      </w:r>
      <w:r w:rsidRPr="00CA63E1">
        <w:rPr>
          <w:rtl/>
        </w:rPr>
        <w:t>נדרים לז ע</w:t>
      </w:r>
      <w:r w:rsidRPr="00CA63E1">
        <w:rPr>
          <w:rFonts w:hint="cs"/>
          <w:rtl/>
        </w:rPr>
        <w:t xml:space="preserve">"א, ראה שם כל הדיון מתי מותר לקחת שכר בעבור לימוד תורה). לעומתם, בית הלל מכניסים לבית המדרש גם את הפושע, גם את הרשע, בוודאי את שאינו יודע לשאול! פרשני המשנה (קהתי למשל) מקשרים מחלוקת זו של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ובית הלל, עם הסיפור על הדחתו של רבן גמליאל דיבנה, שהייתה לו זיקה ל</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מהנהגת הנשיאות ופתיחת בית המדרש שבאה בעקבות זאת: "</w:t>
      </w:r>
      <w:r w:rsidRPr="00CA63E1">
        <w:rPr>
          <w:rtl/>
        </w:rPr>
        <w:t>תנא; אותו היום סלקוהו לשומר הפתח ונתנה להם רשות לתלמידים ליכנס. שהיה רבן גמליאל מכריז ואומר: כל תלמיד שאין תוכו כברו - לא יכנס לבית המדרש. ההוא יומא אתוספו כמה ספסלי</w:t>
      </w:r>
      <w:r w:rsidRPr="00CA63E1">
        <w:rPr>
          <w:rFonts w:hint="cs"/>
          <w:rtl/>
        </w:rPr>
        <w:t xml:space="preserve"> ... </w:t>
      </w:r>
      <w:r w:rsidRPr="00CA63E1">
        <w:rPr>
          <w:rtl/>
        </w:rPr>
        <w:t>חד אמר: אתוספו ארבע מאה ספסלי; וחד אמר: שבע מאה ספסלי. הוה קא חלשא דעתיה דרבן גמליאל, אמר: דלמא חס ושלום מנעתי תורה מישראל</w:t>
      </w:r>
      <w:r w:rsidRPr="00CA63E1">
        <w:rPr>
          <w:rFonts w:hint="cs"/>
          <w:rtl/>
        </w:rPr>
        <w:t>" (</w:t>
      </w:r>
      <w:r w:rsidRPr="00CA63E1">
        <w:rPr>
          <w:rtl/>
        </w:rPr>
        <w:t>ברכות כח ע</w:t>
      </w:r>
      <w:r w:rsidRPr="00CA63E1">
        <w:rPr>
          <w:rFonts w:hint="cs"/>
          <w:rtl/>
        </w:rPr>
        <w:t>"א). ונ</w:t>
      </w:r>
      <w:r w:rsidR="00677E38">
        <w:rPr>
          <w:rFonts w:hint="cs"/>
          <w:rtl/>
        </w:rPr>
        <w:t>י</w:t>
      </w:r>
      <w:r w:rsidRPr="00CA63E1">
        <w:rPr>
          <w:rFonts w:hint="cs"/>
          <w:rtl/>
        </w:rPr>
        <w:t>חמו אותו חכמים מה שנ</w:t>
      </w:r>
      <w:r w:rsidR="00677E38">
        <w:rPr>
          <w:rFonts w:hint="cs"/>
          <w:rtl/>
        </w:rPr>
        <w:t>י</w:t>
      </w:r>
      <w:r w:rsidRPr="00CA63E1">
        <w:rPr>
          <w:rFonts w:hint="cs"/>
          <w:rtl/>
        </w:rPr>
        <w:t xml:space="preserve">חמו שם בחלום, אבל העובדות בעינן עומדות. כך או כך, אנו שואלים אימתי נוצרה שיטת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זו? האם </w:t>
      </w:r>
      <w:smartTag w:uri="urn:schemas-microsoft-com:office:smarttags" w:element="PersonName">
        <w:smartTagPr>
          <w:attr w:name="ProductID" w:val="בית שמאי"/>
        </w:smartTagPr>
        <w:r w:rsidRPr="00CA63E1">
          <w:rPr>
            <w:rFonts w:hint="cs"/>
            <w:rtl/>
          </w:rPr>
          <w:t>בית שמאי</w:t>
        </w:r>
      </w:smartTag>
      <w:r w:rsidRPr="00CA63E1">
        <w:rPr>
          <w:rFonts w:hint="cs"/>
          <w:rtl/>
        </w:rPr>
        <w:t xml:space="preserve"> לא היו ממשיכי דרכם של אנשי הכנסת הגדולה? או שמא זו מחלוקת עתיקה וגם בקרב אנשי הכנסת הגדולה היו דעות חלוקות והמשנה שלפנינו מייצגת רק דעה אחת? ראה גם הסיפור בגמרא יומא לה על הלל שלא נתנו לו להיכנס לבית המדרש של שמעיה ואבטליון משום שלא היה לו כסף. האם גם שמעיה ואבטליון "שני גדולי הדור" נהגו כשיטה האליטיסטית</w:t>
      </w:r>
      <w:r>
        <w:rPr>
          <w:rFonts w:hint="cs"/>
          <w:rtl/>
          <w:lang w:eastAsia="en-US"/>
        </w:rPr>
        <w:t>?</w:t>
      </w:r>
    </w:p>
  </w:footnote>
  <w:footnote w:id="18">
    <w:p w14:paraId="02CA2755" w14:textId="77777777" w:rsidR="004D01AE" w:rsidRDefault="004D01AE">
      <w:pPr>
        <w:pStyle w:val="a3"/>
        <w:rPr>
          <w:rFonts w:hint="cs"/>
          <w:rtl/>
        </w:rPr>
      </w:pPr>
      <w:r>
        <w:rPr>
          <w:rStyle w:val="a5"/>
        </w:rPr>
        <w:footnoteRef/>
      </w:r>
      <w:r>
        <w:rPr>
          <w:rtl/>
        </w:rPr>
        <w:t xml:space="preserve"> </w:t>
      </w:r>
      <w:r w:rsidRPr="00CA63E1">
        <w:rPr>
          <w:rFonts w:hint="cs"/>
          <w:rtl/>
        </w:rPr>
        <w:t xml:space="preserve">המאירי (ר' מנחם </w:t>
      </w:r>
      <w:smartTag w:uri="urn:schemas-microsoft-com:office:smarttags" w:element="PersonName">
        <w:smartTagPr>
          <w:attr w:name="ProductID" w:val="בן שלמה"/>
        </w:smartTagPr>
        <w:r w:rsidRPr="00CA63E1">
          <w:rPr>
            <w:rFonts w:hint="cs"/>
            <w:rtl/>
          </w:rPr>
          <w:t>בן שלמה</w:t>
        </w:r>
      </w:smartTag>
      <w:r w:rsidRPr="00CA63E1">
        <w:rPr>
          <w:rFonts w:hint="cs"/>
          <w:rtl/>
        </w:rPr>
        <w:t>, מחכמי פרובנס המאה ה- 13, פרשן תלמוד ומקרא) מחזיר אותנו ל"הוו מתונים בדין" ומקשר אמרה זו עם "העמידו תלמידים הרבה". שיהיו נוכחים תלמידים (תלמידי חכמים) בדין ויעירו, גם לגדול שבדיינים, אם הם חושבים שהוא טועה. או פשוט יותר, שהדין ילובן בפורום כמה שיותר רחב. ראה פירושו גם במסכתנו: "</w:t>
      </w:r>
      <w:r w:rsidRPr="00CA63E1">
        <w:rPr>
          <w:rtl/>
        </w:rPr>
        <w:t>שירבו בישיבה</w:t>
      </w:r>
      <w:r w:rsidRPr="00CA63E1">
        <w:rPr>
          <w:rFonts w:hint="cs"/>
          <w:rtl/>
        </w:rPr>
        <w:t>,</w:t>
      </w:r>
      <w:r w:rsidRPr="00CA63E1">
        <w:rPr>
          <w:rtl/>
        </w:rPr>
        <w:t xml:space="preserve"> כדי שיעמידו תלמידים הרבה ולא תהא תורה משתכחת</w:t>
      </w:r>
      <w:r w:rsidRPr="00CA63E1">
        <w:rPr>
          <w:rFonts w:hint="cs"/>
          <w:rtl/>
        </w:rPr>
        <w:t>.</w:t>
      </w:r>
      <w:r w:rsidRPr="00CA63E1">
        <w:rPr>
          <w:rtl/>
        </w:rPr>
        <w:t xml:space="preserve"> ולא ידקדקו יותר מדאי שלא להושיב בפניהם אלא בעלי תריסין</w:t>
      </w:r>
      <w:r w:rsidRPr="00CA63E1">
        <w:rPr>
          <w:rFonts w:hint="cs"/>
          <w:rtl/>
        </w:rPr>
        <w:t>,</w:t>
      </w:r>
      <w:r w:rsidRPr="00CA63E1">
        <w:rPr>
          <w:rtl/>
        </w:rPr>
        <w:t xml:space="preserve"> אלא יסבירו פנים לכל הבא לפניהם</w:t>
      </w:r>
      <w:r>
        <w:rPr>
          <w:rFonts w:hint="cs"/>
          <w:rtl/>
          <w:lang w:eastAsia="en-US"/>
        </w:rPr>
        <w:t>.</w:t>
      </w:r>
      <w:r>
        <w:rPr>
          <w:rFonts w:cs="David"/>
          <w:rtl/>
          <w:lang w:eastAsia="en-US"/>
        </w:rPr>
        <w:t xml:space="preserve"> </w:t>
      </w:r>
      <w:r w:rsidRPr="00FE25BA">
        <w:rPr>
          <w:rFonts w:cs="David"/>
          <w:b/>
          <w:bCs/>
          <w:rtl/>
          <w:lang w:eastAsia="en-US"/>
        </w:rPr>
        <w:t>שהעצים הקטנים מדליקין לגדולים</w:t>
      </w:r>
      <w:r>
        <w:rPr>
          <w:rFonts w:cs="David" w:hint="cs"/>
          <w:b/>
          <w:bCs/>
          <w:rtl/>
          <w:lang w:eastAsia="en-US"/>
        </w:rPr>
        <w:t>"</w:t>
      </w:r>
      <w:r>
        <w:rPr>
          <w:rFonts w:hint="cs"/>
          <w:rtl/>
          <w:lang w:eastAsia="en-US"/>
        </w:rPr>
        <w:t>.</w:t>
      </w:r>
    </w:p>
  </w:footnote>
  <w:footnote w:id="19">
    <w:p w14:paraId="20539DC1" w14:textId="77777777" w:rsidR="004D01AE" w:rsidRDefault="004D01AE" w:rsidP="007068F4">
      <w:pPr>
        <w:pStyle w:val="a3"/>
        <w:rPr>
          <w:rFonts w:hint="cs"/>
        </w:rPr>
      </w:pPr>
      <w:r>
        <w:rPr>
          <w:rStyle w:val="a5"/>
        </w:rPr>
        <w:footnoteRef/>
      </w:r>
      <w:r>
        <w:rPr>
          <w:rtl/>
        </w:rPr>
        <w:t xml:space="preserve"> </w:t>
      </w:r>
      <w:r>
        <w:rPr>
          <w:rFonts w:hint="cs"/>
          <w:rtl/>
          <w:lang w:eastAsia="en-US"/>
        </w:rPr>
        <w:t xml:space="preserve">והנטיעות שם הם עץ הדעת ועץ דרך החיים שכבר ראינו (הערה </w:t>
      </w:r>
      <w:r w:rsidR="007068F4">
        <w:rPr>
          <w:rFonts w:hint="cs"/>
          <w:rtl/>
          <w:lang w:eastAsia="en-US"/>
        </w:rPr>
        <w:t>7</w:t>
      </w:r>
      <w:r>
        <w:rPr>
          <w:rFonts w:hint="cs"/>
          <w:rtl/>
          <w:lang w:eastAsia="en-US"/>
        </w:rPr>
        <w:t xml:space="preserve"> לעיל) שהיא דרך הארץ שקדמה לתורה. בנושא זה, של עשיית סייג לתורה, רבו המדרשים והפירושים המפרטים כל מי שעשה סייג לדבריו או לתורה, בין סייג נכון או סייג יתר על המידה: "</w:t>
      </w:r>
      <w:r>
        <w:rPr>
          <w:rtl/>
          <w:lang w:eastAsia="en-US"/>
        </w:rPr>
        <w:t>ועשה סייג לדבריך</w:t>
      </w:r>
      <w:r>
        <w:rPr>
          <w:rFonts w:hint="cs"/>
          <w:rtl/>
          <w:lang w:eastAsia="en-US"/>
        </w:rPr>
        <w:t>,</w:t>
      </w:r>
      <w:r>
        <w:rPr>
          <w:rtl/>
          <w:lang w:eastAsia="en-US"/>
        </w:rPr>
        <w:t xml:space="preserve"> כדרך שעשה הקב"ה סייג לדבריו ואדם הראשון עשה סייג לדבריו. תורה עשתה סייג לדבריה. משה עשה סייג לדבריו. ואף איוב ואף נביאים וכתובים וחכמים</w:t>
      </w:r>
      <w:r>
        <w:rPr>
          <w:rFonts w:hint="cs"/>
          <w:rtl/>
          <w:lang w:eastAsia="en-US"/>
        </w:rPr>
        <w:t>,</w:t>
      </w:r>
      <w:r>
        <w:rPr>
          <w:rtl/>
          <w:lang w:eastAsia="en-US"/>
        </w:rPr>
        <w:t xml:space="preserve"> כולם עשו סייג לדבריהם</w:t>
      </w:r>
      <w:r>
        <w:rPr>
          <w:rFonts w:hint="cs"/>
          <w:rtl/>
          <w:lang w:eastAsia="en-US"/>
        </w:rPr>
        <w:t>" (</w:t>
      </w:r>
      <w:r>
        <w:rPr>
          <w:rtl/>
          <w:lang w:eastAsia="en-US"/>
        </w:rPr>
        <w:t>אבות דרבי נתן נוסח א פרק א</w:t>
      </w:r>
      <w:r>
        <w:rPr>
          <w:rFonts w:hint="cs"/>
          <w:rtl/>
          <w:lang w:eastAsia="en-US"/>
        </w:rPr>
        <w:t>). ובדורנו, בו רבו הסייגים והחומרות</w:t>
      </w:r>
      <w:r w:rsidRPr="004E11E4">
        <w:rPr>
          <w:rFonts w:hint="cs"/>
          <w:rtl/>
          <w:lang w:eastAsia="en-US"/>
        </w:rPr>
        <w:t xml:space="preserve"> </w:t>
      </w:r>
      <w:r>
        <w:rPr>
          <w:rFonts w:hint="cs"/>
          <w:rtl/>
          <w:lang w:eastAsia="en-US"/>
        </w:rPr>
        <w:t>וגבהו והגביהו החומות, נראה שהמדרש שהבאנו האומר שיש לעשות סייג לסייג ולוודא שהטפל לא יגבר על העיקר ושהגדר לא תהרוס את הנטיעות, הוא העיקר.</w:t>
      </w:r>
      <w:r w:rsidR="00677E38">
        <w:rPr>
          <w:rFonts w:hint="cs"/>
          <w:rtl/>
        </w:rPr>
        <w:t xml:space="preserve"> ראה דברינו </w:t>
      </w:r>
      <w:hyperlink r:id="rId7" w:history="1">
        <w:r w:rsidR="00677E38" w:rsidRPr="00AF170A">
          <w:rPr>
            <w:rStyle w:val="Hyperlink"/>
            <w:rFonts w:hint="cs"/>
            <w:rtl/>
          </w:rPr>
          <w:t>עשו סייג לתורה</w:t>
        </w:r>
      </w:hyperlink>
      <w:r w:rsidR="00677E38">
        <w:rPr>
          <w:rFonts w:hint="cs"/>
          <w:rtl/>
        </w:rPr>
        <w:t xml:space="preserve"> במיוחדים.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FA0C" w14:textId="77777777" w:rsidR="004D01AE" w:rsidRDefault="004D01AE" w:rsidP="00AF170A">
    <w:pPr>
      <w:pStyle w:val="1"/>
      <w:tabs>
        <w:tab w:val="clear" w:pos="9469"/>
        <w:tab w:val="right" w:pos="9299"/>
      </w:tabs>
      <w:rPr>
        <w:rFonts w:hint="cs"/>
        <w:rtl/>
      </w:rPr>
    </w:pPr>
    <w:r>
      <w:rPr>
        <w:rtl/>
      </w:rPr>
      <w:t xml:space="preserve">פרשת </w:t>
    </w:r>
    <w:fldSimple w:instr=" SUBJECT  \* MERGEFORMAT ">
      <w:r>
        <w:rPr>
          <w:rtl/>
        </w:rPr>
        <w:t>שמיני</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504C" w14:textId="77777777" w:rsidR="004D01AE" w:rsidRDefault="004D01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5516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0tzC2NLEwMjUwMjVX0lEKTi0uzszPAykwrAUAc+lK5iwAAAA="/>
  </w:docVars>
  <w:rsids>
    <w:rsidRoot w:val="00002151"/>
    <w:rsid w:val="00002151"/>
    <w:rsid w:val="00005E44"/>
    <w:rsid w:val="00005EC9"/>
    <w:rsid w:val="00016F3F"/>
    <w:rsid w:val="00025C6E"/>
    <w:rsid w:val="00030789"/>
    <w:rsid w:val="000343D4"/>
    <w:rsid w:val="000355AD"/>
    <w:rsid w:val="00041BAD"/>
    <w:rsid w:val="00044414"/>
    <w:rsid w:val="000445E9"/>
    <w:rsid w:val="000446D9"/>
    <w:rsid w:val="00057296"/>
    <w:rsid w:val="0006399D"/>
    <w:rsid w:val="00072CCB"/>
    <w:rsid w:val="00082D9C"/>
    <w:rsid w:val="00083E5A"/>
    <w:rsid w:val="00087015"/>
    <w:rsid w:val="00095416"/>
    <w:rsid w:val="000A4FAE"/>
    <w:rsid w:val="000A504A"/>
    <w:rsid w:val="000A5428"/>
    <w:rsid w:val="000B2D9E"/>
    <w:rsid w:val="000B5AA0"/>
    <w:rsid w:val="000C178D"/>
    <w:rsid w:val="000D551F"/>
    <w:rsid w:val="000E379E"/>
    <w:rsid w:val="000F1BCE"/>
    <w:rsid w:val="000F1FD7"/>
    <w:rsid w:val="000F251F"/>
    <w:rsid w:val="00112F06"/>
    <w:rsid w:val="00113829"/>
    <w:rsid w:val="001159ED"/>
    <w:rsid w:val="00116B83"/>
    <w:rsid w:val="001344D4"/>
    <w:rsid w:val="00137A14"/>
    <w:rsid w:val="00145E4E"/>
    <w:rsid w:val="00146930"/>
    <w:rsid w:val="00146D7C"/>
    <w:rsid w:val="00150ABD"/>
    <w:rsid w:val="00153757"/>
    <w:rsid w:val="001556F6"/>
    <w:rsid w:val="0015703D"/>
    <w:rsid w:val="00157075"/>
    <w:rsid w:val="00160169"/>
    <w:rsid w:val="001665E2"/>
    <w:rsid w:val="00166B38"/>
    <w:rsid w:val="00167202"/>
    <w:rsid w:val="001768A1"/>
    <w:rsid w:val="00190AF1"/>
    <w:rsid w:val="001926B0"/>
    <w:rsid w:val="00195D67"/>
    <w:rsid w:val="001C6E84"/>
    <w:rsid w:val="001D03DE"/>
    <w:rsid w:val="001E2B3B"/>
    <w:rsid w:val="001F3116"/>
    <w:rsid w:val="001F551E"/>
    <w:rsid w:val="00202460"/>
    <w:rsid w:val="00205935"/>
    <w:rsid w:val="002152BC"/>
    <w:rsid w:val="00220FD0"/>
    <w:rsid w:val="00223F1F"/>
    <w:rsid w:val="002242D0"/>
    <w:rsid w:val="002242D9"/>
    <w:rsid w:val="00226E67"/>
    <w:rsid w:val="00237DB1"/>
    <w:rsid w:val="002474C8"/>
    <w:rsid w:val="00250B13"/>
    <w:rsid w:val="00255164"/>
    <w:rsid w:val="00262DA4"/>
    <w:rsid w:val="0026490B"/>
    <w:rsid w:val="0027355B"/>
    <w:rsid w:val="00281C63"/>
    <w:rsid w:val="00283FFB"/>
    <w:rsid w:val="002B16AA"/>
    <w:rsid w:val="002B515B"/>
    <w:rsid w:val="002C0FAA"/>
    <w:rsid w:val="002C2844"/>
    <w:rsid w:val="002C7D2E"/>
    <w:rsid w:val="002E0BC3"/>
    <w:rsid w:val="002F7BAC"/>
    <w:rsid w:val="00300BF2"/>
    <w:rsid w:val="003048C5"/>
    <w:rsid w:val="00314C54"/>
    <w:rsid w:val="0031749B"/>
    <w:rsid w:val="003247A0"/>
    <w:rsid w:val="0034126F"/>
    <w:rsid w:val="003428CD"/>
    <w:rsid w:val="00343535"/>
    <w:rsid w:val="00363505"/>
    <w:rsid w:val="00363A9B"/>
    <w:rsid w:val="003669C8"/>
    <w:rsid w:val="00372B17"/>
    <w:rsid w:val="00383D54"/>
    <w:rsid w:val="003A1289"/>
    <w:rsid w:val="003B1AF6"/>
    <w:rsid w:val="003B2FE4"/>
    <w:rsid w:val="003C0C63"/>
    <w:rsid w:val="003C0CCA"/>
    <w:rsid w:val="003C2D23"/>
    <w:rsid w:val="003D04B6"/>
    <w:rsid w:val="003F21B8"/>
    <w:rsid w:val="003F2520"/>
    <w:rsid w:val="003F254B"/>
    <w:rsid w:val="003F27BA"/>
    <w:rsid w:val="003F3C4D"/>
    <w:rsid w:val="003F75A7"/>
    <w:rsid w:val="00401D27"/>
    <w:rsid w:val="00432DC9"/>
    <w:rsid w:val="00434B05"/>
    <w:rsid w:val="00435DB3"/>
    <w:rsid w:val="00441CB3"/>
    <w:rsid w:val="00442E0D"/>
    <w:rsid w:val="004439DF"/>
    <w:rsid w:val="0046110A"/>
    <w:rsid w:val="0046342C"/>
    <w:rsid w:val="0046426D"/>
    <w:rsid w:val="00464568"/>
    <w:rsid w:val="00466A06"/>
    <w:rsid w:val="00475C0F"/>
    <w:rsid w:val="00485097"/>
    <w:rsid w:val="0049044A"/>
    <w:rsid w:val="00495A8F"/>
    <w:rsid w:val="004A5A7B"/>
    <w:rsid w:val="004B5B72"/>
    <w:rsid w:val="004C1099"/>
    <w:rsid w:val="004C1E35"/>
    <w:rsid w:val="004D01AE"/>
    <w:rsid w:val="004E11E4"/>
    <w:rsid w:val="004E43B3"/>
    <w:rsid w:val="004F0434"/>
    <w:rsid w:val="004F222C"/>
    <w:rsid w:val="004F4444"/>
    <w:rsid w:val="005021F9"/>
    <w:rsid w:val="0050318F"/>
    <w:rsid w:val="00512CEF"/>
    <w:rsid w:val="00515ECE"/>
    <w:rsid w:val="00522326"/>
    <w:rsid w:val="005241BA"/>
    <w:rsid w:val="005261E9"/>
    <w:rsid w:val="00531D9D"/>
    <w:rsid w:val="00542688"/>
    <w:rsid w:val="005514F6"/>
    <w:rsid w:val="005537A5"/>
    <w:rsid w:val="00557734"/>
    <w:rsid w:val="00557FE4"/>
    <w:rsid w:val="0059287E"/>
    <w:rsid w:val="005B6E7F"/>
    <w:rsid w:val="005B7ADF"/>
    <w:rsid w:val="005C15A4"/>
    <w:rsid w:val="005D7ADF"/>
    <w:rsid w:val="005E0EE7"/>
    <w:rsid w:val="005E16F9"/>
    <w:rsid w:val="005F3C4A"/>
    <w:rsid w:val="005F5238"/>
    <w:rsid w:val="00602F0E"/>
    <w:rsid w:val="006143D1"/>
    <w:rsid w:val="00616409"/>
    <w:rsid w:val="00616907"/>
    <w:rsid w:val="006169FF"/>
    <w:rsid w:val="00620957"/>
    <w:rsid w:val="0062272D"/>
    <w:rsid w:val="00623F0C"/>
    <w:rsid w:val="0063023B"/>
    <w:rsid w:val="00631B33"/>
    <w:rsid w:val="00632A5B"/>
    <w:rsid w:val="00633650"/>
    <w:rsid w:val="006354F3"/>
    <w:rsid w:val="00641978"/>
    <w:rsid w:val="006477F7"/>
    <w:rsid w:val="0066417C"/>
    <w:rsid w:val="00676DAF"/>
    <w:rsid w:val="00677E38"/>
    <w:rsid w:val="006870FC"/>
    <w:rsid w:val="00691FD6"/>
    <w:rsid w:val="006966C2"/>
    <w:rsid w:val="006A1736"/>
    <w:rsid w:val="006B0FD0"/>
    <w:rsid w:val="006B6346"/>
    <w:rsid w:val="006B73A4"/>
    <w:rsid w:val="006C519B"/>
    <w:rsid w:val="006D566D"/>
    <w:rsid w:val="006D6B8A"/>
    <w:rsid w:val="006E04ED"/>
    <w:rsid w:val="006E35C8"/>
    <w:rsid w:val="00701480"/>
    <w:rsid w:val="0070386C"/>
    <w:rsid w:val="007068F4"/>
    <w:rsid w:val="007102E7"/>
    <w:rsid w:val="00711279"/>
    <w:rsid w:val="007153F8"/>
    <w:rsid w:val="00716645"/>
    <w:rsid w:val="00723298"/>
    <w:rsid w:val="00731F1A"/>
    <w:rsid w:val="00731F81"/>
    <w:rsid w:val="00742F74"/>
    <w:rsid w:val="007444D6"/>
    <w:rsid w:val="00756F54"/>
    <w:rsid w:val="00764FA5"/>
    <w:rsid w:val="00772F93"/>
    <w:rsid w:val="00774E9F"/>
    <w:rsid w:val="0077673A"/>
    <w:rsid w:val="007902C7"/>
    <w:rsid w:val="00791D62"/>
    <w:rsid w:val="007A02A0"/>
    <w:rsid w:val="007A3CAD"/>
    <w:rsid w:val="007A7368"/>
    <w:rsid w:val="007A74EA"/>
    <w:rsid w:val="007B3E75"/>
    <w:rsid w:val="007C3A41"/>
    <w:rsid w:val="007D032D"/>
    <w:rsid w:val="007D671C"/>
    <w:rsid w:val="007E1718"/>
    <w:rsid w:val="007E3FE5"/>
    <w:rsid w:val="007F14CF"/>
    <w:rsid w:val="00815712"/>
    <w:rsid w:val="0082501C"/>
    <w:rsid w:val="00834356"/>
    <w:rsid w:val="00837686"/>
    <w:rsid w:val="0084367F"/>
    <w:rsid w:val="008660CE"/>
    <w:rsid w:val="00866127"/>
    <w:rsid w:val="00872244"/>
    <w:rsid w:val="00882C6B"/>
    <w:rsid w:val="00886351"/>
    <w:rsid w:val="00896594"/>
    <w:rsid w:val="008B0170"/>
    <w:rsid w:val="008C024F"/>
    <w:rsid w:val="008C717A"/>
    <w:rsid w:val="008D1695"/>
    <w:rsid w:val="008F64BC"/>
    <w:rsid w:val="00901E36"/>
    <w:rsid w:val="009214CB"/>
    <w:rsid w:val="00931CF3"/>
    <w:rsid w:val="009330CD"/>
    <w:rsid w:val="009375F1"/>
    <w:rsid w:val="00937791"/>
    <w:rsid w:val="00937C8E"/>
    <w:rsid w:val="009512C6"/>
    <w:rsid w:val="00952233"/>
    <w:rsid w:val="00955A14"/>
    <w:rsid w:val="00966898"/>
    <w:rsid w:val="009668AF"/>
    <w:rsid w:val="0097046E"/>
    <w:rsid w:val="0097477A"/>
    <w:rsid w:val="00975F3B"/>
    <w:rsid w:val="00977980"/>
    <w:rsid w:val="00983EDC"/>
    <w:rsid w:val="00990BD9"/>
    <w:rsid w:val="00997569"/>
    <w:rsid w:val="009A4908"/>
    <w:rsid w:val="009B16C8"/>
    <w:rsid w:val="009B4E18"/>
    <w:rsid w:val="009D062E"/>
    <w:rsid w:val="009D0B06"/>
    <w:rsid w:val="009E0D7A"/>
    <w:rsid w:val="009F3633"/>
    <w:rsid w:val="009F3CA6"/>
    <w:rsid w:val="00A06153"/>
    <w:rsid w:val="00A07E0A"/>
    <w:rsid w:val="00A140AF"/>
    <w:rsid w:val="00A17577"/>
    <w:rsid w:val="00A23059"/>
    <w:rsid w:val="00A412A6"/>
    <w:rsid w:val="00A56E70"/>
    <w:rsid w:val="00A904DA"/>
    <w:rsid w:val="00A9089E"/>
    <w:rsid w:val="00AC5053"/>
    <w:rsid w:val="00AC6FB1"/>
    <w:rsid w:val="00AD0E40"/>
    <w:rsid w:val="00AE2713"/>
    <w:rsid w:val="00AF170A"/>
    <w:rsid w:val="00AF6E23"/>
    <w:rsid w:val="00B00F7E"/>
    <w:rsid w:val="00B03CA2"/>
    <w:rsid w:val="00B05355"/>
    <w:rsid w:val="00B05440"/>
    <w:rsid w:val="00B056F6"/>
    <w:rsid w:val="00B065AC"/>
    <w:rsid w:val="00B06E88"/>
    <w:rsid w:val="00B13D06"/>
    <w:rsid w:val="00B153B5"/>
    <w:rsid w:val="00B277EA"/>
    <w:rsid w:val="00B325E9"/>
    <w:rsid w:val="00B57A76"/>
    <w:rsid w:val="00B762A8"/>
    <w:rsid w:val="00B84B42"/>
    <w:rsid w:val="00B938CA"/>
    <w:rsid w:val="00B9573B"/>
    <w:rsid w:val="00BA43E7"/>
    <w:rsid w:val="00BA47C8"/>
    <w:rsid w:val="00BD3C62"/>
    <w:rsid w:val="00BD420E"/>
    <w:rsid w:val="00BE0D48"/>
    <w:rsid w:val="00BF521B"/>
    <w:rsid w:val="00C016A2"/>
    <w:rsid w:val="00C039E1"/>
    <w:rsid w:val="00C06EC1"/>
    <w:rsid w:val="00C07CF7"/>
    <w:rsid w:val="00C23CB1"/>
    <w:rsid w:val="00C249C9"/>
    <w:rsid w:val="00C411A3"/>
    <w:rsid w:val="00C4196D"/>
    <w:rsid w:val="00C41E13"/>
    <w:rsid w:val="00C5385B"/>
    <w:rsid w:val="00C5771D"/>
    <w:rsid w:val="00C61CA3"/>
    <w:rsid w:val="00C62377"/>
    <w:rsid w:val="00C626E6"/>
    <w:rsid w:val="00C852B5"/>
    <w:rsid w:val="00C959DB"/>
    <w:rsid w:val="00CA4879"/>
    <w:rsid w:val="00CA4C18"/>
    <w:rsid w:val="00CA63E1"/>
    <w:rsid w:val="00CB5045"/>
    <w:rsid w:val="00CD0037"/>
    <w:rsid w:val="00CD0480"/>
    <w:rsid w:val="00CE6332"/>
    <w:rsid w:val="00CE66D1"/>
    <w:rsid w:val="00CE6FCF"/>
    <w:rsid w:val="00CF3464"/>
    <w:rsid w:val="00D11C0A"/>
    <w:rsid w:val="00D12B1A"/>
    <w:rsid w:val="00D36387"/>
    <w:rsid w:val="00D3758F"/>
    <w:rsid w:val="00D41283"/>
    <w:rsid w:val="00D47057"/>
    <w:rsid w:val="00D5739D"/>
    <w:rsid w:val="00D60A6D"/>
    <w:rsid w:val="00D65C02"/>
    <w:rsid w:val="00D74F34"/>
    <w:rsid w:val="00D76E46"/>
    <w:rsid w:val="00D7754A"/>
    <w:rsid w:val="00D77CF6"/>
    <w:rsid w:val="00D81801"/>
    <w:rsid w:val="00D93259"/>
    <w:rsid w:val="00DA19F6"/>
    <w:rsid w:val="00DA47CD"/>
    <w:rsid w:val="00DB06AD"/>
    <w:rsid w:val="00DB65DE"/>
    <w:rsid w:val="00DC5EC2"/>
    <w:rsid w:val="00DD26FC"/>
    <w:rsid w:val="00DD7C31"/>
    <w:rsid w:val="00DE44A6"/>
    <w:rsid w:val="00DE6023"/>
    <w:rsid w:val="00DF1D29"/>
    <w:rsid w:val="00DF24B4"/>
    <w:rsid w:val="00DF38CA"/>
    <w:rsid w:val="00DF6A77"/>
    <w:rsid w:val="00E00678"/>
    <w:rsid w:val="00E01793"/>
    <w:rsid w:val="00E03FAE"/>
    <w:rsid w:val="00E04959"/>
    <w:rsid w:val="00E1284E"/>
    <w:rsid w:val="00E177AF"/>
    <w:rsid w:val="00E231D9"/>
    <w:rsid w:val="00E34C79"/>
    <w:rsid w:val="00E426E3"/>
    <w:rsid w:val="00E429EE"/>
    <w:rsid w:val="00E53074"/>
    <w:rsid w:val="00E53901"/>
    <w:rsid w:val="00E5787E"/>
    <w:rsid w:val="00E92BFB"/>
    <w:rsid w:val="00E971B0"/>
    <w:rsid w:val="00E973FB"/>
    <w:rsid w:val="00EA6C58"/>
    <w:rsid w:val="00EB2D10"/>
    <w:rsid w:val="00EB3D52"/>
    <w:rsid w:val="00EC23D2"/>
    <w:rsid w:val="00EE45A1"/>
    <w:rsid w:val="00EF12C8"/>
    <w:rsid w:val="00F129CA"/>
    <w:rsid w:val="00F1727E"/>
    <w:rsid w:val="00F20A7A"/>
    <w:rsid w:val="00F35670"/>
    <w:rsid w:val="00F3612C"/>
    <w:rsid w:val="00F36D7C"/>
    <w:rsid w:val="00F42E3E"/>
    <w:rsid w:val="00F431B7"/>
    <w:rsid w:val="00F46F86"/>
    <w:rsid w:val="00F52FEB"/>
    <w:rsid w:val="00F6045A"/>
    <w:rsid w:val="00F614F2"/>
    <w:rsid w:val="00FA59B6"/>
    <w:rsid w:val="00FB07A3"/>
    <w:rsid w:val="00FB70FD"/>
    <w:rsid w:val="00FC40E9"/>
    <w:rsid w:val="00FC717F"/>
    <w:rsid w:val="00FD0C8A"/>
    <w:rsid w:val="00FD16C3"/>
    <w:rsid w:val="00FE25BA"/>
    <w:rsid w:val="00FE431B"/>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2BDB2B"/>
  <w15:chartTrackingRefBased/>
  <w15:docId w15:val="{B4B06C4F-01D7-4174-A74C-3008E5FB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5164"/>
    <w:pPr>
      <w:bidi/>
    </w:pPr>
    <w:rPr>
      <w:rFonts w:cs="Narkisim"/>
      <w:sz w:val="22"/>
      <w:szCs w:val="22"/>
      <w:lang w:eastAsia="he-IL"/>
    </w:rPr>
  </w:style>
  <w:style w:type="paragraph" w:styleId="1">
    <w:name w:val="heading 1"/>
    <w:basedOn w:val="a"/>
    <w:next w:val="a"/>
    <w:link w:val="10"/>
    <w:qFormat/>
    <w:rsid w:val="00255164"/>
    <w:pPr>
      <w:keepNext/>
      <w:tabs>
        <w:tab w:val="right" w:pos="9469"/>
      </w:tabs>
      <w:jc w:val="both"/>
      <w:outlineLvl w:val="0"/>
    </w:pPr>
    <w:rPr>
      <w:rFonts w:cs="David"/>
      <w:b/>
      <w:bCs/>
      <w:szCs w:val="28"/>
    </w:rPr>
  </w:style>
  <w:style w:type="character" w:default="1" w:styleId="a0">
    <w:name w:val="Default Paragraph Font"/>
    <w:uiPriority w:val="1"/>
    <w:semiHidden/>
    <w:unhideWhenUsed/>
    <w:rsid w:val="002551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55164"/>
  </w:style>
  <w:style w:type="paragraph" w:styleId="a3">
    <w:name w:val="footnote text"/>
    <w:basedOn w:val="a"/>
    <w:link w:val="a4"/>
    <w:rsid w:val="00255164"/>
    <w:pPr>
      <w:ind w:left="170" w:hanging="170"/>
      <w:jc w:val="both"/>
    </w:pPr>
    <w:rPr>
      <w:sz w:val="20"/>
      <w:szCs w:val="20"/>
    </w:rPr>
  </w:style>
  <w:style w:type="character" w:styleId="a5">
    <w:name w:val="footnote reference"/>
    <w:semiHidden/>
    <w:rsid w:val="00255164"/>
    <w:rPr>
      <w:vertAlign w:val="superscript"/>
    </w:rPr>
  </w:style>
  <w:style w:type="paragraph" w:styleId="a6">
    <w:name w:val="header"/>
    <w:basedOn w:val="a"/>
    <w:link w:val="a7"/>
    <w:rsid w:val="00255164"/>
    <w:pPr>
      <w:tabs>
        <w:tab w:val="center" w:pos="4153"/>
        <w:tab w:val="right" w:pos="8306"/>
      </w:tabs>
    </w:pPr>
  </w:style>
  <w:style w:type="paragraph" w:styleId="a8">
    <w:name w:val="footer"/>
    <w:basedOn w:val="a"/>
    <w:link w:val="a9"/>
    <w:rsid w:val="00255164"/>
    <w:pPr>
      <w:tabs>
        <w:tab w:val="center" w:pos="4153"/>
        <w:tab w:val="right" w:pos="8306"/>
      </w:tabs>
    </w:pPr>
  </w:style>
  <w:style w:type="paragraph" w:customStyle="1" w:styleId="aa">
    <w:name w:val="כותרת"/>
    <w:basedOn w:val="a"/>
    <w:rsid w:val="00255164"/>
    <w:pPr>
      <w:spacing w:before="240" w:line="320" w:lineRule="atLeast"/>
      <w:jc w:val="center"/>
    </w:pPr>
    <w:rPr>
      <w:rFonts w:cs="David"/>
      <w:b/>
      <w:bCs/>
      <w:spacing w:val="20"/>
      <w:szCs w:val="32"/>
    </w:rPr>
  </w:style>
  <w:style w:type="paragraph" w:customStyle="1" w:styleId="ab">
    <w:name w:val="כותרת קטע"/>
    <w:basedOn w:val="a"/>
    <w:rsid w:val="00255164"/>
    <w:pPr>
      <w:spacing w:before="240" w:line="300" w:lineRule="atLeast"/>
    </w:pPr>
    <w:rPr>
      <w:rFonts w:cs="Arial"/>
      <w:b/>
      <w:bCs/>
      <w:szCs w:val="24"/>
    </w:rPr>
  </w:style>
  <w:style w:type="paragraph" w:customStyle="1" w:styleId="ac">
    <w:name w:val="מקור"/>
    <w:basedOn w:val="a"/>
    <w:rsid w:val="00255164"/>
    <w:pPr>
      <w:spacing w:line="320" w:lineRule="atLeast"/>
      <w:jc w:val="both"/>
    </w:pPr>
    <w:rPr>
      <w:rFonts w:cs="David"/>
      <w:szCs w:val="24"/>
    </w:rPr>
  </w:style>
  <w:style w:type="paragraph" w:customStyle="1" w:styleId="ad">
    <w:name w:val="מחלקי המים"/>
    <w:basedOn w:val="a"/>
    <w:rsid w:val="0025516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55164"/>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255164"/>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255164"/>
    <w:rPr>
      <w:rFonts w:cs="Narkisim"/>
      <w:lang w:eastAsia="he-IL"/>
    </w:rPr>
  </w:style>
  <w:style w:type="character" w:customStyle="1" w:styleId="10">
    <w:name w:val="כותרת 1 תו"/>
    <w:link w:val="1"/>
    <w:rsid w:val="00255164"/>
    <w:rPr>
      <w:rFonts w:cs="David"/>
      <w:b/>
      <w:bCs/>
      <w:sz w:val="22"/>
      <w:szCs w:val="28"/>
      <w:lang w:eastAsia="he-IL"/>
    </w:rPr>
  </w:style>
  <w:style w:type="character" w:customStyle="1" w:styleId="a7">
    <w:name w:val="כותרת עליונה תו"/>
    <w:link w:val="a6"/>
    <w:rsid w:val="00255164"/>
    <w:rPr>
      <w:rFonts w:cs="Narkisim"/>
      <w:sz w:val="22"/>
      <w:szCs w:val="22"/>
      <w:lang w:eastAsia="he-IL"/>
    </w:rPr>
  </w:style>
  <w:style w:type="character" w:customStyle="1" w:styleId="a9">
    <w:name w:val="כותרת תחתונה תו"/>
    <w:link w:val="a8"/>
    <w:rsid w:val="00255164"/>
    <w:rPr>
      <w:rFonts w:cs="Narkisim"/>
      <w:sz w:val="22"/>
      <w:szCs w:val="22"/>
      <w:lang w:eastAsia="he-IL"/>
    </w:rPr>
  </w:style>
  <w:style w:type="character" w:customStyle="1" w:styleId="af2">
    <w:name w:val="טקסט בלונים תו"/>
    <w:link w:val="af1"/>
    <w:uiPriority w:val="99"/>
    <w:semiHidden/>
    <w:rsid w:val="0025516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book.co.il/book/6300/%D7%A4%D7%A8%D7%A7%D7%99-%D7%90%D7%91%D7%95%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9-%D7%9C%D7%90-%D7%AA%D7%A9%D7%9B%D7%97-%D7%9E%D7%A4%D7%99-%D7%96%D7%A8%D7%A2%D7%95" TargetMode="External"/><Relationship Id="rId7" Type="http://schemas.openxmlformats.org/officeDocument/2006/relationships/hyperlink" Target="https://www.mayim.org.il/?meyuhadim=%D7%A2%D7%A9%D7%95-%D7%A1%D7%99%D7%99%D7%92-%D7%9C%D7%AA%D7%95%D7%A8%D7%94" TargetMode="External"/><Relationship Id="rId2" Type="http://schemas.openxmlformats.org/officeDocument/2006/relationships/hyperlink" Target="http://www.mayim.org.il/?parasha=%D7%9C%D7%90-%D7%91%D7%A9%D7%9E%D7%99%D7%9D-%D7%94%D7%99%D7%901" TargetMode="External"/><Relationship Id="rId1" Type="http://schemas.openxmlformats.org/officeDocument/2006/relationships/hyperlink" Target="http://www.mayim.org.il/?parasha=%D7%9E%D7%A0%D7%97%D7%AA-%D7%90%D7%95%D7%9E%D7%A8-%D7%9C%D7%A2%D7%95%D7%9E%D7%A8" TargetMode="External"/><Relationship Id="rId6" Type="http://schemas.openxmlformats.org/officeDocument/2006/relationships/hyperlink" Target="http://www.mayim.org.il/?holiday=%D7%91%D7%A7%D7%A9%D7%95-%D7%97%D7%9B%D7%9E%D7%99%D7%9D-%D7%9C%D7%92%D7%A0%D7%95%D7%96-%D7%90%D7%AA-%D7%A1%D7%A4%D7%A8-%D7%A7%D7%94%D7%9C%D7%AA" TargetMode="External"/><Relationship Id="rId5" Type="http://schemas.openxmlformats.org/officeDocument/2006/relationships/hyperlink" Target="http://www.mayim.org.il/?parasha=%D7%A2%D7%96%D7%94-%D7%9B%D7%9E%D7%95%D7%95%D7%AA-%D7%90%D7%94%D7%91%D7%94-%D7%A7%D7%A9%D7%94-%D7%9B%D7%A9%D7%90%D7%95%D7%9C-%D7%A7%D7%A0%D7%90%D7%94" TargetMode="External"/><Relationship Id="rId4" Type="http://schemas.openxmlformats.org/officeDocument/2006/relationships/hyperlink" Target="http://www.herzog.ac.il/2014-04-07-11-08-31/69?view=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825</Words>
  <Characters>4128</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פרקי אבות</vt:lpstr>
      <vt:lpstr>פרקי אבות</vt:lpstr>
    </vt:vector>
  </TitlesOfParts>
  <Company> </Company>
  <LinksUpToDate>false</LinksUpToDate>
  <CharactersWithSpaces>4944</CharactersWithSpaces>
  <SharedDoc>false</SharedDoc>
  <HLinks>
    <vt:vector size="48" baseType="variant">
      <vt:variant>
        <vt:i4>7733293</vt:i4>
      </vt:variant>
      <vt:variant>
        <vt:i4>3</vt:i4>
      </vt:variant>
      <vt:variant>
        <vt:i4>0</vt:i4>
      </vt:variant>
      <vt:variant>
        <vt:i4>5</vt:i4>
      </vt:variant>
      <vt:variant>
        <vt:lpwstr>http://www.ybook.co.il/book/6300/%D7%A4%D7%A8%D7%A7%D7%99-%D7%90%D7%91%D7%95%D7%AA</vt:lpwstr>
      </vt:variant>
      <vt:variant>
        <vt:lpwstr/>
      </vt:variant>
      <vt:variant>
        <vt:i4>3407916</vt:i4>
      </vt:variant>
      <vt:variant>
        <vt:i4>18</vt:i4>
      </vt:variant>
      <vt:variant>
        <vt:i4>0</vt:i4>
      </vt:variant>
      <vt:variant>
        <vt:i4>5</vt:i4>
      </vt:variant>
      <vt:variant>
        <vt:lpwstr>https://www.mayim.org.il/?meyuhadim=%D7%A2%D7%A9%D7%95-%D7%A1%D7%99%D7%99%D7%92-%D7%9C%D7%AA%D7%95%D7%A8%D7%94</vt:lpwstr>
      </vt:variant>
      <vt:variant>
        <vt:lpwstr/>
      </vt:variant>
      <vt:variant>
        <vt:i4>5505029</vt:i4>
      </vt:variant>
      <vt:variant>
        <vt:i4>15</vt:i4>
      </vt:variant>
      <vt:variant>
        <vt:i4>0</vt:i4>
      </vt:variant>
      <vt:variant>
        <vt:i4>5</vt:i4>
      </vt:variant>
      <vt:variant>
        <vt:lpwstr>http://www.mayim.org.il/?holiday=%D7%91%D7%A7%D7%A9%D7%95-%D7%97%D7%9B%D7%9E%D7%99%D7%9D-%D7%9C%D7%92%D7%A0%D7%95%D7%96-%D7%90%D7%AA-%D7%A1%D7%A4%D7%A8-%D7%A7%D7%94%D7%9C%D7%AA</vt:lpwstr>
      </vt:variant>
      <vt:variant>
        <vt:lpwstr/>
      </vt:variant>
      <vt:variant>
        <vt:i4>8257656</vt:i4>
      </vt:variant>
      <vt:variant>
        <vt:i4>12</vt:i4>
      </vt:variant>
      <vt:variant>
        <vt:i4>0</vt:i4>
      </vt:variant>
      <vt:variant>
        <vt:i4>5</vt:i4>
      </vt:variant>
      <vt:variant>
        <vt:lpwstr>http://www.mayim.org.il/?parasha=%D7%A2%D7%96%D7%94-%D7%9B%D7%9E%D7%95%D7%95%D7%AA-%D7%90%D7%94%D7%91%D7%94-%D7%A7%D7%A9%D7%94-%D7%9B%D7%A9%D7%90%D7%95%D7%9C-%D7%A7%D7%A0%D7%90%D7%94</vt:lpwstr>
      </vt:variant>
      <vt:variant>
        <vt:lpwstr/>
      </vt:variant>
      <vt:variant>
        <vt:i4>5242891</vt:i4>
      </vt:variant>
      <vt:variant>
        <vt:i4>9</vt:i4>
      </vt:variant>
      <vt:variant>
        <vt:i4>0</vt:i4>
      </vt:variant>
      <vt:variant>
        <vt:i4>5</vt:i4>
      </vt:variant>
      <vt:variant>
        <vt:lpwstr>http://www.herzog.ac.il/2014-04-07-11-08-31/69?view=book</vt:lpwstr>
      </vt:variant>
      <vt:variant>
        <vt:lpwstr/>
      </vt:variant>
      <vt:variant>
        <vt:i4>1572893</vt:i4>
      </vt:variant>
      <vt:variant>
        <vt:i4>6</vt:i4>
      </vt:variant>
      <vt:variant>
        <vt:i4>0</vt:i4>
      </vt:variant>
      <vt:variant>
        <vt:i4>5</vt:i4>
      </vt:variant>
      <vt:variant>
        <vt:lpwstr>https://www.mayim.org.il/?parasha=%D7%9B%D7%99-%D7%9C%D7%90-%D7%AA%D7%A9%D7%9B%D7%97-%D7%9E%D7%A4%D7%99-%D7%96%D7%A8%D7%A2%D7%95</vt:lpwstr>
      </vt:variant>
      <vt:variant>
        <vt:lpwstr/>
      </vt:variant>
      <vt:variant>
        <vt:i4>4849757</vt:i4>
      </vt:variant>
      <vt:variant>
        <vt:i4>3</vt:i4>
      </vt:variant>
      <vt:variant>
        <vt:i4>0</vt:i4>
      </vt:variant>
      <vt:variant>
        <vt:i4>5</vt:i4>
      </vt:variant>
      <vt:variant>
        <vt:lpwstr>http://www.mayim.org.il/?parasha=%D7%9C%D7%90-%D7%91%D7%A9%D7%9E%D7%99%D7%9D-%D7%94%D7%99%D7%901</vt:lpwstr>
      </vt:variant>
      <vt:variant>
        <vt:lpwstr/>
      </vt:variant>
      <vt:variant>
        <vt:i4>5373978</vt:i4>
      </vt:variant>
      <vt:variant>
        <vt:i4>0</vt:i4>
      </vt:variant>
      <vt:variant>
        <vt:i4>0</vt:i4>
      </vt:variant>
      <vt:variant>
        <vt:i4>5</vt:i4>
      </vt:variant>
      <vt:variant>
        <vt:lpwstr>http://www.mayim.org.il/?parasha=%D7%9E%D7%A0%D7%97%D7%AA-%D7%90%D7%95%D7%9E%D7%A8-%D7%9C%D7%A2%D7%95%D7%9E%D7%A8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פרקי אבות</dc:title>
  <dc:subject>שמיני</dc:subject>
  <dc:creator>Asher Yuval</dc:creator>
  <cp:keywords/>
  <dc:description/>
  <cp:lastModifiedBy>Shimon Afek</cp:lastModifiedBy>
  <cp:revision>2</cp:revision>
  <cp:lastPrinted>2010-04-09T06:05:00Z</cp:lastPrinted>
  <dcterms:created xsi:type="dcterms:W3CDTF">2019-06-30T05:20:00Z</dcterms:created>
  <dcterms:modified xsi:type="dcterms:W3CDTF">2019-06-30T05:20:00Z</dcterms:modified>
</cp:coreProperties>
</file>