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0" w:rsidRDefault="009B0C60" w:rsidP="00421608">
      <w:pPr>
        <w:pStyle w:val="aa"/>
        <w:rPr>
          <w:rFonts w:hint="cs"/>
          <w:rtl/>
        </w:rPr>
      </w:pPr>
      <w:bookmarkStart w:id="0" w:name="_GoBack"/>
      <w:bookmarkEnd w:id="0"/>
      <w:r>
        <w:rPr>
          <w:rFonts w:hint="cs"/>
          <w:rtl/>
        </w:rPr>
        <w:t>על אונאת דברים</w:t>
      </w:r>
    </w:p>
    <w:p w:rsidR="009B0C60" w:rsidRDefault="009B0C60" w:rsidP="009B0C60">
      <w:pPr>
        <w:spacing w:before="240" w:line="320" w:lineRule="atLeast"/>
        <w:rPr>
          <w:rFonts w:cs="David"/>
          <w:rtl/>
        </w:rPr>
      </w:pPr>
      <w:r w:rsidRPr="009B0C60">
        <w:rPr>
          <w:rFonts w:cs="David"/>
          <w:b/>
          <w:bCs/>
          <w:szCs w:val="24"/>
          <w:rtl/>
        </w:rPr>
        <w:t xml:space="preserve">וְכִי תִמְכְּרוּ מִמְכָּר לַעֲמִיתֶךָ אוֹ קָנֹה מִיַּד עֲמִיתֶךָ אַל תּוֹנוּ אִישׁ אֶת אָחִיו: </w:t>
      </w:r>
      <w:r w:rsidRPr="009B0C60">
        <w:rPr>
          <w:rFonts w:ascii="Narkisim" w:hAnsi="Narkisim"/>
          <w:rtl/>
        </w:rPr>
        <w:t>(ויקרא כה יד)</w:t>
      </w:r>
    </w:p>
    <w:p w:rsidR="009B0C60" w:rsidRDefault="009B0C60" w:rsidP="002B1C38">
      <w:pPr>
        <w:spacing w:before="120" w:line="320" w:lineRule="atLeast"/>
        <w:rPr>
          <w:rFonts w:ascii="Narkisim" w:hAnsi="Narkisim" w:hint="cs"/>
          <w:rtl/>
        </w:rPr>
      </w:pPr>
      <w:r w:rsidRPr="009B0C60">
        <w:rPr>
          <w:rFonts w:cs="David"/>
          <w:b/>
          <w:bCs/>
          <w:szCs w:val="24"/>
          <w:rtl/>
        </w:rPr>
        <w:t>וְלֹא תוֹנוּ אִישׁ אֶת עֲמִיתוֹ וְיָרֵאתָ מֵאֱלֹהֶיךָ כִּי אֲנִי ה' אֱלֹהֵיכֶם:</w:t>
      </w:r>
      <w:r w:rsidRPr="009B0C60">
        <w:rPr>
          <w:rFonts w:ascii="Narkisim" w:hAnsi="Narkisim"/>
          <w:rtl/>
        </w:rPr>
        <w:t>" (ויקרא כה יז)</w:t>
      </w:r>
      <w:r>
        <w:rPr>
          <w:rFonts w:ascii="Narkisim" w:hAnsi="Narkisim" w:hint="cs"/>
          <w:rtl/>
        </w:rPr>
        <w:t>.</w:t>
      </w:r>
      <w:r>
        <w:rPr>
          <w:rStyle w:val="a5"/>
          <w:rFonts w:ascii="Narkisim" w:hAnsi="Narkisim"/>
          <w:rtl/>
        </w:rPr>
        <w:footnoteReference w:id="1"/>
      </w:r>
    </w:p>
    <w:p w:rsidR="009B0C60" w:rsidRDefault="009B0C60" w:rsidP="009B0C60">
      <w:pPr>
        <w:pStyle w:val="ab"/>
        <w:rPr>
          <w:rtl/>
        </w:rPr>
      </w:pPr>
      <w:r>
        <w:rPr>
          <w:rtl/>
        </w:rPr>
        <w:t>ספרא בהר פרשה ג</w:t>
      </w:r>
      <w:r>
        <w:rPr>
          <w:rFonts w:hint="cs"/>
          <w:rtl/>
        </w:rPr>
        <w:t>,</w:t>
      </w:r>
      <w:r>
        <w:rPr>
          <w:rtl/>
        </w:rPr>
        <w:t xml:space="preserve"> פרק ד</w:t>
      </w:r>
    </w:p>
    <w:p w:rsidR="009B0C60" w:rsidRDefault="009B0C60" w:rsidP="009B0C60">
      <w:pPr>
        <w:pStyle w:val="ac"/>
        <w:rPr>
          <w:rFonts w:hint="cs"/>
          <w:rtl/>
        </w:rPr>
      </w:pP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xml:space="preserve">" -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ממון</w:t>
      </w:r>
      <w:r w:rsidRPr="007C14E2">
        <w:rPr>
          <w:rFonts w:hint="cs"/>
          <w:rtl/>
          <w:lang w:eastAsia="en-US"/>
        </w:rPr>
        <w:t>.</w:t>
      </w:r>
      <w:r w:rsidRPr="007C14E2">
        <w:rPr>
          <w:rtl/>
          <w:lang w:eastAsia="en-US"/>
        </w:rPr>
        <w:t xml:space="preserve"> </w:t>
      </w:r>
      <w:r w:rsidRPr="007C14E2">
        <w:rPr>
          <w:rFonts w:hint="eastAsia"/>
          <w:rtl/>
          <w:lang w:eastAsia="en-US"/>
        </w:rPr>
        <w:t>יכול</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דברים</w:t>
      </w:r>
      <w:r w:rsidRPr="007C14E2">
        <w:rPr>
          <w:rFonts w:hint="cs"/>
          <w:rtl/>
          <w:lang w:eastAsia="en-US"/>
        </w:rPr>
        <w:t>?</w:t>
      </w:r>
      <w:r w:rsidRPr="007C14E2">
        <w:rPr>
          <w:rtl/>
          <w:lang w:eastAsia="en-US"/>
        </w:rPr>
        <w:t xml:space="preserve"> </w:t>
      </w:r>
      <w:r w:rsidRPr="007C14E2">
        <w:rPr>
          <w:rFonts w:hint="eastAsia"/>
          <w:rtl/>
          <w:lang w:eastAsia="en-US"/>
        </w:rPr>
        <w:t>וכשהוא</w:t>
      </w:r>
      <w:r w:rsidRPr="007C14E2">
        <w:rPr>
          <w:rtl/>
          <w:lang w:eastAsia="en-US"/>
        </w:rPr>
        <w:t xml:space="preserve"> </w:t>
      </w:r>
      <w:r w:rsidRPr="007C14E2">
        <w:rPr>
          <w:rFonts w:hint="eastAsia"/>
          <w:rtl/>
          <w:lang w:eastAsia="en-US"/>
        </w:rPr>
        <w:t>אומר</w:t>
      </w:r>
      <w:r w:rsidRPr="007C14E2">
        <w:rPr>
          <w:rtl/>
          <w:lang w:eastAsia="en-US"/>
        </w:rPr>
        <w:t xml:space="preserve"> </w:t>
      </w:r>
      <w:r w:rsidRPr="007C14E2">
        <w:rPr>
          <w:rFonts w:hint="cs"/>
          <w:rtl/>
          <w:lang w:eastAsia="en-US"/>
        </w:rPr>
        <w:t>"</w:t>
      </w:r>
      <w:r w:rsidRPr="007C14E2">
        <w:rPr>
          <w:rFonts w:hint="eastAsia"/>
          <w:rtl/>
          <w:lang w:eastAsia="en-US"/>
        </w:rPr>
        <w:t>לא</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עמיתו</w:t>
      </w:r>
      <w:r w:rsidRPr="007C14E2">
        <w:rPr>
          <w:rFonts w:hint="cs"/>
          <w:rtl/>
          <w:lang w:eastAsia="en-US"/>
        </w:rPr>
        <w:t>" -</w:t>
      </w:r>
      <w:r w:rsidRPr="007C14E2">
        <w:rPr>
          <w:rtl/>
          <w:lang w:eastAsia="en-US"/>
        </w:rPr>
        <w:t xml:space="preserve"> </w:t>
      </w:r>
      <w:r w:rsidRPr="007C14E2">
        <w:rPr>
          <w:rFonts w:hint="eastAsia"/>
          <w:rtl/>
          <w:lang w:eastAsia="en-US"/>
        </w:rPr>
        <w:t>הרי</w:t>
      </w:r>
      <w:r w:rsidRPr="007C14E2">
        <w:rPr>
          <w:rtl/>
          <w:lang w:eastAsia="en-US"/>
        </w:rPr>
        <w:t xml:space="preserve"> </w:t>
      </w:r>
      <w:r w:rsidRPr="007C14E2">
        <w:rPr>
          <w:rFonts w:hint="eastAsia"/>
          <w:rtl/>
          <w:lang w:eastAsia="en-US"/>
        </w:rPr>
        <w:t>אוניית</w:t>
      </w:r>
      <w:r w:rsidRPr="007C14E2">
        <w:rPr>
          <w:rtl/>
          <w:lang w:eastAsia="en-US"/>
        </w:rPr>
        <w:t xml:space="preserve"> </w:t>
      </w:r>
      <w:r w:rsidRPr="007C14E2">
        <w:rPr>
          <w:rFonts w:hint="eastAsia"/>
          <w:rtl/>
          <w:lang w:eastAsia="en-US"/>
        </w:rPr>
        <w:t>דברים</w:t>
      </w:r>
      <w:r w:rsidRPr="007C14E2">
        <w:rPr>
          <w:rtl/>
          <w:lang w:eastAsia="en-US"/>
        </w:rPr>
        <w:t xml:space="preserve"> </w:t>
      </w:r>
      <w:r w:rsidRPr="007C14E2">
        <w:rPr>
          <w:rFonts w:hint="eastAsia"/>
          <w:rtl/>
          <w:lang w:eastAsia="en-US"/>
        </w:rPr>
        <w:t>אמורה</w:t>
      </w:r>
      <w:r w:rsidRPr="007C14E2">
        <w:rPr>
          <w:rtl/>
          <w:lang w:eastAsia="en-US"/>
        </w:rPr>
        <w:t xml:space="preserve">, </w:t>
      </w:r>
      <w:r w:rsidRPr="007C14E2">
        <w:rPr>
          <w:rFonts w:hint="eastAsia"/>
          <w:rtl/>
          <w:lang w:eastAsia="en-US"/>
        </w:rPr>
        <w:t>הא</w:t>
      </w:r>
      <w:r w:rsidRPr="007C14E2">
        <w:rPr>
          <w:rtl/>
          <w:lang w:eastAsia="en-US"/>
        </w:rPr>
        <w:t xml:space="preserve"> </w:t>
      </w:r>
      <w:r w:rsidRPr="007C14E2">
        <w:rPr>
          <w:rFonts w:hint="eastAsia"/>
          <w:rtl/>
          <w:lang w:eastAsia="en-US"/>
        </w:rPr>
        <w:t>מה</w:t>
      </w:r>
      <w:r w:rsidRPr="007C14E2">
        <w:rPr>
          <w:rtl/>
          <w:lang w:eastAsia="en-US"/>
        </w:rPr>
        <w:t xml:space="preserve"> </w:t>
      </w:r>
      <w:r w:rsidRPr="007C14E2">
        <w:rPr>
          <w:rFonts w:hint="eastAsia"/>
          <w:rtl/>
          <w:lang w:eastAsia="en-US"/>
        </w:rPr>
        <w:t>אני</w:t>
      </w:r>
      <w:r w:rsidRPr="007C14E2">
        <w:rPr>
          <w:rtl/>
          <w:lang w:eastAsia="en-US"/>
        </w:rPr>
        <w:t xml:space="preserve"> </w:t>
      </w:r>
      <w:r w:rsidRPr="007C14E2">
        <w:rPr>
          <w:rFonts w:hint="eastAsia"/>
          <w:rtl/>
          <w:lang w:eastAsia="en-US"/>
        </w:rPr>
        <w:t>מקיים</w:t>
      </w:r>
      <w:r w:rsidRPr="007C14E2">
        <w:rPr>
          <w:rtl/>
          <w:lang w:eastAsia="en-US"/>
        </w:rPr>
        <w:t xml:space="preserve"> </w:t>
      </w: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אונאת</w:t>
      </w:r>
      <w:r w:rsidRPr="007C14E2">
        <w:rPr>
          <w:rtl/>
          <w:lang w:eastAsia="en-US"/>
        </w:rPr>
        <w:t xml:space="preserve"> </w:t>
      </w:r>
      <w:r w:rsidRPr="007C14E2">
        <w:rPr>
          <w:rFonts w:hint="eastAsia"/>
          <w:rtl/>
          <w:lang w:eastAsia="en-US"/>
        </w:rPr>
        <w:t>ממון</w:t>
      </w:r>
      <w:r w:rsidRPr="007C14E2">
        <w:rPr>
          <w:rtl/>
          <w:lang w:eastAsia="en-US"/>
        </w:rPr>
        <w:t>.</w:t>
      </w:r>
      <w:r w:rsidR="00AE152F">
        <w:rPr>
          <w:rStyle w:val="a5"/>
          <w:rtl/>
          <w:lang w:eastAsia="en-US"/>
        </w:rPr>
        <w:footnoteReference w:id="2"/>
      </w:r>
    </w:p>
    <w:p w:rsidR="009B0C60" w:rsidRDefault="009B0C60" w:rsidP="00ED2548">
      <w:pPr>
        <w:pStyle w:val="ac"/>
        <w:rPr>
          <w:rFonts w:hint="cs"/>
          <w:b/>
          <w:bCs/>
          <w:rtl/>
        </w:rPr>
      </w:pPr>
      <w:r>
        <w:rPr>
          <w:rtl/>
        </w:rPr>
        <w:t>"ולא תונו איש את עמיתו" - זו הונאת דברים. יכול זה הונאת ממון? כשהוא אומר "אל תונו איש את אחיו" - הרי אונאת ממון אמורה</w:t>
      </w:r>
      <w:r w:rsidR="00ED2548">
        <w:rPr>
          <w:rFonts w:hint="cs"/>
          <w:rtl/>
        </w:rPr>
        <w:t>.</w:t>
      </w:r>
      <w:r>
        <w:rPr>
          <w:rtl/>
        </w:rPr>
        <w:t xml:space="preserve"> הא מה אני מקיים "ולא תונו איש את עמיתו"? הרי הונאת דברים.</w:t>
      </w:r>
      <w:r w:rsidR="00AE152F">
        <w:rPr>
          <w:rStyle w:val="a5"/>
          <w:rtl/>
        </w:rPr>
        <w:footnoteReference w:id="3"/>
      </w:r>
      <w:r>
        <w:rPr>
          <w:rtl/>
        </w:rPr>
        <w:t xml:space="preserve"> כיצד? אם היה בעל תשובה לא יאמר לו: "זכור מעשיך הראשונים מה היו" ואם היה בן גרים לא יאמר לו: "זכור מה היו מעשה אבותיך".</w:t>
      </w:r>
      <w:r w:rsidR="004360D7">
        <w:rPr>
          <w:rStyle w:val="a5"/>
          <w:rtl/>
        </w:rPr>
        <w:footnoteReference w:id="4"/>
      </w:r>
      <w:r>
        <w:rPr>
          <w:rtl/>
        </w:rPr>
        <w:t xml:space="preserve"> כיצד? היו חולאים באים עליו, היה קובר את בניו, לא יאמר לו כדרך שאמרו חבריו לאיוב: "הלא יראתך כסלתך תקותך ותום דרכיך, זכור נא מי הוא נקי אבד ואיפוא ישרים נכחדו"</w:t>
      </w:r>
      <w:r>
        <w:rPr>
          <w:rStyle w:val="a5"/>
          <w:rtl/>
        </w:rPr>
        <w:footnoteReference w:id="5"/>
      </w:r>
      <w:r>
        <w:rPr>
          <w:rtl/>
        </w:rPr>
        <w:t>. ראה חמרים מבקשים תבואה מבקשים יין לא יאמר להם: "לכו אצל פלוני" והוא לא מכר חיטה מימיו. רבי יהודה אומר: אף לא יתלה עיניו על המקח ולא יאמר לו בכמה חפץ זה והוא אינו רוצה ליקח.</w:t>
      </w:r>
      <w:r>
        <w:rPr>
          <w:rStyle w:val="a5"/>
          <w:rtl/>
        </w:rPr>
        <w:footnoteReference w:id="6"/>
      </w:r>
      <w:r>
        <w:rPr>
          <w:rtl/>
        </w:rPr>
        <w:t xml:space="preserve"> ואם תאמר: עיצה טובה אני מוסר לו,</w:t>
      </w:r>
      <w:r w:rsidR="006354CC">
        <w:rPr>
          <w:rStyle w:val="a5"/>
          <w:rtl/>
        </w:rPr>
        <w:footnoteReference w:id="7"/>
      </w:r>
      <w:r>
        <w:rPr>
          <w:rtl/>
        </w:rPr>
        <w:t xml:space="preserve"> והרי הדבר מסור ללב. נאמר בו</w:t>
      </w:r>
      <w:r w:rsidR="002B1C38">
        <w:rPr>
          <w:rFonts w:hint="cs"/>
          <w:rtl/>
        </w:rPr>
        <w:t>:</w:t>
      </w:r>
      <w:r>
        <w:rPr>
          <w:rtl/>
        </w:rPr>
        <w:t xml:space="preserve"> "ויראת מאלהיך"</w:t>
      </w:r>
      <w:r w:rsidR="002B1C38">
        <w:rPr>
          <w:rFonts w:hint="cs"/>
          <w:rtl/>
        </w:rPr>
        <w:t xml:space="preserve"> -</w:t>
      </w:r>
      <w:r>
        <w:rPr>
          <w:rtl/>
        </w:rPr>
        <w:t xml:space="preserve"> כל דבר שהוא מסור ללב נאמר בו </w:t>
      </w:r>
      <w:r w:rsidR="004360D7">
        <w:rPr>
          <w:rFonts w:hint="cs"/>
          <w:rtl/>
        </w:rPr>
        <w:t>"</w:t>
      </w:r>
      <w:r>
        <w:rPr>
          <w:rtl/>
        </w:rPr>
        <w:t>ויראת</w:t>
      </w:r>
      <w:r w:rsidR="004360D7">
        <w:rPr>
          <w:rFonts w:hint="cs"/>
          <w:rtl/>
        </w:rPr>
        <w:t>"</w:t>
      </w:r>
      <w:r>
        <w:rPr>
          <w:rtl/>
        </w:rPr>
        <w:t>.</w:t>
      </w:r>
      <w:r>
        <w:rPr>
          <w:rStyle w:val="a5"/>
          <w:b/>
          <w:bCs/>
          <w:rtl/>
        </w:rPr>
        <w:footnoteReference w:id="8"/>
      </w:r>
    </w:p>
    <w:p w:rsidR="009B0C60" w:rsidRDefault="009B0C60" w:rsidP="00AB304C">
      <w:pPr>
        <w:pStyle w:val="ab"/>
        <w:rPr>
          <w:rtl/>
        </w:rPr>
      </w:pPr>
      <w:r>
        <w:rPr>
          <w:rtl/>
        </w:rPr>
        <w:t>מסכת בבא מציעא סוף פרק הזהב, דף נח עמוד ב - סוף הפרק</w:t>
      </w:r>
    </w:p>
    <w:p w:rsidR="006354CC" w:rsidRDefault="006354CC" w:rsidP="006354CC">
      <w:pPr>
        <w:pStyle w:val="ac"/>
        <w:rPr>
          <w:rtl/>
        </w:rPr>
      </w:pPr>
      <w:r w:rsidRPr="006354CC">
        <w:rPr>
          <w:b/>
          <w:bCs/>
          <w:rtl/>
        </w:rPr>
        <w:t>משנה.</w:t>
      </w:r>
      <w:r>
        <w:rPr>
          <w:rtl/>
        </w:rPr>
        <w:t xml:space="preserve">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w:t>
      </w:r>
      <w:r w:rsidR="00626E5B">
        <w:rPr>
          <w:rFonts w:hint="cs"/>
          <w:rtl/>
        </w:rPr>
        <w:t>:</w:t>
      </w:r>
      <w:r>
        <w:rPr>
          <w:rtl/>
        </w:rPr>
        <w:t xml:space="preserve"> </w:t>
      </w:r>
      <w:r w:rsidR="00626E5B">
        <w:rPr>
          <w:rFonts w:hint="cs"/>
          <w:rtl/>
        </w:rPr>
        <w:t>"</w:t>
      </w:r>
      <w:r>
        <w:rPr>
          <w:rtl/>
        </w:rPr>
        <w:t>וגר לא תונה ולא תלחצנו</w:t>
      </w:r>
      <w:r w:rsidR="00626E5B">
        <w:rPr>
          <w:rFonts w:hint="cs"/>
          <w:rtl/>
        </w:rPr>
        <w:t>"</w:t>
      </w:r>
      <w:r>
        <w:rPr>
          <w:rtl/>
        </w:rPr>
        <w:t>.</w:t>
      </w:r>
      <w:r w:rsidR="00137026">
        <w:rPr>
          <w:rStyle w:val="a5"/>
          <w:rtl/>
        </w:rPr>
        <w:footnoteReference w:id="9"/>
      </w:r>
      <w:r>
        <w:rPr>
          <w:rtl/>
        </w:rPr>
        <w:t xml:space="preserve"> </w:t>
      </w:r>
    </w:p>
    <w:p w:rsidR="006354CC" w:rsidRDefault="006354CC" w:rsidP="006354CC">
      <w:pPr>
        <w:pStyle w:val="ac"/>
        <w:rPr>
          <w:rFonts w:hint="cs"/>
          <w:rtl/>
        </w:rPr>
      </w:pPr>
      <w:r w:rsidRPr="006354CC">
        <w:rPr>
          <w:b/>
          <w:bCs/>
          <w:rtl/>
        </w:rPr>
        <w:t>גמרא.</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 </w:t>
      </w:r>
      <w:r>
        <w:rPr>
          <w:rFonts w:hint="cs"/>
          <w:rtl/>
        </w:rPr>
        <w:t>...</w:t>
      </w:r>
      <w:r w:rsidR="00626E5B">
        <w:rPr>
          <w:rStyle w:val="a5"/>
          <w:rtl/>
        </w:rPr>
        <w:footnoteReference w:id="10"/>
      </w:r>
      <w:r>
        <w:rPr>
          <w:rFonts w:hint="cs"/>
          <w:rtl/>
        </w:rPr>
        <w:t xml:space="preserve"> </w:t>
      </w:r>
      <w:r>
        <w:rPr>
          <w:rtl/>
        </w:rPr>
        <w:t>רבי יהודה אומר: אף לא יתלה עיניו על המקח בשעה שאין לו דמים,</w:t>
      </w:r>
      <w:r>
        <w:rPr>
          <w:rStyle w:val="a5"/>
          <w:rtl/>
        </w:rPr>
        <w:footnoteReference w:id="11"/>
      </w:r>
      <w:r>
        <w:rPr>
          <w:rtl/>
        </w:rPr>
        <w:t xml:space="preserve"> שהרי הדבר מסור ללב, וכל דבר המסור ללב נאמר בו</w:t>
      </w:r>
      <w:r w:rsidR="00952A0A">
        <w:rPr>
          <w:rFonts w:hint="cs"/>
          <w:rtl/>
        </w:rPr>
        <w:t>:</w:t>
      </w:r>
      <w:r>
        <w:rPr>
          <w:rtl/>
        </w:rPr>
        <w:t xml:space="preserve"> </w:t>
      </w:r>
      <w:r w:rsidR="00952A0A">
        <w:rPr>
          <w:rFonts w:hint="cs"/>
          <w:rtl/>
        </w:rPr>
        <w:t>"</w:t>
      </w:r>
      <w:r>
        <w:rPr>
          <w:rtl/>
        </w:rPr>
        <w:t>ויראת מאלהיך</w:t>
      </w:r>
      <w:r w:rsidR="00952A0A">
        <w:rPr>
          <w:rFonts w:hint="cs"/>
          <w:rtl/>
        </w:rPr>
        <w:t>"</w:t>
      </w:r>
      <w:r>
        <w:rPr>
          <w:rtl/>
        </w:rPr>
        <w:t>.</w:t>
      </w:r>
      <w:r w:rsidR="00137026">
        <w:rPr>
          <w:rStyle w:val="a5"/>
          <w:rtl/>
        </w:rPr>
        <w:footnoteReference w:id="12"/>
      </w:r>
      <w:r>
        <w:rPr>
          <w:rtl/>
        </w:rPr>
        <w:t xml:space="preserve"> </w:t>
      </w:r>
    </w:p>
    <w:p w:rsidR="009B0C60" w:rsidRDefault="009B0C60" w:rsidP="006354CC">
      <w:pPr>
        <w:pStyle w:val="ac"/>
        <w:rPr>
          <w:rtl/>
        </w:rPr>
      </w:pPr>
      <w:r>
        <w:rPr>
          <w:rtl/>
        </w:rPr>
        <w:lastRenderedPageBreak/>
        <w:t>אמר רבי יוחנן משום רבי שמעון בן יוחאי: גדול אונאת דברים מאונאת ממון, שזה נאמר בו</w:t>
      </w:r>
      <w:r w:rsidR="004360D7">
        <w:rPr>
          <w:rFonts w:hint="cs"/>
          <w:rtl/>
        </w:rPr>
        <w:t>:</w:t>
      </w:r>
      <w:r>
        <w:rPr>
          <w:rtl/>
        </w:rPr>
        <w:t xml:space="preserve"> "ויראת מאלהיך" וזה לא נאמר בו "ויראת מאלהיך". ורבי אלעזר אומר: זה בגופו וזה בממונו. רבי שמואל בר נחמני אמר: זה ניתן להישבון, וזה לא ניתן להישבון.</w:t>
      </w:r>
      <w:r w:rsidR="00952A0A">
        <w:rPr>
          <w:rStyle w:val="a5"/>
          <w:rtl/>
        </w:rPr>
        <w:footnoteReference w:id="13"/>
      </w:r>
      <w:r>
        <w:rPr>
          <w:rtl/>
        </w:rPr>
        <w:t xml:space="preserve"> תני תנא קמיה דרב נחמן בר יצחק: כל המלבין פני חבירו ברבים כאילו שופך דמים.</w:t>
      </w:r>
      <w:r w:rsidR="00B40266">
        <w:rPr>
          <w:rStyle w:val="a5"/>
          <w:rtl/>
        </w:rPr>
        <w:footnoteReference w:id="14"/>
      </w:r>
      <w:r>
        <w:rPr>
          <w:rtl/>
        </w:rPr>
        <w:t xml:space="preserve"> </w:t>
      </w:r>
    </w:p>
    <w:p w:rsidR="009B0C60" w:rsidRDefault="00E03F44" w:rsidP="00E03F44">
      <w:pPr>
        <w:pStyle w:val="ac"/>
        <w:spacing w:before="120"/>
        <w:rPr>
          <w:rFonts w:hint="cs"/>
          <w:rtl/>
        </w:rPr>
      </w:pPr>
      <w:r w:rsidRPr="00C443E5">
        <w:rPr>
          <w:b/>
          <w:bCs/>
          <w:rtl/>
        </w:rPr>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w:t>
      </w:r>
      <w:r w:rsidR="009B0C60">
        <w:rPr>
          <w:rStyle w:val="a5"/>
          <w:rtl/>
        </w:rPr>
        <w:footnoteReference w:id="15"/>
      </w:r>
    </w:p>
    <w:p w:rsidR="00C443E5" w:rsidRDefault="00C443E5" w:rsidP="00C443E5">
      <w:pPr>
        <w:pStyle w:val="ac"/>
        <w:rPr>
          <w:rFonts w:hint="cs"/>
          <w:rtl/>
        </w:rPr>
      </w:pPr>
      <w:r>
        <w:rPr>
          <w:rtl/>
        </w:rPr>
        <w:t>כמדומה לי שחברים בדילים ממך ..</w:t>
      </w:r>
      <w:r>
        <w:rPr>
          <w:rFonts w:hint="cs"/>
          <w:rtl/>
        </w:rPr>
        <w:t>.</w:t>
      </w:r>
      <w:r>
        <w:rPr>
          <w:rStyle w:val="a5"/>
          <w:rtl/>
        </w:rPr>
        <w:footnoteReference w:id="16"/>
      </w:r>
    </w:p>
    <w:p w:rsidR="00C443E5" w:rsidRDefault="00C443E5" w:rsidP="00C443E5">
      <w:pPr>
        <w:pStyle w:val="ac"/>
        <w:rPr>
          <w:rFonts w:hint="cs"/>
          <w:rtl/>
        </w:rPr>
      </w:pPr>
      <w:r w:rsidRPr="00C443E5">
        <w:rPr>
          <w:rtl/>
        </w:rPr>
        <w:t>כך מקובלני מבית אבי אבא כל השערים ננעלים חוץ משערי אונאה</w:t>
      </w:r>
      <w:r>
        <w:rPr>
          <w:rFonts w:hint="cs"/>
          <w:rtl/>
        </w:rPr>
        <w:t>.</w:t>
      </w:r>
      <w:r w:rsidR="00A726BE">
        <w:rPr>
          <w:rStyle w:val="a5"/>
          <w:rtl/>
        </w:rPr>
        <w:footnoteReference w:id="17"/>
      </w:r>
    </w:p>
    <w:p w:rsidR="009B0C60" w:rsidRDefault="009B0C60" w:rsidP="00BC288F">
      <w:pPr>
        <w:spacing w:before="120" w:line="300" w:lineRule="atLeast"/>
        <w:jc w:val="both"/>
        <w:rPr>
          <w:rFonts w:cs="David"/>
          <w:szCs w:val="24"/>
          <w:rtl/>
        </w:rPr>
      </w:pPr>
      <w:r>
        <w:rPr>
          <w:rFonts w:cs="David"/>
          <w:szCs w:val="24"/>
          <w:rtl/>
        </w:rPr>
        <w:t>תנו רבנן: ה</w:t>
      </w:r>
      <w:r w:rsidR="00BC288F">
        <w:rPr>
          <w:rFonts w:cs="David"/>
          <w:szCs w:val="24"/>
          <w:rtl/>
        </w:rPr>
        <w:t>ָ</w:t>
      </w:r>
      <w:r w:rsidR="00BC288F" w:rsidRPr="00BC288F">
        <w:rPr>
          <w:rFonts w:cs="David" w:hint="cs"/>
          <w:szCs w:val="24"/>
          <w:rtl/>
        </w:rPr>
        <w:t>מְאַנֶּה</w:t>
      </w:r>
      <w:r w:rsidR="00BC288F">
        <w:rPr>
          <w:rFonts w:cs="David" w:hint="cs"/>
          <w:szCs w:val="24"/>
          <w:rtl/>
        </w:rPr>
        <w:t xml:space="preserve"> </w:t>
      </w:r>
      <w:r>
        <w:rPr>
          <w:rFonts w:cs="David"/>
          <w:szCs w:val="24"/>
          <w:rtl/>
        </w:rPr>
        <w:t xml:space="preserve">את הגר עובר בשלשה לאוין ... "וגר לא תונה" (שמות כב ב, </w:t>
      </w:r>
      <w:r w:rsidR="008E77B9">
        <w:rPr>
          <w:rFonts w:cs="David" w:hint="cs"/>
          <w:szCs w:val="24"/>
          <w:rtl/>
        </w:rPr>
        <w:t xml:space="preserve">פרשת </w:t>
      </w:r>
      <w:r>
        <w:rPr>
          <w:rFonts w:cs="David"/>
          <w:szCs w:val="24"/>
          <w:rtl/>
        </w:rPr>
        <w:t xml:space="preserve">משפטים), "וכי יגור אתך גר בארצכם לא תונו אתו" (ויקרא יט לג, </w:t>
      </w:r>
      <w:r w:rsidR="008E77B9">
        <w:rPr>
          <w:rFonts w:cs="David" w:hint="cs"/>
          <w:szCs w:val="24"/>
          <w:rtl/>
        </w:rPr>
        <w:t xml:space="preserve">פרשת </w:t>
      </w:r>
      <w:r>
        <w:rPr>
          <w:rFonts w:cs="David"/>
          <w:szCs w:val="24"/>
          <w:rtl/>
        </w:rPr>
        <w:t>קדושים), "ולא תונו איש את עמיתו" (ויקרא כה יז, פרשתנו) - וגר בכלל עמיתו הוא.</w:t>
      </w:r>
      <w:r>
        <w:rPr>
          <w:rStyle w:val="a5"/>
          <w:rFonts w:cs="David"/>
          <w:szCs w:val="24"/>
          <w:rtl/>
        </w:rPr>
        <w:footnoteReference w:id="18"/>
      </w:r>
    </w:p>
    <w:p w:rsidR="009B0C60" w:rsidRDefault="009B0C60" w:rsidP="008E77B9">
      <w:pPr>
        <w:pStyle w:val="ab"/>
        <w:rPr>
          <w:rtl/>
        </w:rPr>
      </w:pPr>
      <w:r>
        <w:rPr>
          <w:rtl/>
        </w:rPr>
        <w:t>ויקרא רבה פרשה לג סימן א</w:t>
      </w:r>
    </w:p>
    <w:p w:rsidR="009B0C60" w:rsidRDefault="009B0C60" w:rsidP="009B0C60">
      <w:pPr>
        <w:pStyle w:val="ac"/>
        <w:rPr>
          <w:rtl/>
        </w:rPr>
      </w:pPr>
      <w:r>
        <w:rPr>
          <w:rtl/>
        </w:rPr>
        <w:t>"וכי תמכרו ממכר לעמיתך" - זהו שכתוב: "מות וחיים ביד לשון" (משלי יח' כא') ... 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rsidR="009B0C60" w:rsidRDefault="009B0C60" w:rsidP="009B0C60">
      <w:pPr>
        <w:pStyle w:val="ac"/>
        <w:rPr>
          <w:rFonts w:hint="cs"/>
          <w:rtl/>
        </w:rPr>
      </w:pPr>
      <w:r>
        <w:rPr>
          <w:rtl/>
        </w:rPr>
        <w:t>רבי עשה סעודה לתלמידיו. הביא לפניהם לשונות רכים ולשונות קשים. התחילו בוררין את הרכים ומניחין את הקשים. אמר להם: בני, דעו מה אתם עושין. כשם שאתם בוררין את הרכין ומניחין את הקשים, כך יהיה לשונכם רך אלו לאלו. לפיכך משה מזהיר את ישראל "וכי תמכרו ממכר לעמיתך .. אל תונו איש את אחיו"</w:t>
      </w:r>
      <w:r>
        <w:rPr>
          <w:rStyle w:val="a5"/>
          <w:rtl/>
        </w:rPr>
        <w:footnoteReference w:id="19"/>
      </w:r>
      <w:r>
        <w:rPr>
          <w:rtl/>
        </w:rPr>
        <w:t xml:space="preserve">.  </w:t>
      </w:r>
    </w:p>
    <w:p w:rsidR="007E4A41" w:rsidRDefault="007E4A41" w:rsidP="007E4A41">
      <w:pPr>
        <w:pStyle w:val="ab"/>
        <w:rPr>
          <w:rtl/>
        </w:rPr>
      </w:pPr>
      <w:r>
        <w:rPr>
          <w:rtl/>
        </w:rPr>
        <w:lastRenderedPageBreak/>
        <w:t>רש"י ויקרא פרק כה</w:t>
      </w:r>
      <w:r>
        <w:rPr>
          <w:rFonts w:hint="cs"/>
          <w:rtl/>
        </w:rPr>
        <w:t xml:space="preserve"> פסוקים יד-יז</w:t>
      </w:r>
      <w:r>
        <w:rPr>
          <w:rStyle w:val="a5"/>
          <w:rtl/>
        </w:rPr>
        <w:footnoteReference w:id="20"/>
      </w:r>
    </w:p>
    <w:p w:rsidR="007E4A41" w:rsidRDefault="007E4A41" w:rsidP="00676CCD">
      <w:pPr>
        <w:pStyle w:val="ac"/>
        <w:rPr>
          <w:rFonts w:hint="cs"/>
          <w:rtl/>
        </w:rPr>
      </w:pPr>
      <w:r>
        <w:rPr>
          <w:rtl/>
        </w:rPr>
        <w:t>אל תונו - זו אונאת ממון:</w:t>
      </w:r>
      <w:r>
        <w:rPr>
          <w:rFonts w:hint="cs"/>
          <w:rtl/>
        </w:rPr>
        <w:t xml:space="preserve"> ... </w:t>
      </w:r>
      <w:r>
        <w:rPr>
          <w:rtl/>
        </w:rPr>
        <w:t>ולא תונו איש את עמיתו - כאן הזהיר על אונאת דברים, שלא יקניט איש את חברו</w:t>
      </w:r>
      <w:r w:rsidR="00647BEE">
        <w:rPr>
          <w:rStyle w:val="a5"/>
          <w:rtl/>
        </w:rPr>
        <w:footnoteReference w:id="21"/>
      </w:r>
      <w:r>
        <w:rPr>
          <w:rtl/>
        </w:rPr>
        <w:t xml:space="preserve"> ולא ישיאנו עצה שאינה הוגנת לו לפי דרכו והנאתו של יועץ. ואם תאמר, מי יודע אם נתכוונתי לרעה, לכך נאמר ויראת מאלהיך, היודע מחשבות הוא יודע. כל דבר המסור ללב, שאין מכיר אלא מי שהמחשבה בלבו, נאמר בו ויראת מאלהיך</w:t>
      </w:r>
      <w:r w:rsidR="00676CCD">
        <w:rPr>
          <w:rFonts w:hint="cs"/>
          <w:rtl/>
        </w:rPr>
        <w:t>.</w:t>
      </w:r>
      <w:r w:rsidR="003F02FE">
        <w:rPr>
          <w:rStyle w:val="a5"/>
          <w:rtl/>
        </w:rPr>
        <w:footnoteReference w:id="22"/>
      </w:r>
    </w:p>
    <w:p w:rsidR="00F644AC" w:rsidRDefault="00F644AC" w:rsidP="00F644AC">
      <w:pPr>
        <w:pStyle w:val="ab"/>
        <w:rPr>
          <w:rtl/>
        </w:rPr>
      </w:pPr>
      <w:r>
        <w:rPr>
          <w:rtl/>
        </w:rPr>
        <w:t>אבן עזרא ויקרא פרק כה</w:t>
      </w:r>
      <w:r>
        <w:rPr>
          <w:rFonts w:hint="cs"/>
          <w:rtl/>
        </w:rPr>
        <w:t xml:space="preserve"> פסוק יז</w:t>
      </w:r>
    </w:p>
    <w:p w:rsidR="00F644AC" w:rsidRDefault="00F644AC" w:rsidP="00234202">
      <w:pPr>
        <w:pStyle w:val="ac"/>
        <w:rPr>
          <w:rFonts w:hint="cs"/>
          <w:rtl/>
        </w:rPr>
      </w:pPr>
      <w:r>
        <w:rPr>
          <w:rtl/>
        </w:rPr>
        <w:t>וטעם אל תונו איש את עמיתו - אזהרה למוכר, כי הראשון לקונה. כי אני ה' אלהיכם - ואחר שאני אלהיכם אפרע משניהם מאשר יו</w:t>
      </w:r>
      <w:r w:rsidR="00234202">
        <w:rPr>
          <w:rtl/>
        </w:rPr>
        <w:t>ֹ</w:t>
      </w:r>
      <w:r>
        <w:rPr>
          <w:rtl/>
        </w:rPr>
        <w:t>נ</w:t>
      </w:r>
      <w:r w:rsidR="00234202">
        <w:rPr>
          <w:rtl/>
        </w:rPr>
        <w:t>ֶ</w:t>
      </w:r>
      <w:r>
        <w:rPr>
          <w:rtl/>
        </w:rPr>
        <w:t>ה עמיתו. ואם תעשו חקותי תתן הארץ פריה. וטעם להזכיר זה בעבור מספר תבואות</w:t>
      </w:r>
      <w:r w:rsidR="00234202">
        <w:rPr>
          <w:rFonts w:hint="cs"/>
          <w:rtl/>
        </w:rPr>
        <w:t>.</w:t>
      </w:r>
      <w:r w:rsidR="00234202">
        <w:rPr>
          <w:rStyle w:val="a5"/>
          <w:rtl/>
        </w:rPr>
        <w:footnoteReference w:id="23"/>
      </w:r>
    </w:p>
    <w:p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rsidR="007566D0" w:rsidRPr="006C72BA" w:rsidRDefault="007566D0">
      <w:pPr>
        <w:pStyle w:val="ad"/>
        <w:rPr>
          <w:rFonts w:hint="cs"/>
          <w:rtl/>
        </w:rPr>
      </w:pPr>
      <w:r w:rsidRPr="006C72BA">
        <w:rPr>
          <w:rtl/>
        </w:rPr>
        <w:t>מחלקי המים</w:t>
      </w:r>
    </w:p>
    <w:sectPr w:rsidR="007566D0" w:rsidRPr="006C72BA" w:rsidSect="004C2072">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FA" w:rsidRDefault="000B16FA">
      <w:r>
        <w:separator/>
      </w:r>
    </w:p>
  </w:endnote>
  <w:endnote w:type="continuationSeparator" w:id="0">
    <w:p w:rsidR="000B16FA" w:rsidRDefault="000B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Pr="00F8747C" w:rsidRDefault="007E4A41"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420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4202">
      <w:rPr>
        <w:rStyle w:val="af2"/>
        <w:noProof/>
        <w:rtl/>
      </w:rPr>
      <w:t>3</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FA" w:rsidRDefault="000B16FA">
      <w:r>
        <w:separator/>
      </w:r>
    </w:p>
  </w:footnote>
  <w:footnote w:type="continuationSeparator" w:id="0">
    <w:p w:rsidR="000B16FA" w:rsidRDefault="000B16FA">
      <w:r>
        <w:continuationSeparator/>
      </w:r>
    </w:p>
  </w:footnote>
  <w:footnote w:id="1">
    <w:p w:rsidR="007E4A41" w:rsidRDefault="007E4A41" w:rsidP="002B1C38">
      <w:pPr>
        <w:pStyle w:val="a3"/>
        <w:rPr>
          <w:rFonts w:hint="cs"/>
          <w:rtl/>
        </w:rPr>
      </w:pPr>
      <w:r>
        <w:rPr>
          <w:rStyle w:val="a5"/>
        </w:rPr>
        <w:footnoteRef/>
      </w:r>
      <w:r>
        <w:rPr>
          <w:rtl/>
        </w:rPr>
        <w:t xml:space="preserve"> </w:t>
      </w:r>
      <w:r>
        <w:rPr>
          <w:rFonts w:hint="cs"/>
          <w:rtl/>
        </w:rPr>
        <w:t>פסוקים יד, יז בפרק כה בפרשתנו דנים באיסור הונאה, כחלק מהפרשיה הדנה במכירת שדות בין יובל ליובל. פסוק יד פותח את הפרשיה במילים: "וכי תמכרו ממכר לעמיתך או קנה מיד עמיתך, אל תונו איש את אחיו", ופסוק יז חותם את הפרשיה במילים: "ולא תונו איש את עמיתו ויראת מאלהיך אני ה' ". החזרה והכפילות וגם לשון פסוק יז עצמו (שאינו מזכיר מקח וממכר) אומרים דרשני - חידוש יש בי.</w:t>
      </w:r>
    </w:p>
  </w:footnote>
  <w:footnote w:id="2">
    <w:p w:rsidR="007E4A41" w:rsidRDefault="007E4A41" w:rsidP="002B1C38">
      <w:pPr>
        <w:pStyle w:val="a3"/>
        <w:rPr>
          <w:rFonts w:hint="cs"/>
        </w:rPr>
      </w:pPr>
      <w:r>
        <w:rPr>
          <w:rStyle w:val="a5"/>
        </w:rPr>
        <w:footnoteRef/>
      </w:r>
      <w:r>
        <w:rPr>
          <w:rtl/>
        </w:rPr>
        <w:t xml:space="preserve"> </w:t>
      </w:r>
      <w:r>
        <w:rPr>
          <w:rFonts w:hint="cs"/>
          <w:rtl/>
        </w:rPr>
        <w:t>אל תאמר שיש כאן סתם חזרה וכפילות, שפסוק יד פותח את הפרשיה ופסוק יז בו מתווסף "ויראת מאלוהיך אני ה' " חותם אותה ונאמרים הדברים לחיזוק ולהדגשה. לא כך, אלא יש לך ללמוד להלכה מכל פסוק ופסוק. מפסוק יד הפותח יש ללמוד הונאת ממון ואילו מפסוק יז החותם יש ללמוד הונאת דברים. ודווקא על אונאת דברים נאמר "ויראת מאלהיך אני ה' ".</w:t>
      </w:r>
    </w:p>
  </w:footnote>
  <w:footnote w:id="3">
    <w:p w:rsidR="007E4A41" w:rsidRDefault="007E4A41">
      <w:pPr>
        <w:pStyle w:val="a3"/>
        <w:rPr>
          <w:rFonts w:hint="cs"/>
          <w:rtl/>
        </w:rPr>
      </w:pPr>
      <w:r>
        <w:rPr>
          <w:rStyle w:val="a5"/>
        </w:rPr>
        <w:footnoteRef/>
      </w:r>
      <w:r>
        <w:rPr>
          <w:rtl/>
        </w:rPr>
        <w:t xml:space="preserve"> </w:t>
      </w:r>
      <w:r>
        <w:rPr>
          <w:rFonts w:hint="cs"/>
          <w:rtl/>
        </w:rPr>
        <w:t>כפילות הדרשה וחזרתה, פעם על פסוק יד ופעם על פסוק יז, היא אופיינית למדרשי ההלכה ומדרש ספרא בפרט. אפשר שאלה שתי דרשות שנאמרו לחוד וחוברו בעריכת המדרש, ואפשר שהחזרה היא לצורך המשך הדרשה.</w:t>
      </w:r>
    </w:p>
  </w:footnote>
  <w:footnote w:id="4">
    <w:p w:rsidR="007E4A41" w:rsidRDefault="007E4A41" w:rsidP="002B1C38">
      <w:pPr>
        <w:pStyle w:val="a3"/>
        <w:rPr>
          <w:rFonts w:hint="cs"/>
          <w:rtl/>
        </w:rPr>
      </w:pPr>
      <w:r>
        <w:rPr>
          <w:rStyle w:val="a5"/>
        </w:rPr>
        <w:footnoteRef/>
      </w:r>
      <w:r>
        <w:rPr>
          <w:rtl/>
        </w:rPr>
        <w:t xml:space="preserve"> </w:t>
      </w:r>
      <w:r>
        <w:rPr>
          <w:rFonts w:hint="cs"/>
          <w:rtl/>
        </w:rPr>
        <w:t>דוגמא ראשונה זו קצת תמוהה שהרי באונאת הגר (וממנה גם אונאת בעל תשובה שהוא מעין 'גר') יש לנו פסוק מיוחד בתורה והסבר מיוחד הקשור ליציאת מצרים, ככתוב בשמות</w:t>
      </w:r>
      <w:r>
        <w:rPr>
          <w:rtl/>
        </w:rPr>
        <w:t xml:space="preserve"> כב</w:t>
      </w:r>
      <w:r>
        <w:rPr>
          <w:rFonts w:hint="cs"/>
          <w:rtl/>
        </w:rPr>
        <w:t xml:space="preserve"> כ, פרשת משפטים: "</w:t>
      </w:r>
      <w:r>
        <w:rPr>
          <w:rtl/>
        </w:rPr>
        <w:t>וְגֵר לֹא תוֹנֶה וְלֹא תִלְחָצֶנּוּ כִּי גֵרִים הֱיִיתֶם בְּאֶרֶץ מִצְרָיִם</w:t>
      </w:r>
      <w:r>
        <w:rPr>
          <w:rFonts w:hint="cs"/>
          <w:rtl/>
        </w:rPr>
        <w:t>". ולהלן נראה את המשנה שאמנם מצטטת את מדרש ספרא אבל משנה את הסדר.</w:t>
      </w:r>
    </w:p>
  </w:footnote>
  <w:footnote w:id="5">
    <w:p w:rsidR="007E4A41" w:rsidRDefault="007E4A41" w:rsidP="009B0C60">
      <w:pPr>
        <w:pStyle w:val="a3"/>
        <w:rPr>
          <w:rtl/>
        </w:rPr>
      </w:pPr>
      <w:r>
        <w:rPr>
          <w:rStyle w:val="a5"/>
          <w:rtl/>
        </w:rPr>
        <w:footnoteRef/>
      </w:r>
      <w:r>
        <w:rPr>
          <w:rtl/>
        </w:rPr>
        <w:t xml:space="preserve"> </w:t>
      </w:r>
      <w:r>
        <w:rPr>
          <w:rFonts w:hint="cs"/>
          <w:rtl/>
        </w:rPr>
        <w:t>גם דוגמא זו קצת קשה ולא ברור מהו "כיצד"? שהרי זה עניין חדש. כך או כך, מלמד אותנו המדרש ש</w:t>
      </w:r>
      <w:r>
        <w:rPr>
          <w:rtl/>
        </w:rPr>
        <w:t>אם אדם בא לנחם את חברו, אלא שהוא נכשל ובוחר במילים לא נכונות, הריהו עובר על לא תעשה של הונאת דברים!</w:t>
      </w:r>
    </w:p>
  </w:footnote>
  <w:footnote w:id="6">
    <w:p w:rsidR="007E4A41" w:rsidRDefault="007E4A41" w:rsidP="004C2072">
      <w:pPr>
        <w:pStyle w:val="a3"/>
        <w:rPr>
          <w:rtl/>
        </w:rPr>
      </w:pPr>
      <w:r>
        <w:rPr>
          <w:rStyle w:val="a5"/>
          <w:rtl/>
        </w:rPr>
        <w:footnoteRef/>
      </w:r>
      <w:r>
        <w:rPr>
          <w:rtl/>
        </w:rPr>
        <w:t xml:space="preserve"> </w:t>
      </w:r>
      <w:r>
        <w:rPr>
          <w:rFonts w:hint="cs"/>
          <w:rtl/>
        </w:rPr>
        <w:t>הדגש הוא על "אינו רוצה ליקח", היינו שהוא מתמקח על המחיר בלי שהוא מתכוון לקנות. אפשר אולי להוסיף שיש גם סוג של 'התמקחות סופית' בה הלקוח נותן למוכר הרגשה מטעה שאם רק יוזיל עוד קצת את המחיר הוא יקנה ממנו. המוכר מוכן למכור במחיר נמוך במיוחד מסיבה כלשהיא והקונה איננו מתכוון לקנות רק לרוץ לחנות המתחרה ולצטט את מחיר הרצפה שניתן לו בהנחה שהוא מתכוון לקנות. ומה הגבול? איך נדע? על כך באים דברי המדרש להלן שהדבר מסור ללב. ללבו של הקונה.</w:t>
      </w:r>
    </w:p>
  </w:footnote>
  <w:footnote w:id="7">
    <w:p w:rsidR="007E4A41" w:rsidRDefault="007E4A41">
      <w:pPr>
        <w:pStyle w:val="a3"/>
        <w:rPr>
          <w:rFonts w:hint="cs"/>
          <w:rtl/>
        </w:rPr>
      </w:pPr>
      <w:r>
        <w:rPr>
          <w:rStyle w:val="a5"/>
        </w:rPr>
        <w:footnoteRef/>
      </w:r>
      <w:r>
        <w:rPr>
          <w:rtl/>
        </w:rPr>
        <w:t xml:space="preserve"> </w:t>
      </w:r>
      <w:r>
        <w:rPr>
          <w:rFonts w:hint="cs"/>
          <w:rtl/>
        </w:rPr>
        <w:t>שכך יידע המוכר כמה מוכנים לשלם עבור הסחורה שלו.</w:t>
      </w:r>
    </w:p>
  </w:footnote>
  <w:footnote w:id="8">
    <w:p w:rsidR="007E4A41" w:rsidRDefault="007E4A41" w:rsidP="009B0C60">
      <w:pPr>
        <w:pStyle w:val="a3"/>
        <w:rPr>
          <w:rFonts w:hint="cs"/>
          <w:rtl/>
        </w:rPr>
      </w:pPr>
      <w:r>
        <w:rPr>
          <w:rStyle w:val="a5"/>
        </w:rPr>
        <w:footnoteRef/>
      </w:r>
      <w:r>
        <w:rPr>
          <w:rtl/>
        </w:rPr>
        <w:t xml:space="preserve"> </w:t>
      </w:r>
      <w:r>
        <w:rPr>
          <w:rFonts w:hint="cs"/>
          <w:rtl/>
        </w:rPr>
        <w:t xml:space="preserve">הדואליות של הונאת ממון ודברים, מופיעה בירמיהו </w:t>
      </w:r>
      <w:r w:rsidRPr="006049EC">
        <w:rPr>
          <w:rFonts w:hint="eastAsia"/>
          <w:rtl/>
        </w:rPr>
        <w:t>פרק</w:t>
      </w:r>
      <w:r w:rsidRPr="006049EC">
        <w:rPr>
          <w:rtl/>
        </w:rPr>
        <w:t xml:space="preserve"> </w:t>
      </w:r>
      <w:r w:rsidRPr="006049EC">
        <w:rPr>
          <w:rFonts w:hint="eastAsia"/>
          <w:rtl/>
        </w:rPr>
        <w:t>כב</w:t>
      </w:r>
      <w:r w:rsidRPr="006049EC">
        <w:rPr>
          <w:rtl/>
        </w:rPr>
        <w:t xml:space="preserve"> </w:t>
      </w:r>
      <w:r w:rsidRPr="006049EC">
        <w:rPr>
          <w:rFonts w:hint="eastAsia"/>
          <w:rtl/>
        </w:rPr>
        <w:t>פסוק</w:t>
      </w:r>
      <w:r w:rsidRPr="006049EC">
        <w:rPr>
          <w:rtl/>
        </w:rPr>
        <w:t xml:space="preserve"> </w:t>
      </w:r>
      <w:r w:rsidRPr="006049EC">
        <w:rPr>
          <w:rFonts w:hint="eastAsia"/>
          <w:rtl/>
        </w:rPr>
        <w:t>ג</w:t>
      </w:r>
      <w:r>
        <w:rPr>
          <w:rFonts w:hint="cs"/>
          <w:rtl/>
        </w:rPr>
        <w:t>: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 xml:space="preserve">ה' </w:t>
      </w:r>
      <w:r>
        <w:rPr>
          <w:rFonts w:hint="eastAsia"/>
          <w:rtl/>
          <w:lang w:eastAsia="en-US"/>
        </w:rPr>
        <w:t>עֲשׂוּ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וְהַצִּילוּ</w:t>
      </w:r>
      <w:r>
        <w:rPr>
          <w:rtl/>
          <w:lang w:eastAsia="en-US"/>
        </w:rPr>
        <w:t xml:space="preserve"> </w:t>
      </w:r>
      <w:r>
        <w:rPr>
          <w:rFonts w:hint="eastAsia"/>
          <w:rtl/>
          <w:lang w:eastAsia="en-US"/>
        </w:rPr>
        <w:t>גָזוּל</w:t>
      </w:r>
      <w:r>
        <w:rPr>
          <w:rtl/>
          <w:lang w:eastAsia="en-US"/>
        </w:rPr>
        <w:t xml:space="preserve"> </w:t>
      </w:r>
      <w:r>
        <w:rPr>
          <w:rFonts w:hint="eastAsia"/>
          <w:rtl/>
          <w:lang w:eastAsia="en-US"/>
        </w:rPr>
        <w:t>מִיַּד</w:t>
      </w:r>
      <w:r>
        <w:rPr>
          <w:rtl/>
          <w:lang w:eastAsia="en-US"/>
        </w:rPr>
        <w:t xml:space="preserve"> </w:t>
      </w:r>
      <w:r>
        <w:rPr>
          <w:rFonts w:hint="eastAsia"/>
          <w:rtl/>
          <w:lang w:eastAsia="en-US"/>
        </w:rPr>
        <w:t>עָשׁוֹק</w:t>
      </w:r>
      <w:r>
        <w:rPr>
          <w:rtl/>
          <w:lang w:eastAsia="en-US"/>
        </w:rPr>
        <w:t xml:space="preserve"> </w:t>
      </w:r>
      <w:r>
        <w:rPr>
          <w:rFonts w:hint="eastAsia"/>
          <w:rtl/>
          <w:lang w:eastAsia="en-US"/>
        </w:rPr>
        <w:t>וְגֵר</w:t>
      </w:r>
      <w:r>
        <w:rPr>
          <w:rtl/>
          <w:lang w:eastAsia="en-US"/>
        </w:rPr>
        <w:t xml:space="preserve"> </w:t>
      </w:r>
      <w:r>
        <w:rPr>
          <w:rFonts w:hint="eastAsia"/>
          <w:rtl/>
          <w:lang w:eastAsia="en-US"/>
        </w:rPr>
        <w:t>יָתוֹם</w:t>
      </w:r>
      <w:r>
        <w:rPr>
          <w:rtl/>
          <w:lang w:eastAsia="en-US"/>
        </w:rPr>
        <w:t xml:space="preserve"> </w:t>
      </w:r>
      <w:r>
        <w:rPr>
          <w:rFonts w:hint="eastAsia"/>
          <w:rtl/>
          <w:lang w:eastAsia="en-US"/>
        </w:rPr>
        <w:t>וְאַלְמָנָה</w:t>
      </w:r>
      <w:r>
        <w:rPr>
          <w:rtl/>
          <w:lang w:eastAsia="en-US"/>
        </w:rPr>
        <w:t xml:space="preserve"> </w:t>
      </w:r>
      <w:r>
        <w:rPr>
          <w:rFonts w:hint="eastAsia"/>
          <w:rtl/>
          <w:lang w:eastAsia="en-US"/>
        </w:rPr>
        <w:t>אַל</w:t>
      </w:r>
      <w:r>
        <w:rPr>
          <w:rtl/>
          <w:lang w:eastAsia="en-US"/>
        </w:rPr>
        <w:t xml:space="preserve"> </w:t>
      </w:r>
      <w:r>
        <w:rPr>
          <w:rFonts w:hint="eastAsia"/>
          <w:rtl/>
          <w:lang w:eastAsia="en-US"/>
        </w:rPr>
        <w:t>תֹּנוּ</w:t>
      </w:r>
      <w:r>
        <w:rPr>
          <w:rtl/>
          <w:lang w:eastAsia="en-US"/>
        </w:rPr>
        <w:t xml:space="preserve"> </w:t>
      </w:r>
      <w:r>
        <w:rPr>
          <w:rFonts w:hint="eastAsia"/>
          <w:rtl/>
          <w:lang w:eastAsia="en-US"/>
        </w:rPr>
        <w:t>אַל</w:t>
      </w:r>
      <w:r>
        <w:rPr>
          <w:rtl/>
          <w:lang w:eastAsia="en-US"/>
        </w:rPr>
        <w:t xml:space="preserve"> </w:t>
      </w:r>
      <w:r>
        <w:rPr>
          <w:rFonts w:hint="eastAsia"/>
          <w:rtl/>
          <w:lang w:eastAsia="en-US"/>
        </w:rPr>
        <w:t>תַּחְמֹסוּ</w:t>
      </w:r>
      <w:r>
        <w:rPr>
          <w:rtl/>
          <w:lang w:eastAsia="en-US"/>
        </w:rPr>
        <w:t xml:space="preserve"> </w:t>
      </w:r>
      <w:r>
        <w:rPr>
          <w:rFonts w:hint="eastAsia"/>
          <w:rtl/>
          <w:lang w:eastAsia="en-US"/>
        </w:rPr>
        <w:t>וְדָם</w:t>
      </w:r>
      <w:r>
        <w:rPr>
          <w:rtl/>
          <w:lang w:eastAsia="en-US"/>
        </w:rPr>
        <w:t xml:space="preserve"> </w:t>
      </w:r>
      <w:r>
        <w:rPr>
          <w:rFonts w:hint="eastAsia"/>
          <w:rtl/>
          <w:lang w:eastAsia="en-US"/>
        </w:rPr>
        <w:t>נָקִי</w:t>
      </w:r>
      <w:r>
        <w:rPr>
          <w:rtl/>
          <w:lang w:eastAsia="en-US"/>
        </w:rPr>
        <w:t xml:space="preserve"> </w:t>
      </w:r>
      <w:r>
        <w:rPr>
          <w:rFonts w:hint="eastAsia"/>
          <w:rtl/>
          <w:lang w:eastAsia="en-US"/>
        </w:rPr>
        <w:t>אַל</w:t>
      </w:r>
      <w:r>
        <w:rPr>
          <w:rtl/>
          <w:lang w:eastAsia="en-US"/>
        </w:rPr>
        <w:t xml:space="preserve"> </w:t>
      </w:r>
      <w:r>
        <w:rPr>
          <w:rFonts w:hint="eastAsia"/>
          <w:rtl/>
          <w:lang w:eastAsia="en-US"/>
        </w:rPr>
        <w:t>תִּשְׁפְּכוּ</w:t>
      </w:r>
      <w:r>
        <w:rPr>
          <w:rtl/>
          <w:lang w:eastAsia="en-US"/>
        </w:rPr>
        <w:t xml:space="preserve"> </w:t>
      </w:r>
      <w:r>
        <w:rPr>
          <w:rFonts w:hint="eastAsia"/>
          <w:rtl/>
          <w:lang w:eastAsia="en-US"/>
        </w:rPr>
        <w:t>בַּמָּקוֹם</w:t>
      </w:r>
      <w:r>
        <w:rPr>
          <w:rtl/>
          <w:lang w:eastAsia="en-US"/>
        </w:rPr>
        <w:t xml:space="preserve"> </w:t>
      </w:r>
      <w:r>
        <w:rPr>
          <w:rFonts w:hint="eastAsia"/>
          <w:rtl/>
          <w:lang w:eastAsia="en-US"/>
        </w:rPr>
        <w:t>הַזֶּה</w:t>
      </w:r>
      <w:r>
        <w:rPr>
          <w:rFonts w:hint="cs"/>
          <w:rtl/>
          <w:lang w:eastAsia="en-US"/>
        </w:rPr>
        <w:t xml:space="preserve">". ראה פירוש </w:t>
      </w:r>
      <w:r w:rsidRPr="006049EC">
        <w:rPr>
          <w:rFonts w:hint="eastAsia"/>
          <w:rtl/>
        </w:rPr>
        <w:t>מצודת</w:t>
      </w:r>
      <w:r w:rsidRPr="006049EC">
        <w:rPr>
          <w:rtl/>
        </w:rPr>
        <w:t xml:space="preserve"> </w:t>
      </w:r>
      <w:r w:rsidRPr="006049EC">
        <w:rPr>
          <w:rFonts w:hint="eastAsia"/>
          <w:rtl/>
        </w:rPr>
        <w:t>דוד</w:t>
      </w:r>
      <w:r w:rsidRPr="006049EC">
        <w:rPr>
          <w:rtl/>
        </w:rPr>
        <w:t xml:space="preserve"> </w:t>
      </w:r>
      <w:r>
        <w:rPr>
          <w:rFonts w:hint="cs"/>
          <w:rtl/>
        </w:rPr>
        <w:t>על הפסוק</w:t>
      </w:r>
      <w:r w:rsidR="00676CCD">
        <w:rPr>
          <w:rFonts w:hint="cs"/>
          <w:rtl/>
        </w:rPr>
        <w:t xml:space="preserve"> (בעקבות רש"י שם)</w:t>
      </w:r>
      <w:r>
        <w:rPr>
          <w:rFonts w:hint="cs"/>
          <w:rtl/>
        </w:rPr>
        <w:t>: "</w:t>
      </w:r>
      <w:r w:rsidRPr="006049EC">
        <w:rPr>
          <w:rFonts w:hint="eastAsia"/>
          <w:rtl/>
        </w:rPr>
        <w:t>אל</w:t>
      </w:r>
      <w:r w:rsidRPr="006049EC">
        <w:rPr>
          <w:rtl/>
        </w:rPr>
        <w:t xml:space="preserve"> </w:t>
      </w:r>
      <w:r w:rsidRPr="006049EC">
        <w:rPr>
          <w:rFonts w:hint="eastAsia"/>
          <w:rtl/>
        </w:rPr>
        <w:t>תונו</w:t>
      </w:r>
      <w:r w:rsidRPr="006049EC">
        <w:rPr>
          <w:rtl/>
        </w:rPr>
        <w:t xml:space="preserve"> -</w:t>
      </w:r>
      <w:r>
        <w:rPr>
          <w:rtl/>
          <w:lang w:eastAsia="en-US"/>
        </w:rPr>
        <w:t xml:space="preserve"> </w:t>
      </w:r>
      <w:r>
        <w:rPr>
          <w:rFonts w:hint="eastAsia"/>
          <w:rtl/>
          <w:lang w:eastAsia="en-US"/>
        </w:rPr>
        <w:t>זהו</w:t>
      </w:r>
      <w:r>
        <w:rPr>
          <w:rtl/>
          <w:lang w:eastAsia="en-US"/>
        </w:rPr>
        <w:t xml:space="preserve"> </w:t>
      </w:r>
      <w:r>
        <w:rPr>
          <w:rFonts w:hint="eastAsia"/>
          <w:rtl/>
          <w:lang w:eastAsia="en-US"/>
        </w:rPr>
        <w:t>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של</w:t>
      </w:r>
      <w:r>
        <w:rPr>
          <w:rtl/>
          <w:lang w:eastAsia="en-US"/>
        </w:rPr>
        <w:t xml:space="preserve"> </w:t>
      </w:r>
      <w:r>
        <w:rPr>
          <w:rFonts w:hint="eastAsia"/>
          <w:rtl/>
          <w:lang w:eastAsia="en-US"/>
        </w:rPr>
        <w:t>עגמת</w:t>
      </w:r>
      <w:r>
        <w:rPr>
          <w:rtl/>
          <w:lang w:eastAsia="en-US"/>
        </w:rPr>
        <w:t xml:space="preserve"> </w:t>
      </w:r>
      <w:r>
        <w:rPr>
          <w:rFonts w:hint="eastAsia"/>
          <w:rtl/>
          <w:lang w:eastAsia="en-US"/>
        </w:rPr>
        <w:t>נפש</w:t>
      </w:r>
      <w:r>
        <w:rPr>
          <w:rtl/>
          <w:lang w:eastAsia="en-US"/>
        </w:rPr>
        <w:t>:</w:t>
      </w:r>
      <w:r>
        <w:rPr>
          <w:rFonts w:hint="cs"/>
          <w:rtl/>
          <w:lang w:eastAsia="en-US"/>
        </w:rPr>
        <w:t xml:space="preserve"> </w:t>
      </w:r>
      <w:r w:rsidRPr="00D60739">
        <w:rPr>
          <w:rFonts w:hint="eastAsia"/>
          <w:rtl/>
        </w:rPr>
        <w:t>א</w:t>
      </w:r>
      <w:r>
        <w:rPr>
          <w:rFonts w:hint="cs"/>
          <w:rtl/>
        </w:rPr>
        <w:t>ל</w:t>
      </w:r>
      <w:r w:rsidRPr="00D60739">
        <w:rPr>
          <w:rtl/>
        </w:rPr>
        <w:t xml:space="preserve"> </w:t>
      </w:r>
      <w:r w:rsidRPr="00D60739">
        <w:rPr>
          <w:rFonts w:hint="eastAsia"/>
          <w:rtl/>
        </w:rPr>
        <w:t>תחמוסו</w:t>
      </w:r>
      <w:r w:rsidRPr="00D60739">
        <w:rPr>
          <w:rtl/>
        </w:rPr>
        <w:t xml:space="preserve"> -</w:t>
      </w:r>
      <w:r>
        <w:rPr>
          <w:rtl/>
          <w:lang w:eastAsia="en-US"/>
        </w:rPr>
        <w:t xml:space="preserve"> </w:t>
      </w:r>
      <w:r>
        <w:rPr>
          <w:rFonts w:hint="eastAsia"/>
          <w:rtl/>
          <w:lang w:eastAsia="en-US"/>
        </w:rPr>
        <w:t>אל</w:t>
      </w:r>
      <w:r>
        <w:rPr>
          <w:rtl/>
          <w:lang w:eastAsia="en-US"/>
        </w:rPr>
        <w:t xml:space="preserve"> </w:t>
      </w:r>
      <w:r>
        <w:rPr>
          <w:rFonts w:hint="eastAsia"/>
          <w:rtl/>
          <w:lang w:eastAsia="en-US"/>
        </w:rPr>
        <w:t>תעשו</w:t>
      </w:r>
      <w:r>
        <w:rPr>
          <w:rtl/>
          <w:lang w:eastAsia="en-US"/>
        </w:rPr>
        <w:t xml:space="preserve"> </w:t>
      </w:r>
      <w:r>
        <w:rPr>
          <w:rFonts w:hint="eastAsia"/>
          <w:rtl/>
          <w:lang w:eastAsia="en-US"/>
        </w:rPr>
        <w:t>להם</w:t>
      </w:r>
      <w:r>
        <w:rPr>
          <w:rtl/>
          <w:lang w:eastAsia="en-US"/>
        </w:rPr>
        <w:t xml:space="preserve"> </w:t>
      </w:r>
      <w:r>
        <w:rPr>
          <w:rFonts w:hint="eastAsia"/>
          <w:rtl/>
          <w:lang w:eastAsia="en-US"/>
        </w:rPr>
        <w:t>חמס</w:t>
      </w:r>
      <w:r>
        <w:rPr>
          <w:rtl/>
          <w:lang w:eastAsia="en-US"/>
        </w:rPr>
        <w:t xml:space="preserve"> </w:t>
      </w:r>
      <w:r>
        <w:rPr>
          <w:rFonts w:hint="eastAsia"/>
          <w:rtl/>
          <w:lang w:eastAsia="en-US"/>
        </w:rPr>
        <w:t>וזהו</w:t>
      </w:r>
      <w:r>
        <w:rPr>
          <w:rtl/>
          <w:lang w:eastAsia="en-US"/>
        </w:rPr>
        <w:t xml:space="preserve"> </w:t>
      </w:r>
      <w:r>
        <w:rPr>
          <w:rFonts w:hint="eastAsia"/>
          <w:rtl/>
          <w:lang w:eastAsia="en-US"/>
        </w:rPr>
        <w:t>עושק</w:t>
      </w:r>
      <w:r>
        <w:rPr>
          <w:rtl/>
          <w:lang w:eastAsia="en-US"/>
        </w:rPr>
        <w:t xml:space="preserve"> </w:t>
      </w:r>
      <w:r>
        <w:rPr>
          <w:rFonts w:hint="eastAsia"/>
          <w:rtl/>
          <w:lang w:eastAsia="en-US"/>
        </w:rPr>
        <w:t>הממון</w:t>
      </w:r>
      <w:r>
        <w:rPr>
          <w:rFonts w:hint="cs"/>
          <w:rtl/>
          <w:lang w:eastAsia="en-US"/>
        </w:rPr>
        <w:t xml:space="preserve">". </w:t>
      </w:r>
    </w:p>
  </w:footnote>
  <w:footnote w:id="9">
    <w:p w:rsidR="007E4A41" w:rsidRDefault="007E4A41">
      <w:pPr>
        <w:pStyle w:val="a3"/>
        <w:rPr>
          <w:rFonts w:hint="cs"/>
        </w:rPr>
      </w:pPr>
      <w:r>
        <w:rPr>
          <w:rStyle w:val="a5"/>
        </w:rPr>
        <w:footnoteRef/>
      </w:r>
      <w:r>
        <w:rPr>
          <w:rtl/>
        </w:rPr>
        <w:t xml:space="preserve"> </w:t>
      </w:r>
      <w:r>
        <w:rPr>
          <w:rFonts w:hint="cs"/>
          <w:rtl/>
        </w:rPr>
        <w:t>המשנה אכן משנה את סדר הדוגמאות שבספרא ומעדיפה להתחיל באונאת דברים שקשורה למקח וממכר.</w:t>
      </w:r>
      <w:r w:rsidR="00676CCD">
        <w:rPr>
          <w:rFonts w:hint="cs"/>
          <w:rtl/>
        </w:rPr>
        <w:t xml:space="preserve"> הערה 4 לעיל.</w:t>
      </w:r>
    </w:p>
  </w:footnote>
  <w:footnote w:id="10">
    <w:p w:rsidR="007E4A41" w:rsidRDefault="007E4A41" w:rsidP="00137026">
      <w:pPr>
        <w:pStyle w:val="a3"/>
        <w:rPr>
          <w:rFonts w:hint="cs"/>
          <w:rtl/>
        </w:rPr>
      </w:pPr>
      <w:r>
        <w:rPr>
          <w:rStyle w:val="a5"/>
        </w:rPr>
        <w:footnoteRef/>
      </w:r>
      <w:r>
        <w:rPr>
          <w:rtl/>
        </w:rPr>
        <w:t xml:space="preserve"> </w:t>
      </w:r>
      <w:r>
        <w:rPr>
          <w:rFonts w:hint="cs"/>
          <w:rtl/>
        </w:rPr>
        <w:t>הגמרא חוזרת לספרא. "תנו רבנן" זה שהגמרא מצטטת הוא הספרא שראינו לעיל, בהבדלים קלים ולפיכך קצרנו בו. מקבילה מצויה גם בתוספתא בבא מציעא פרק ג הלכה כה.</w:t>
      </w:r>
    </w:p>
  </w:footnote>
  <w:footnote w:id="11">
    <w:p w:rsidR="007E4A41" w:rsidRDefault="007E4A41" w:rsidP="006354CC">
      <w:pPr>
        <w:pStyle w:val="a3"/>
      </w:pPr>
      <w:r>
        <w:rPr>
          <w:rStyle w:val="a5"/>
        </w:rPr>
        <w:footnoteRef/>
      </w:r>
      <w:r>
        <w:rPr>
          <w:rtl/>
        </w:rPr>
        <w:t xml:space="preserve"> </w:t>
      </w:r>
      <w:r>
        <w:rPr>
          <w:rFonts w:hint="cs"/>
          <w:rtl/>
        </w:rPr>
        <w:t>בנוסח זה של ציטוט הספרא בגמרא, רבי יהודה מוסיף את המילים החשובות (שאין במקור בספרא): "</w:t>
      </w:r>
      <w:r>
        <w:rPr>
          <w:rtl/>
        </w:rPr>
        <w:t>בשעה שאין לו דמים</w:t>
      </w:r>
      <w:r>
        <w:rPr>
          <w:rFonts w:hint="cs"/>
          <w:rtl/>
        </w:rPr>
        <w:t>". היינו, לא מדובר במי שבא ביושר לקנות ומבקש לברר את המחיר ואפילו להתמקח. ראה נוסח זה גם בגמרא פסחים קיב ע"ב ופירוש רשב"ם שם: "</w:t>
      </w:r>
      <w:r>
        <w:rPr>
          <w:rtl/>
        </w:rPr>
        <w:t xml:space="preserve">אל תעמוד על המקח. לסחור </w:t>
      </w:r>
      <w:r>
        <w:rPr>
          <w:rFonts w:hint="cs"/>
          <w:rtl/>
        </w:rPr>
        <w:t xml:space="preserve">... </w:t>
      </w:r>
      <w:r>
        <w:rPr>
          <w:rtl/>
        </w:rPr>
        <w:t>ואין לך דמים לקנות המקח ונמצא מפסידו ח</w:t>
      </w:r>
      <w:r>
        <w:rPr>
          <w:rFonts w:hint="cs"/>
          <w:rtl/>
        </w:rPr>
        <w:t>י</w:t>
      </w:r>
      <w:r>
        <w:rPr>
          <w:rtl/>
        </w:rPr>
        <w:t>נם שלא יקחנו אחר מאחר שאתה מהפך בו</w:t>
      </w:r>
      <w:r>
        <w:rPr>
          <w:rFonts w:hint="cs"/>
          <w:rtl/>
        </w:rPr>
        <w:t>". אתה מעכב קונים פוטנציאלים אחרים שמבקשים לקנות ויש להם כסף. במקרה כזה, אולי יש כאן כבר אונאת ממון ממש ולא רק אונאת דברים.</w:t>
      </w:r>
    </w:p>
  </w:footnote>
  <w:footnote w:id="12">
    <w:p w:rsidR="007E4A41" w:rsidRDefault="007E4A41" w:rsidP="00BC288F">
      <w:pPr>
        <w:pStyle w:val="a3"/>
        <w:rPr>
          <w:rFonts w:hint="cs"/>
        </w:rPr>
      </w:pPr>
      <w:r>
        <w:rPr>
          <w:rStyle w:val="a5"/>
        </w:rPr>
        <w:footnoteRef/>
      </w:r>
      <w:r>
        <w:rPr>
          <w:rtl/>
        </w:rPr>
        <w:t xml:space="preserve"> </w:t>
      </w:r>
      <w:r>
        <w:rPr>
          <w:rFonts w:hint="cs"/>
          <w:rtl/>
        </w:rPr>
        <w:t>וגם התוספת: "כי אני ה' ". ראה פירוש רש"י בגמרא שם שמזכיר את הביטוי: "הלב יודע אם ל</w:t>
      </w:r>
      <w:r>
        <w:rPr>
          <w:rFonts w:hint="eastAsia"/>
          <w:rtl/>
        </w:rPr>
        <w:t>ְ</w:t>
      </w:r>
      <w:r>
        <w:rPr>
          <w:rFonts w:hint="cs"/>
          <w:rtl/>
        </w:rPr>
        <w:t>ע</w:t>
      </w:r>
      <w:r>
        <w:rPr>
          <w:rFonts w:hint="eastAsia"/>
          <w:rtl/>
        </w:rPr>
        <w:t>ֵ</w:t>
      </w:r>
      <w:r>
        <w:rPr>
          <w:rFonts w:hint="cs"/>
          <w:rtl/>
        </w:rPr>
        <w:t>ק</w:t>
      </w:r>
      <w:r>
        <w:rPr>
          <w:rFonts w:hint="eastAsia"/>
          <w:rtl/>
        </w:rPr>
        <w:t>ֶ</w:t>
      </w:r>
      <w:r>
        <w:rPr>
          <w:rFonts w:hint="cs"/>
          <w:rtl/>
        </w:rPr>
        <w:t xml:space="preserve">ל אם לעקלקלות (ראה </w:t>
      </w:r>
      <w:hyperlink r:id="rId1" w:history="1">
        <w:r w:rsidRPr="00137026">
          <w:rPr>
            <w:rStyle w:val="Hyperlink"/>
            <w:rFonts w:hint="cs"/>
            <w:rtl/>
          </w:rPr>
          <w:t>דברינו על ביטוי זה</w:t>
        </w:r>
      </w:hyperlink>
      <w:r>
        <w:rPr>
          <w:rFonts w:hint="cs"/>
          <w:rtl/>
        </w:rPr>
        <w:t xml:space="preserve"> בתשעה באב), משמע שה</w:t>
      </w:r>
      <w:r w:rsidR="00BC288F" w:rsidRPr="00BC288F">
        <w:rPr>
          <w:rFonts w:hint="cs"/>
          <w:rtl/>
        </w:rPr>
        <w:t>מְאַנֶּה</w:t>
      </w:r>
      <w:r>
        <w:rPr>
          <w:rFonts w:hint="cs"/>
          <w:rtl/>
        </w:rPr>
        <w:t xml:space="preserve"> הוא יודע א</w:t>
      </w:r>
      <w:r w:rsidR="002644AF">
        <w:rPr>
          <w:rFonts w:hint="cs"/>
          <w:rtl/>
        </w:rPr>
        <w:t>ם</w:t>
      </w:r>
      <w:r>
        <w:rPr>
          <w:rFonts w:hint="cs"/>
          <w:rtl/>
        </w:rPr>
        <w:t xml:space="preserve"> הו</w:t>
      </w:r>
      <w:r w:rsidR="00647BEE">
        <w:rPr>
          <w:rFonts w:hint="eastAsia"/>
          <w:rtl/>
        </w:rPr>
        <w:t>ֹ</w:t>
      </w:r>
      <w:r>
        <w:rPr>
          <w:rFonts w:hint="cs"/>
          <w:rtl/>
        </w:rPr>
        <w:t>נ</w:t>
      </w:r>
      <w:r w:rsidR="00647BEE">
        <w:rPr>
          <w:rFonts w:hint="eastAsia"/>
          <w:rtl/>
        </w:rPr>
        <w:t>ָ</w:t>
      </w:r>
      <w:r>
        <w:rPr>
          <w:rFonts w:hint="cs"/>
          <w:rtl/>
        </w:rPr>
        <w:t xml:space="preserve">ה או לא. אבל בפירושו לפסוקים בפרשתנו </w:t>
      </w:r>
      <w:r w:rsidR="00647BEE">
        <w:rPr>
          <w:rFonts w:hint="cs"/>
          <w:rtl/>
        </w:rPr>
        <w:t xml:space="preserve">מפרש רש"י אחרקת, כפי שנראה להלן. </w:t>
      </w:r>
    </w:p>
  </w:footnote>
  <w:footnote w:id="13">
    <w:p w:rsidR="007E4A41" w:rsidRDefault="007E4A41" w:rsidP="00B92B14">
      <w:pPr>
        <w:pStyle w:val="a3"/>
        <w:rPr>
          <w:rFonts w:hint="cs"/>
          <w:rtl/>
        </w:rPr>
      </w:pPr>
      <w:r>
        <w:rPr>
          <w:rStyle w:val="a5"/>
        </w:rPr>
        <w:footnoteRef/>
      </w:r>
      <w:r>
        <w:rPr>
          <w:rtl/>
        </w:rPr>
        <w:t xml:space="preserve"> </w:t>
      </w:r>
      <w:r>
        <w:rPr>
          <w:rFonts w:hint="cs"/>
          <w:rtl/>
        </w:rPr>
        <w:t xml:space="preserve">גם דיבור ניתן אולי לתקן ע"י מילות פיוס וחרטה ובקשת סליחה. ראה בתשובה שבין אדם לחבירו, </w:t>
      </w:r>
      <w:r>
        <w:rPr>
          <w:rtl/>
        </w:rPr>
        <w:t>מסכת יומא פז ע</w:t>
      </w:r>
      <w:r>
        <w:rPr>
          <w:rFonts w:hint="cs"/>
          <w:rtl/>
        </w:rPr>
        <w:t>"א: "</w:t>
      </w:r>
      <w:r>
        <w:rPr>
          <w:rtl/>
        </w:rPr>
        <w:t>אמר רבי יצחק: כל המקניט את חבירו, אפילו בדברים - צריך לפייסו, שנאמר</w:t>
      </w:r>
      <w:r>
        <w:rPr>
          <w:rFonts w:hint="cs"/>
          <w:rtl/>
        </w:rPr>
        <w:t>:</w:t>
      </w:r>
      <w:r>
        <w:rPr>
          <w:rtl/>
        </w:rPr>
        <w:t xml:space="preserve"> בני אם ערבת לרעך תקעת לזר כפיך נוקשת באמרי פיך... עשה זאת אפוא בני והנצל כי באת בכף רעך לך התרפס ורהב רעיך. אם ממון יש בידך - התר לו פסת יד, ואם לאו - הרבה עליו ריעים</w:t>
      </w:r>
      <w:r>
        <w:rPr>
          <w:rFonts w:hint="cs"/>
          <w:rtl/>
        </w:rPr>
        <w:t>". והובא להלכה ב</w:t>
      </w:r>
      <w:r>
        <w:rPr>
          <w:rtl/>
        </w:rPr>
        <w:t>רמב"ם הלכות תשובה פרק ב</w:t>
      </w:r>
      <w:r>
        <w:rPr>
          <w:rFonts w:hint="cs"/>
          <w:rtl/>
        </w:rPr>
        <w:t xml:space="preserve"> </w:t>
      </w:r>
      <w:r>
        <w:rPr>
          <w:rtl/>
        </w:rPr>
        <w:t>הלכה ט</w:t>
      </w:r>
      <w:r>
        <w:rPr>
          <w:rFonts w:hint="cs"/>
          <w:rtl/>
        </w:rPr>
        <w:t xml:space="preserve">: " ... </w:t>
      </w:r>
      <w:r>
        <w:rPr>
          <w:rtl/>
        </w:rPr>
        <w:t xml:space="preserve">אבל עבירות שבין אדם  לחבירו </w:t>
      </w:r>
      <w:r>
        <w:rPr>
          <w:rFonts w:hint="cs"/>
          <w:rtl/>
        </w:rPr>
        <w:t xml:space="preserve">... </w:t>
      </w:r>
      <w:r>
        <w:rPr>
          <w:rtl/>
        </w:rPr>
        <w:t>אינו נמחל לו לעולם עד שיתן לחבירו מה שהוא חייב לו וירצהו</w:t>
      </w:r>
      <w:r>
        <w:rPr>
          <w:rFonts w:hint="cs"/>
          <w:rtl/>
        </w:rPr>
        <w:t>.</w:t>
      </w:r>
      <w:r>
        <w:rPr>
          <w:rtl/>
        </w:rPr>
        <w:t xml:space="preserve"> אף על פי שהחזיר לו ממון שהוא חייב לו צריך לרצותו ולשאול ממנו שימחול לו, אפילו לא הקניט את חבירו אלא בדברים צריך לפייסו ולפגע בו עד שימחול לו</w:t>
      </w:r>
      <w:r>
        <w:rPr>
          <w:rFonts w:hint="cs"/>
          <w:rtl/>
        </w:rPr>
        <w:t xml:space="preserve">". </w:t>
      </w:r>
      <w:r w:rsidR="00647BEE">
        <w:rPr>
          <w:rFonts w:hint="cs"/>
          <w:rtl/>
        </w:rPr>
        <w:t>אונאת</w:t>
      </w:r>
      <w:r>
        <w:rPr>
          <w:rFonts w:hint="cs"/>
          <w:rtl/>
        </w:rPr>
        <w:t xml:space="preserve"> ממון לכאורה חמורה יותר משום בה גם אונא</w:t>
      </w:r>
      <w:r w:rsidR="00647BEE">
        <w:rPr>
          <w:rFonts w:hint="cs"/>
          <w:rtl/>
        </w:rPr>
        <w:t>ת</w:t>
      </w:r>
      <w:r>
        <w:rPr>
          <w:rFonts w:hint="cs"/>
          <w:rtl/>
        </w:rPr>
        <w:t xml:space="preserve"> דברים ופגיעה רגשית. </w:t>
      </w:r>
      <w:r w:rsidR="00BB621F">
        <w:rPr>
          <w:rFonts w:hint="cs"/>
          <w:rtl/>
        </w:rPr>
        <w:t xml:space="preserve">ראה גם </w:t>
      </w:r>
      <w:r w:rsidR="00BB621F">
        <w:rPr>
          <w:rtl/>
        </w:rPr>
        <w:t xml:space="preserve">מדרש אגדה (בובר) שמות </w:t>
      </w:r>
      <w:r w:rsidR="00BB621F">
        <w:rPr>
          <w:rFonts w:hint="cs"/>
          <w:rtl/>
        </w:rPr>
        <w:t>כג ט, פרש</w:t>
      </w:r>
      <w:r w:rsidR="00BB621F">
        <w:rPr>
          <w:rtl/>
        </w:rPr>
        <w:t>ת משפטים</w:t>
      </w:r>
      <w:r w:rsidR="00BB621F">
        <w:rPr>
          <w:rFonts w:hint="cs"/>
          <w:rtl/>
        </w:rPr>
        <w:t>: "</w:t>
      </w:r>
      <w:r w:rsidR="00BB621F">
        <w:rPr>
          <w:rtl/>
        </w:rPr>
        <w:t>וגר לא תונה. אפילו אונאת דברים אסור כל שכן ממון</w:t>
      </w:r>
      <w:r w:rsidR="00B92B14">
        <w:rPr>
          <w:rFonts w:hint="cs"/>
          <w:rtl/>
        </w:rPr>
        <w:t>". שם אמנם מדובר בהונאת גר "</w:t>
      </w:r>
      <w:r w:rsidR="00BB621F">
        <w:rPr>
          <w:rtl/>
        </w:rPr>
        <w:t>כי הגר שאורו רע ושמא יחזור לסורו</w:t>
      </w:r>
      <w:r w:rsidR="00B92B14">
        <w:rPr>
          <w:rFonts w:hint="cs"/>
          <w:rtl/>
        </w:rPr>
        <w:t>", אבל גם ממקור זה נראה שאונאת ממון חמורה יותר מאונאת דברים.</w:t>
      </w:r>
      <w:r w:rsidR="00BB621F">
        <w:rPr>
          <w:rtl/>
        </w:rPr>
        <w:t xml:space="preserve"> </w:t>
      </w:r>
      <w:r w:rsidR="00B92B14">
        <w:rPr>
          <w:rFonts w:hint="cs"/>
          <w:rtl/>
        </w:rPr>
        <w:t>כנגד כל אלה עומדת ה</w:t>
      </w:r>
      <w:r>
        <w:rPr>
          <w:rFonts w:hint="cs"/>
          <w:rtl/>
        </w:rPr>
        <w:t xml:space="preserve">גמרא כאן </w:t>
      </w:r>
      <w:r w:rsidR="00B92B14">
        <w:rPr>
          <w:rFonts w:hint="cs"/>
          <w:rtl/>
        </w:rPr>
        <w:t>שקובעת בפשטות ש</w:t>
      </w:r>
      <w:r>
        <w:rPr>
          <w:rFonts w:hint="cs"/>
          <w:rtl/>
        </w:rPr>
        <w:t xml:space="preserve">אונאת דברים </w:t>
      </w:r>
      <w:r w:rsidR="00647BEE">
        <w:rPr>
          <w:rFonts w:hint="cs"/>
          <w:rtl/>
        </w:rPr>
        <w:t>חמורה יותר משום ש</w:t>
      </w:r>
      <w:r>
        <w:rPr>
          <w:rFonts w:hint="cs"/>
          <w:rtl/>
        </w:rPr>
        <w:t>לא ניתנת להישבון. תמיד נשאר חשבון</w:t>
      </w:r>
      <w:r w:rsidR="00B92B14">
        <w:rPr>
          <w:rFonts w:hint="cs"/>
          <w:rtl/>
        </w:rPr>
        <w:t xml:space="preserve"> פתוח</w:t>
      </w:r>
      <w:r>
        <w:rPr>
          <w:rFonts w:hint="cs"/>
          <w:rtl/>
        </w:rPr>
        <w:t>.</w:t>
      </w:r>
      <w:r w:rsidR="00B92B14">
        <w:rPr>
          <w:rFonts w:hint="cs"/>
          <w:rtl/>
        </w:rPr>
        <w:t xml:space="preserve"> ראה גם לשון </w:t>
      </w:r>
      <w:r w:rsidR="00B92B14">
        <w:rPr>
          <w:rtl/>
        </w:rPr>
        <w:t>פסיקתא זוטרתא (לקח טוב) ויקרא פרשת בה</w:t>
      </w:r>
      <w:r w:rsidR="00B92B14">
        <w:rPr>
          <w:rFonts w:hint="cs"/>
          <w:rtl/>
        </w:rPr>
        <w:t>: "</w:t>
      </w:r>
      <w:r w:rsidR="00B92B14">
        <w:rPr>
          <w:rtl/>
        </w:rPr>
        <w:t>גדול אונאת דברים מאונאת ממון שהממון יש בו בחזירה ואונאת דברים אינן בחזירה</w:t>
      </w:r>
      <w:r w:rsidR="00B92B14">
        <w:rPr>
          <w:rFonts w:hint="cs"/>
          <w:rtl/>
        </w:rPr>
        <w:t>".</w:t>
      </w:r>
    </w:p>
  </w:footnote>
  <w:footnote w:id="14">
    <w:p w:rsidR="00B40266" w:rsidRDefault="00B40266" w:rsidP="00B40266">
      <w:pPr>
        <w:pStyle w:val="a3"/>
        <w:rPr>
          <w:rFonts w:hint="cs"/>
          <w:rtl/>
        </w:rPr>
      </w:pPr>
      <w:r>
        <w:rPr>
          <w:rStyle w:val="a5"/>
        </w:rPr>
        <w:footnoteRef/>
      </w:r>
      <w:r>
        <w:rPr>
          <w:rtl/>
        </w:rPr>
        <w:t xml:space="preserve"> </w:t>
      </w:r>
      <w:r>
        <w:rPr>
          <w:rFonts w:hint="cs"/>
          <w:rtl/>
        </w:rPr>
        <w:t>אפשר שדרשה זו נצמדה אגב הדיון ואין הכוונה שהמאנה בדברים הוא שופך דמים. אך אפשר גם שהצמדת דרשה זו היא כעין מבוא לסיפור תנורו של עכנאי שמצוי בהמשך הסוגיה שם, סיפור בו הגיעו הדברים והדיבורים עד כדי נידויו של ר' אליעזר ומותו של רבן גמליאל.</w:t>
      </w:r>
    </w:p>
  </w:footnote>
  <w:footnote w:id="15">
    <w:p w:rsidR="007E4A41" w:rsidRDefault="007E4A41" w:rsidP="00C443E5">
      <w:pPr>
        <w:pStyle w:val="a3"/>
        <w:rPr>
          <w:rtl/>
        </w:rPr>
      </w:pPr>
      <w:r>
        <w:rPr>
          <w:rStyle w:val="a5"/>
          <w:rtl/>
        </w:rPr>
        <w:footnoteRef/>
      </w:r>
      <w:r>
        <w:rPr>
          <w:rtl/>
        </w:rPr>
        <w:t xml:space="preserve"> </w:t>
      </w:r>
      <w:r>
        <w:rPr>
          <w:rFonts w:hint="cs"/>
          <w:rtl/>
        </w:rPr>
        <w:t xml:space="preserve">בהמשך הסוגיה מגיע סיפור תנורו של עכנאי. </w:t>
      </w:r>
      <w:r>
        <w:rPr>
          <w:rtl/>
        </w:rPr>
        <w:t xml:space="preserve">מיקום סיפור </w:t>
      </w:r>
      <w:r>
        <w:rPr>
          <w:rFonts w:hint="cs"/>
          <w:rtl/>
        </w:rPr>
        <w:t xml:space="preserve">זה </w:t>
      </w:r>
      <w:r>
        <w:rPr>
          <w:rtl/>
        </w:rPr>
        <w:t>על מחלוקת החכמים החריפה ב</w:t>
      </w:r>
      <w:r>
        <w:rPr>
          <w:rFonts w:hint="cs"/>
          <w:rtl/>
        </w:rPr>
        <w:t xml:space="preserve">דין </w:t>
      </w:r>
      <w:r>
        <w:rPr>
          <w:rtl/>
        </w:rPr>
        <w:t>תנורו של עכנאי בסוגיה ב</w:t>
      </w:r>
      <w:r>
        <w:rPr>
          <w:rFonts w:hint="cs"/>
          <w:rtl/>
        </w:rPr>
        <w:t xml:space="preserve">מסכת </w:t>
      </w:r>
      <w:r>
        <w:rPr>
          <w:rtl/>
        </w:rPr>
        <w:t xml:space="preserve">בבא מציעא (סדר נזיקין) הדנה בהלכות אונאה, איננו מקרי. זהו סיפור על הונאת דברים בבית המדרש, בין חכמי התורה עצמם! </w:t>
      </w:r>
      <w:r>
        <w:rPr>
          <w:rFonts w:hint="cs"/>
          <w:rtl/>
        </w:rPr>
        <w:t xml:space="preserve">שים לב למילים: "שהקיפו דברים כעכנאה זו". עכנאה הוא נחש. סמל לשון הרע ודיבורים מיותרים. ראה דברינו </w:t>
      </w:r>
      <w:hyperlink r:id="rId2" w:history="1">
        <w:r w:rsidRPr="00C443E5">
          <w:rPr>
            <w:rStyle w:val="Hyperlink"/>
            <w:rFonts w:hint="cs"/>
            <w:rtl/>
          </w:rPr>
          <w:t>שועל, עקרב, שרף וגחלי אש</w:t>
        </w:r>
      </w:hyperlink>
      <w:r>
        <w:rPr>
          <w:rFonts w:hint="cs"/>
          <w:rtl/>
        </w:rPr>
        <w:t xml:space="preserve"> במיוחדים.</w:t>
      </w:r>
    </w:p>
  </w:footnote>
  <w:footnote w:id="16">
    <w:p w:rsidR="007E4A41" w:rsidRDefault="007E4A41">
      <w:pPr>
        <w:pStyle w:val="a3"/>
        <w:rPr>
          <w:rFonts w:hint="cs"/>
          <w:rtl/>
        </w:rPr>
      </w:pPr>
      <w:r>
        <w:rPr>
          <w:rStyle w:val="a5"/>
        </w:rPr>
        <w:footnoteRef/>
      </w:r>
      <w:r>
        <w:rPr>
          <w:rtl/>
        </w:rPr>
        <w:t xml:space="preserve"> </w:t>
      </w:r>
      <w:r>
        <w:rPr>
          <w:rFonts w:hint="cs"/>
          <w:rtl/>
        </w:rPr>
        <w:t>שיאו של הסיפור, בנידויו של ר' אליעזר.</w:t>
      </w:r>
    </w:p>
  </w:footnote>
  <w:footnote w:id="17">
    <w:p w:rsidR="007E4A41" w:rsidRDefault="007E4A41">
      <w:pPr>
        <w:pStyle w:val="a3"/>
        <w:rPr>
          <w:rFonts w:hint="cs"/>
          <w:rtl/>
        </w:rPr>
      </w:pPr>
      <w:r>
        <w:rPr>
          <w:rStyle w:val="a5"/>
        </w:rPr>
        <w:footnoteRef/>
      </w:r>
      <w:r>
        <w:rPr>
          <w:rtl/>
        </w:rPr>
        <w:t xml:space="preserve"> </w:t>
      </w:r>
      <w:r>
        <w:rPr>
          <w:rFonts w:hint="cs"/>
          <w:rtl/>
        </w:rPr>
        <w:t xml:space="preserve">במשפט זה, מפיה של </w:t>
      </w:r>
      <w:r w:rsidRPr="00C443E5">
        <w:rPr>
          <w:rtl/>
        </w:rPr>
        <w:t xml:space="preserve">אשתו של ר' אליעזר היא אחותו של רבן גמליאל, </w:t>
      </w:r>
      <w:r>
        <w:rPr>
          <w:rFonts w:hint="cs"/>
          <w:rtl/>
        </w:rPr>
        <w:t>חותם את ה</w:t>
      </w:r>
      <w:r w:rsidRPr="00C443E5">
        <w:rPr>
          <w:rtl/>
        </w:rPr>
        <w:t xml:space="preserve">סיפור </w:t>
      </w:r>
      <w:r>
        <w:rPr>
          <w:rFonts w:hint="cs"/>
          <w:rtl/>
        </w:rPr>
        <w:t xml:space="preserve">במותו של </w:t>
      </w:r>
      <w:r w:rsidRPr="00C443E5">
        <w:rPr>
          <w:rtl/>
        </w:rPr>
        <w:t xml:space="preserve">רבן גמליאל עקב הקפדתו של ר' אליעזר על החכמים שנידוהו. קצת לפני כן אנו קוראים: "אמר רב חננא בריה דרב אידי: מאי דכתיב: ולא תונו איש את עמיתו" - עם שאתך בתורה ובמצוות". וכבר הרחבנו בנושא זה והקדשנו לו דף מיוחד </w:t>
      </w:r>
      <w:hyperlink r:id="rId3" w:history="1">
        <w:r w:rsidRPr="00A726BE">
          <w:rPr>
            <w:rStyle w:val="Hyperlink"/>
            <w:rtl/>
          </w:rPr>
          <w:t>תנורו של עכנאי בפרשת בהר</w:t>
        </w:r>
      </w:hyperlink>
      <w:r w:rsidRPr="00C443E5">
        <w:rPr>
          <w:rtl/>
        </w:rPr>
        <w:t xml:space="preserve"> בפרשה זו</w:t>
      </w:r>
      <w:r>
        <w:rPr>
          <w:rFonts w:hint="cs"/>
          <w:rtl/>
        </w:rPr>
        <w:t>.</w:t>
      </w:r>
    </w:p>
  </w:footnote>
  <w:footnote w:id="18">
    <w:p w:rsidR="007E4A41" w:rsidRDefault="007E4A41" w:rsidP="00B44081">
      <w:pPr>
        <w:pStyle w:val="a3"/>
        <w:rPr>
          <w:rtl/>
        </w:rPr>
      </w:pPr>
      <w:r>
        <w:rPr>
          <w:rStyle w:val="a5"/>
          <w:rtl/>
        </w:rPr>
        <w:footnoteRef/>
      </w:r>
      <w:r>
        <w:rPr>
          <w:rtl/>
        </w:rPr>
        <w:t xml:space="preserve"> </w:t>
      </w:r>
      <w:r>
        <w:rPr>
          <w:rFonts w:hint="cs"/>
          <w:rtl/>
        </w:rPr>
        <w:t xml:space="preserve">הסוגיה ממשיכה שם בדין אונאת הגר שהוא כאמור לעיל נושא מיוחד לו והקדשנו דף מיוחד </w:t>
      </w:r>
      <w:hyperlink r:id="rId4" w:history="1">
        <w:r w:rsidRPr="00A726BE">
          <w:rPr>
            <w:rStyle w:val="Hyperlink"/>
            <w:rFonts w:hint="cs"/>
            <w:rtl/>
          </w:rPr>
          <w:t>וגר לא תונה</w:t>
        </w:r>
      </w:hyperlink>
      <w:r>
        <w:rPr>
          <w:rFonts w:hint="cs"/>
          <w:rtl/>
        </w:rPr>
        <w:t xml:space="preserve"> בפרשת משפטים. שים לב שהגמרא לא כוללת את הפסוק: "</w:t>
      </w:r>
      <w:r w:rsidRPr="006F0A7E">
        <w:rPr>
          <w:rtl/>
        </w:rPr>
        <w:t>אַל תּוֹנוּ אִישׁ אֶת אָחִיו</w:t>
      </w:r>
      <w:r>
        <w:rPr>
          <w:rFonts w:hint="cs"/>
          <w:rtl/>
        </w:rPr>
        <w:t xml:space="preserve">" לעבור עליו בארבעה לאווים, משום שמדובר בגר שבתורה שהוא גר תושב ולא גר צדק כמשמעות גר אצל חז"ל (בספרא לעיל). גר תושב נקרא "עמיתך" אבל לא "אחיך". ראה הערות 1, 2 לעיל בהסבר על הפסוקים במקרא. כך או כך, ראה פירוש </w:t>
      </w:r>
      <w:r>
        <w:rPr>
          <w:rtl/>
        </w:rPr>
        <w:t xml:space="preserve">רש"י </w:t>
      </w:r>
      <w:r>
        <w:rPr>
          <w:rFonts w:hint="cs"/>
          <w:rtl/>
        </w:rPr>
        <w:t xml:space="preserve">בגמרא שם שהכל מדובר על </w:t>
      </w:r>
      <w:r>
        <w:rPr>
          <w:rtl/>
        </w:rPr>
        <w:t>הונאת דברים (בגלל הפסוק "ולא תונו איש את עמיתו" שמדבר על הונאת דברים לפי הספרא לעיל). אבל הרמב"ם הלכות מכירה פרק יד אומר: "כל המאנה את הגר, בין בממון בין בדברים, עובר בשלשה לאוין ..."</w:t>
      </w:r>
      <w:r>
        <w:rPr>
          <w:rFonts w:hint="cs"/>
          <w:rtl/>
        </w:rPr>
        <w:t>, היינו ש"תנו רבנן" זה מתייחס לא רק לאונאת דברים אלא גם לאונאת ממון</w:t>
      </w:r>
      <w:r>
        <w:rPr>
          <w:rtl/>
        </w:rPr>
        <w:t xml:space="preserve">. </w:t>
      </w:r>
    </w:p>
  </w:footnote>
  <w:footnote w:id="19">
    <w:p w:rsidR="007E4A41" w:rsidRDefault="007E4A41" w:rsidP="009B0C60">
      <w:pPr>
        <w:pStyle w:val="a3"/>
        <w:rPr>
          <w:rtl/>
        </w:rPr>
      </w:pPr>
      <w:r>
        <w:rPr>
          <w:rStyle w:val="a5"/>
          <w:rtl/>
        </w:rPr>
        <w:footnoteRef/>
      </w:r>
      <w:r>
        <w:rPr>
          <w:rtl/>
        </w:rPr>
        <w:t xml:space="preserve"> </w:t>
      </w:r>
      <w:r>
        <w:rPr>
          <w:rtl/>
        </w:rPr>
        <w:t>בספרא לעיל ראינו שפסוק זה הוא דווקא באונאת ממון ולא באונאת דברים. או שדרשן האגדה לא דייק כאן, או שהוא חולק על הספרא (גישת האגדה מול גישת ההלכה), או שהוא סובר כשיטת הרמב"ם לעיל בהונאת גר (הערת השוליים הקודמת) אבל מרחיב אותה לכל אדם. כל מקום שיש אונאת ממון יש גם אונאת דברים. שהרי תהליך המכירה תמיד מלווה גם בדיבור.</w:t>
      </w:r>
    </w:p>
  </w:footnote>
  <w:footnote w:id="20">
    <w:p w:rsidR="007E4A41" w:rsidRDefault="007E4A41">
      <w:pPr>
        <w:pStyle w:val="a3"/>
        <w:rPr>
          <w:rFonts w:hint="cs"/>
          <w:rtl/>
        </w:rPr>
      </w:pPr>
      <w:r>
        <w:rPr>
          <w:rStyle w:val="a5"/>
        </w:rPr>
        <w:footnoteRef/>
      </w:r>
      <w:r>
        <w:rPr>
          <w:rtl/>
        </w:rPr>
        <w:t xml:space="preserve"> </w:t>
      </w:r>
      <w:r>
        <w:rPr>
          <w:rFonts w:hint="cs"/>
          <w:rtl/>
        </w:rPr>
        <w:t>נעבור אל פרשני המקרא.</w:t>
      </w:r>
    </w:p>
  </w:footnote>
  <w:footnote w:id="21">
    <w:p w:rsidR="00647BEE" w:rsidRDefault="00647BEE" w:rsidP="00B92B14">
      <w:pPr>
        <w:pStyle w:val="a3"/>
        <w:rPr>
          <w:rFonts w:hint="cs"/>
          <w:rtl/>
        </w:rPr>
      </w:pPr>
      <w:r>
        <w:rPr>
          <w:rStyle w:val="a5"/>
        </w:rPr>
        <w:footnoteRef/>
      </w:r>
      <w:r>
        <w:rPr>
          <w:rtl/>
        </w:rPr>
        <w:t xml:space="preserve"> </w:t>
      </w:r>
      <w:r w:rsidR="00B92B14">
        <w:rPr>
          <w:rFonts w:hint="cs"/>
          <w:rtl/>
        </w:rPr>
        <w:t>כפי נוהגו במקומות רבים בפירושו לספר ויקרא</w:t>
      </w:r>
      <w:r>
        <w:rPr>
          <w:rFonts w:hint="cs"/>
          <w:rtl/>
        </w:rPr>
        <w:t xml:space="preserve">, צועד </w:t>
      </w:r>
      <w:r w:rsidR="00B92B14">
        <w:rPr>
          <w:rFonts w:hint="cs"/>
          <w:rtl/>
        </w:rPr>
        <w:t xml:space="preserve">רש"י </w:t>
      </w:r>
      <w:r>
        <w:rPr>
          <w:rFonts w:hint="cs"/>
          <w:rtl/>
        </w:rPr>
        <w:t xml:space="preserve">בדרכו של מדרש ספרא שראינו לעיל, אבל מוסיף כאן את עניין ההקנטה. </w:t>
      </w:r>
      <w:r w:rsidR="00DA6034">
        <w:rPr>
          <w:rFonts w:hint="cs"/>
          <w:rtl/>
        </w:rPr>
        <w:t>לשון ש</w:t>
      </w:r>
      <w:r w:rsidR="00B92B14">
        <w:rPr>
          <w:rFonts w:hint="cs"/>
          <w:rtl/>
        </w:rPr>
        <w:t xml:space="preserve">נראה שרש"י יצקו וכמותו </w:t>
      </w:r>
      <w:r w:rsidR="00DA6034">
        <w:rPr>
          <w:rFonts w:hint="cs"/>
          <w:rtl/>
        </w:rPr>
        <w:t>מצאנו גם ב</w:t>
      </w:r>
      <w:r w:rsidR="00DA6034">
        <w:rPr>
          <w:rtl/>
        </w:rPr>
        <w:t>רמב"ם הלכות תשובה</w:t>
      </w:r>
      <w:r w:rsidR="00DA6034">
        <w:rPr>
          <w:rFonts w:hint="cs"/>
          <w:rtl/>
        </w:rPr>
        <w:t xml:space="preserve"> (בהערה 13 לעיל): "</w:t>
      </w:r>
      <w:r w:rsidR="00DA6034">
        <w:rPr>
          <w:rtl/>
        </w:rPr>
        <w:t>אפילו לא הקניט את חבירו אלא בדברים צריך לפייסו</w:t>
      </w:r>
      <w:r w:rsidR="00DA6034">
        <w:rPr>
          <w:rFonts w:hint="cs"/>
          <w:rtl/>
        </w:rPr>
        <w:t xml:space="preserve"> וכו' ". </w:t>
      </w:r>
      <w:r>
        <w:rPr>
          <w:rFonts w:hint="cs"/>
          <w:rtl/>
        </w:rPr>
        <w:t>ולעיל ראינו את הגמרא שגולשת עד כדי הלבנת פנים ברבים שהיא כמו שפיכ</w:t>
      </w:r>
      <w:r w:rsidR="00B40266">
        <w:rPr>
          <w:rFonts w:hint="cs"/>
          <w:rtl/>
        </w:rPr>
        <w:t>ו</w:t>
      </w:r>
      <w:r>
        <w:rPr>
          <w:rFonts w:hint="cs"/>
          <w:rtl/>
        </w:rPr>
        <w:t>ת דמים. ובפירושים אחרים מצאנו אזכור של רכילות ולשון הרע. לא הכל ייחשב אולי להלכה כאונאת דברים, אבל זה כוחו לטוב ולרע של הדיבור במדרגותיו השונות.</w:t>
      </w:r>
    </w:p>
  </w:footnote>
  <w:footnote w:id="22">
    <w:p w:rsidR="003F02FE" w:rsidRDefault="003F02FE" w:rsidP="00BC288F">
      <w:pPr>
        <w:pStyle w:val="a3"/>
        <w:rPr>
          <w:rFonts w:hint="cs"/>
          <w:rtl/>
        </w:rPr>
      </w:pPr>
      <w:r>
        <w:rPr>
          <w:rStyle w:val="a5"/>
        </w:rPr>
        <w:footnoteRef/>
      </w:r>
      <w:r>
        <w:rPr>
          <w:rtl/>
        </w:rPr>
        <w:t xml:space="preserve"> </w:t>
      </w:r>
      <w:r>
        <w:rPr>
          <w:rFonts w:hint="cs"/>
          <w:rtl/>
        </w:rPr>
        <w:t>לעיל (הערה 12) ראינו את פירוש רש"י על הגמרא במסכת בבא מציעא מהו "כל דבר המסור ללב"? - "הלב יודע אם לעקל אם לעקלקלות". היינו, אתה יודע. כאן הולך רש"י בדרך אחרת. הקב"ה הוא שיודע את מה שבאמת היה בלבו של ה</w:t>
      </w:r>
      <w:r w:rsidR="00BC288F">
        <w:rPr>
          <w:rFonts w:hint="eastAsia"/>
          <w:rtl/>
        </w:rPr>
        <w:t>ָ</w:t>
      </w:r>
      <w:r w:rsidR="00BC288F" w:rsidRPr="00BC288F">
        <w:rPr>
          <w:rFonts w:hint="cs"/>
          <w:rtl/>
        </w:rPr>
        <w:t>מְאַנֶּה</w:t>
      </w:r>
      <w:r w:rsidRPr="00BC288F">
        <w:rPr>
          <w:rFonts w:hint="cs"/>
          <w:rtl/>
        </w:rPr>
        <w:t xml:space="preserve"> </w:t>
      </w:r>
      <w:r>
        <w:rPr>
          <w:rFonts w:hint="cs"/>
          <w:rtl/>
        </w:rPr>
        <w:t>בדברים. "</w:t>
      </w:r>
      <w:r>
        <w:rPr>
          <w:rtl/>
        </w:rPr>
        <w:t>כִּי הָאָדָם יִרְאֶה לַעֵינַיִם וַה' יִרְאֶה לַלֵּבָב</w:t>
      </w:r>
      <w:r>
        <w:rPr>
          <w:rFonts w:hint="cs"/>
          <w:rtl/>
        </w:rPr>
        <w:t>" (</w:t>
      </w:r>
      <w:r>
        <w:rPr>
          <w:rtl/>
        </w:rPr>
        <w:t>שמואל א טז</w:t>
      </w:r>
      <w:r>
        <w:rPr>
          <w:rFonts w:hint="cs"/>
          <w:rtl/>
        </w:rPr>
        <w:t xml:space="preserve"> </w:t>
      </w:r>
      <w:r>
        <w:rPr>
          <w:rtl/>
        </w:rPr>
        <w:t>ז)</w:t>
      </w:r>
      <w:r>
        <w:rPr>
          <w:rFonts w:hint="cs"/>
          <w:rtl/>
        </w:rPr>
        <w:t>. ובירמיהו יא כ: "</w:t>
      </w:r>
      <w:r>
        <w:rPr>
          <w:rtl/>
        </w:rPr>
        <w:t>וַה' צְבָאוֹת שֹׁפֵט צֶדֶק בֹּחֵן כְּלָיוֹת וָלֵב</w:t>
      </w:r>
      <w:r>
        <w:rPr>
          <w:rFonts w:hint="cs"/>
          <w:rtl/>
        </w:rPr>
        <w:t xml:space="preserve"> וכו' ". ובלשונו של רש"י: "</w:t>
      </w:r>
      <w:r>
        <w:rPr>
          <w:rtl/>
        </w:rPr>
        <w:t>כל דבר המסור ללב, שאין מכיר אלא מי שהמחשבה בלבו</w:t>
      </w:r>
      <w:r>
        <w:rPr>
          <w:rFonts w:hint="cs"/>
          <w:rtl/>
        </w:rPr>
        <w:t>". נראה שרש"י בחר במודע להציג בפירושו לתורה ובפירושו לתלמוד, שתי השקפות עולם דתיות: למה יימנע האדם מלעשות מעשים בלתי מוסריים שרק הוא יודע את טיבם האמיתי. כאן, ההשקפה הדתית-אמונית שהקב"ה צופה ומשגיח על העולם ויודע מה בלבו של האדם. אך בגמרא בוחר רש"י בהשקפה הדתית-מוסרית-אנושית. האדם נותן דין וחשבון לעצמו מה באמת היא מחשבתו וכיצד הוא בוחר לפעול בעולם. ואגב הביטוי "בעל המחשבות", ראה דברי הכיבושין של שמעון בן שטח לחברי הסנהדרין שפחדו מינאי המלך: "</w:t>
      </w:r>
      <w:r>
        <w:rPr>
          <w:rtl/>
        </w:rPr>
        <w:t>יב</w:t>
      </w:r>
      <w:r>
        <w:rPr>
          <w:rFonts w:hint="cs"/>
          <w:rtl/>
        </w:rPr>
        <w:t>ו</w:t>
      </w:r>
      <w:r>
        <w:rPr>
          <w:rtl/>
        </w:rPr>
        <w:t>א בעל מחשבות ויפרע מכם</w:t>
      </w:r>
      <w:r>
        <w:rPr>
          <w:rFonts w:hint="cs"/>
          <w:rtl/>
        </w:rPr>
        <w:t>" (</w:t>
      </w:r>
      <w:r>
        <w:rPr>
          <w:rtl/>
        </w:rPr>
        <w:t>סנהדרין יט ע</w:t>
      </w:r>
      <w:r>
        <w:rPr>
          <w:rFonts w:hint="cs"/>
          <w:rtl/>
        </w:rPr>
        <w:t>"ב); וכמו כן דברי ר' יהודה בן טבאי, בן זוגו של שמעון בן שטח (אבות א ח) למי שברור שרצח רק לא היו עדים: "</w:t>
      </w:r>
      <w:r>
        <w:rPr>
          <w:rtl/>
        </w:rPr>
        <w:t>מה אעשה, שהרי אמרה תורה</w:t>
      </w:r>
      <w:r>
        <w:rPr>
          <w:rFonts w:hint="cs"/>
          <w:rtl/>
        </w:rPr>
        <w:t xml:space="preserve">: </w:t>
      </w:r>
      <w:r>
        <w:rPr>
          <w:rtl/>
        </w:rPr>
        <w:t>על פי שנים עדים יקום דבר, אבל היודע ובעל מחשבות הוא יפרע מאותו האיש</w:t>
      </w:r>
      <w:r>
        <w:rPr>
          <w:rFonts w:hint="cs"/>
          <w:rtl/>
        </w:rPr>
        <w:t>" (</w:t>
      </w:r>
      <w:r>
        <w:rPr>
          <w:rtl/>
        </w:rPr>
        <w:t>מכילתא דרבי ישמעאל משפטים - מסכתא דכספא פרשה כ</w:t>
      </w:r>
      <w:r>
        <w:rPr>
          <w:rFonts w:hint="cs"/>
          <w:rtl/>
        </w:rPr>
        <w:t>).</w:t>
      </w:r>
    </w:p>
  </w:footnote>
  <w:footnote w:id="23">
    <w:p w:rsidR="00234202" w:rsidRDefault="00234202">
      <w:pPr>
        <w:pStyle w:val="a3"/>
        <w:rPr>
          <w:rFonts w:hint="cs"/>
          <w:rtl/>
        </w:rPr>
      </w:pPr>
      <w:r>
        <w:rPr>
          <w:rStyle w:val="a5"/>
        </w:rPr>
        <w:footnoteRef/>
      </w:r>
      <w:r>
        <w:rPr>
          <w:rtl/>
        </w:rPr>
        <w:t xml:space="preserve"> </w:t>
      </w:r>
      <w:r>
        <w:rPr>
          <w:rFonts w:hint="cs"/>
          <w:rtl/>
        </w:rPr>
        <w:t>להוציא רש"י לעיל ורבי בחיי בן אשר (שלא הבאנו), רוב פרשני המקרא לא מתעכבים בפירושם לפסוקים הנ"ל על נושא אונאת דברים מול אונאת ממון, אלא בהקשר הפסוקים לדיני היובל ובפרט למכירת שדות שחוזרות ביובל שיש להקפיד בהערכת העסקה על מספר השנים עד היובל כפי שמשתמע בבירור מפסוקי התורה. חלקם גם מתפלפלים בהקשר זה עם הדין ש"אין אונאה בקרקעות", היינו, אין מחיר ידוע לקרקע וכל מה שיסכימו ביניהם המוכר והקונה תקף. ראה פירושי בכור שור, רמב"ן, רשב"ם, חזקוני, כלי יקר ועוד. ו</w:t>
      </w:r>
      <w:r>
        <w:rPr>
          <w:rtl/>
        </w:rPr>
        <w:t xml:space="preserve">ספורנו </w:t>
      </w:r>
      <w:r>
        <w:rPr>
          <w:rFonts w:hint="cs"/>
          <w:rtl/>
        </w:rPr>
        <w:t>הולך בדרכו של אבן עזרא שמדגיש את האחריות של "לא תונו" על שני הצדדים: "</w:t>
      </w:r>
      <w:r>
        <w:rPr>
          <w:rtl/>
        </w:rPr>
        <w:t>ולא תונו. אפילו בדברים וגניבת דעת ועצות רעות אפילו בלתי שום דררא דממונא:</w:t>
      </w:r>
      <w:r>
        <w:rPr>
          <w:rFonts w:hint="cs"/>
          <w:rtl/>
        </w:rPr>
        <w:t xml:space="preserve"> </w:t>
      </w:r>
      <w:r>
        <w:rPr>
          <w:rtl/>
        </w:rPr>
        <w:t>כי אני ה' אלהיכם. אל</w:t>
      </w:r>
      <w:r>
        <w:rPr>
          <w:rFonts w:hint="cs"/>
          <w:rtl/>
        </w:rPr>
        <w:t>ו</w:t>
      </w:r>
      <w:r>
        <w:rPr>
          <w:rtl/>
        </w:rPr>
        <w:t>הי הקונה ואל</w:t>
      </w:r>
      <w:r>
        <w:rPr>
          <w:rFonts w:hint="cs"/>
          <w:rtl/>
        </w:rPr>
        <w:t>ו</w:t>
      </w:r>
      <w:r>
        <w:rPr>
          <w:rtl/>
        </w:rPr>
        <w:t>הי המוכר ומקפיד אני על אונאת כל אחד מהם</w:t>
      </w:r>
      <w:r>
        <w:rPr>
          <w:rFonts w:hint="cs"/>
          <w:rtl/>
        </w:rPr>
        <w:t>". כביכול הקב"ה עומד בין כל מוכר וקונה ונוכח בעסקאות מסחריות ובהוויות החיים הארציים.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Pr="00ED27C3" w:rsidRDefault="007E4A41" w:rsidP="009B0C60">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Pr>
        <w:sz w:val="28"/>
        <w:rtl/>
      </w:rPr>
      <w:t>בהר סיני</w:t>
    </w:r>
    <w:r w:rsidRPr="00ED27C3">
      <w:rPr>
        <w:sz w:val="28"/>
        <w:rtl/>
      </w:rPr>
      <w:fldChar w:fldCharType="end"/>
    </w:r>
    <w:r w:rsidRPr="00ED27C3">
      <w:rPr>
        <w:sz w:val="28"/>
        <w:rtl/>
      </w:rPr>
      <w:tab/>
    </w:r>
    <w:r w:rsidRPr="00ED27C3">
      <w:rPr>
        <w:rFonts w:hint="cs"/>
        <w:sz w:val="28"/>
        <w:rtl/>
      </w:rPr>
      <w:t>תש</w:t>
    </w:r>
    <w:r>
      <w:rPr>
        <w:rFonts w:hint="cs"/>
        <w:sz w:val="28"/>
        <w:rtl/>
      </w:rPr>
      <w:t>נ</w:t>
    </w:r>
    <w:r w:rsidRPr="00ED27C3">
      <w:rPr>
        <w:rFonts w:hint="cs"/>
        <w:sz w:val="28"/>
        <w:rtl/>
      </w:rPr>
      <w:t>"</w:t>
    </w:r>
    <w:r>
      <w:rPr>
        <w:rFonts w:hint="cs"/>
        <w:sz w:val="28"/>
        <w:rtl/>
      </w:rPr>
      <w:t>ט</w:t>
    </w:r>
    <w:r w:rsidR="003F02FE">
      <w:rPr>
        <w:rFonts w:hint="cs"/>
        <w:sz w:val="28"/>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1" w:rsidRDefault="007E4A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5C9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NKwFACZ96HotAAAA"/>
  </w:docVars>
  <w:rsids>
    <w:rsidRoot w:val="004C75CE"/>
    <w:rsid w:val="00002DAD"/>
    <w:rsid w:val="00007891"/>
    <w:rsid w:val="0002644E"/>
    <w:rsid w:val="00031156"/>
    <w:rsid w:val="00071B63"/>
    <w:rsid w:val="00071FE3"/>
    <w:rsid w:val="00076AE7"/>
    <w:rsid w:val="0008023E"/>
    <w:rsid w:val="00081294"/>
    <w:rsid w:val="000A2884"/>
    <w:rsid w:val="000A7308"/>
    <w:rsid w:val="000B16FA"/>
    <w:rsid w:val="000B6C31"/>
    <w:rsid w:val="000D4FFB"/>
    <w:rsid w:val="000E43FA"/>
    <w:rsid w:val="00110160"/>
    <w:rsid w:val="00112F99"/>
    <w:rsid w:val="00113118"/>
    <w:rsid w:val="00113FEA"/>
    <w:rsid w:val="001140C6"/>
    <w:rsid w:val="00117550"/>
    <w:rsid w:val="0012767F"/>
    <w:rsid w:val="00127D5E"/>
    <w:rsid w:val="001314FC"/>
    <w:rsid w:val="00136433"/>
    <w:rsid w:val="00137026"/>
    <w:rsid w:val="00143B28"/>
    <w:rsid w:val="0015247B"/>
    <w:rsid w:val="00155BFE"/>
    <w:rsid w:val="00176668"/>
    <w:rsid w:val="001777B2"/>
    <w:rsid w:val="00190CA9"/>
    <w:rsid w:val="001A3BEC"/>
    <w:rsid w:val="001B46CD"/>
    <w:rsid w:val="001C6E49"/>
    <w:rsid w:val="001D79D8"/>
    <w:rsid w:val="001E185B"/>
    <w:rsid w:val="001F4D34"/>
    <w:rsid w:val="001F4F77"/>
    <w:rsid w:val="00206F28"/>
    <w:rsid w:val="00214AC6"/>
    <w:rsid w:val="00221BC2"/>
    <w:rsid w:val="00224A4F"/>
    <w:rsid w:val="00234202"/>
    <w:rsid w:val="0024172D"/>
    <w:rsid w:val="00244F2F"/>
    <w:rsid w:val="00253432"/>
    <w:rsid w:val="00256662"/>
    <w:rsid w:val="00257509"/>
    <w:rsid w:val="002644AF"/>
    <w:rsid w:val="00272BF7"/>
    <w:rsid w:val="0029405B"/>
    <w:rsid w:val="00295964"/>
    <w:rsid w:val="002A2C2C"/>
    <w:rsid w:val="002B1C38"/>
    <w:rsid w:val="002D4946"/>
    <w:rsid w:val="002D5B4D"/>
    <w:rsid w:val="002D769E"/>
    <w:rsid w:val="002E410B"/>
    <w:rsid w:val="002E6DF1"/>
    <w:rsid w:val="002E7CF9"/>
    <w:rsid w:val="002F0D8B"/>
    <w:rsid w:val="002F3328"/>
    <w:rsid w:val="00306BEF"/>
    <w:rsid w:val="00336BA0"/>
    <w:rsid w:val="00360859"/>
    <w:rsid w:val="00381B9A"/>
    <w:rsid w:val="00386C8E"/>
    <w:rsid w:val="0039081E"/>
    <w:rsid w:val="0039708E"/>
    <w:rsid w:val="003B63DA"/>
    <w:rsid w:val="003B7F31"/>
    <w:rsid w:val="003C33A4"/>
    <w:rsid w:val="003D0100"/>
    <w:rsid w:val="003D1D7D"/>
    <w:rsid w:val="003E17D1"/>
    <w:rsid w:val="003E3E50"/>
    <w:rsid w:val="003F02FE"/>
    <w:rsid w:val="003F542B"/>
    <w:rsid w:val="00404A43"/>
    <w:rsid w:val="00421608"/>
    <w:rsid w:val="004225EA"/>
    <w:rsid w:val="00426446"/>
    <w:rsid w:val="00426A03"/>
    <w:rsid w:val="00432397"/>
    <w:rsid w:val="004360D7"/>
    <w:rsid w:val="004464BD"/>
    <w:rsid w:val="0046269B"/>
    <w:rsid w:val="0046571C"/>
    <w:rsid w:val="004933AC"/>
    <w:rsid w:val="004A21C1"/>
    <w:rsid w:val="004A6A4C"/>
    <w:rsid w:val="004B0826"/>
    <w:rsid w:val="004B185B"/>
    <w:rsid w:val="004B2D24"/>
    <w:rsid w:val="004C0C52"/>
    <w:rsid w:val="004C2072"/>
    <w:rsid w:val="004C75CE"/>
    <w:rsid w:val="004D5C9B"/>
    <w:rsid w:val="004E651A"/>
    <w:rsid w:val="00503503"/>
    <w:rsid w:val="00507087"/>
    <w:rsid w:val="005118B4"/>
    <w:rsid w:val="00543304"/>
    <w:rsid w:val="00547CC6"/>
    <w:rsid w:val="00556148"/>
    <w:rsid w:val="00561C9F"/>
    <w:rsid w:val="00562ABA"/>
    <w:rsid w:val="00567463"/>
    <w:rsid w:val="00572A20"/>
    <w:rsid w:val="00581D07"/>
    <w:rsid w:val="00582F6E"/>
    <w:rsid w:val="0058585A"/>
    <w:rsid w:val="005902D4"/>
    <w:rsid w:val="00593051"/>
    <w:rsid w:val="005B6193"/>
    <w:rsid w:val="005D0B19"/>
    <w:rsid w:val="005D7C4D"/>
    <w:rsid w:val="005E6AF3"/>
    <w:rsid w:val="00602DAA"/>
    <w:rsid w:val="0060652C"/>
    <w:rsid w:val="006074EC"/>
    <w:rsid w:val="006202CE"/>
    <w:rsid w:val="006203EE"/>
    <w:rsid w:val="00624206"/>
    <w:rsid w:val="0062503F"/>
    <w:rsid w:val="00626E5B"/>
    <w:rsid w:val="00627D43"/>
    <w:rsid w:val="00632739"/>
    <w:rsid w:val="00634E58"/>
    <w:rsid w:val="006354CC"/>
    <w:rsid w:val="00647BEE"/>
    <w:rsid w:val="006741E5"/>
    <w:rsid w:val="00676CCD"/>
    <w:rsid w:val="00681EB2"/>
    <w:rsid w:val="00683E5F"/>
    <w:rsid w:val="00686735"/>
    <w:rsid w:val="006A4486"/>
    <w:rsid w:val="006A7B51"/>
    <w:rsid w:val="006B76B2"/>
    <w:rsid w:val="006B7B22"/>
    <w:rsid w:val="006C2CF8"/>
    <w:rsid w:val="006C3C1D"/>
    <w:rsid w:val="006C4276"/>
    <w:rsid w:val="006C5156"/>
    <w:rsid w:val="006C72BA"/>
    <w:rsid w:val="006D70E8"/>
    <w:rsid w:val="006E4286"/>
    <w:rsid w:val="006F0996"/>
    <w:rsid w:val="006F0A7E"/>
    <w:rsid w:val="007000E4"/>
    <w:rsid w:val="00715F7C"/>
    <w:rsid w:val="007241A0"/>
    <w:rsid w:val="00726282"/>
    <w:rsid w:val="00727BE5"/>
    <w:rsid w:val="007372D8"/>
    <w:rsid w:val="007566D0"/>
    <w:rsid w:val="00762673"/>
    <w:rsid w:val="0077244A"/>
    <w:rsid w:val="007831CE"/>
    <w:rsid w:val="00786227"/>
    <w:rsid w:val="00791652"/>
    <w:rsid w:val="007B3F92"/>
    <w:rsid w:val="007C6760"/>
    <w:rsid w:val="007D05F1"/>
    <w:rsid w:val="007E1337"/>
    <w:rsid w:val="007E316D"/>
    <w:rsid w:val="007E4478"/>
    <w:rsid w:val="007E4A41"/>
    <w:rsid w:val="007F406D"/>
    <w:rsid w:val="008108F0"/>
    <w:rsid w:val="00815D36"/>
    <w:rsid w:val="00821496"/>
    <w:rsid w:val="00836A89"/>
    <w:rsid w:val="00841A87"/>
    <w:rsid w:val="00844F7E"/>
    <w:rsid w:val="00847F10"/>
    <w:rsid w:val="00851C76"/>
    <w:rsid w:val="00853A8A"/>
    <w:rsid w:val="00855EBD"/>
    <w:rsid w:val="00862BCD"/>
    <w:rsid w:val="00866303"/>
    <w:rsid w:val="008760AE"/>
    <w:rsid w:val="008777FA"/>
    <w:rsid w:val="00886414"/>
    <w:rsid w:val="00890EB2"/>
    <w:rsid w:val="008920F7"/>
    <w:rsid w:val="008A0C81"/>
    <w:rsid w:val="008A0FC6"/>
    <w:rsid w:val="008A735A"/>
    <w:rsid w:val="008E001E"/>
    <w:rsid w:val="008E5E66"/>
    <w:rsid w:val="008E76B2"/>
    <w:rsid w:val="008E77B9"/>
    <w:rsid w:val="008F1EFA"/>
    <w:rsid w:val="008F4A3F"/>
    <w:rsid w:val="009044CA"/>
    <w:rsid w:val="0090511E"/>
    <w:rsid w:val="00922B1F"/>
    <w:rsid w:val="0092484A"/>
    <w:rsid w:val="00924A83"/>
    <w:rsid w:val="00926769"/>
    <w:rsid w:val="0092725D"/>
    <w:rsid w:val="00931CA8"/>
    <w:rsid w:val="00944A64"/>
    <w:rsid w:val="0094511A"/>
    <w:rsid w:val="00952A0A"/>
    <w:rsid w:val="0095450F"/>
    <w:rsid w:val="00962B5A"/>
    <w:rsid w:val="009B0C60"/>
    <w:rsid w:val="009B7A11"/>
    <w:rsid w:val="009C5417"/>
    <w:rsid w:val="009D2930"/>
    <w:rsid w:val="009F1B31"/>
    <w:rsid w:val="009F46C7"/>
    <w:rsid w:val="009F56FF"/>
    <w:rsid w:val="00A02055"/>
    <w:rsid w:val="00A04D94"/>
    <w:rsid w:val="00A15F3A"/>
    <w:rsid w:val="00A26543"/>
    <w:rsid w:val="00A30CB5"/>
    <w:rsid w:val="00A32E86"/>
    <w:rsid w:val="00A33438"/>
    <w:rsid w:val="00A34395"/>
    <w:rsid w:val="00A37287"/>
    <w:rsid w:val="00A54E69"/>
    <w:rsid w:val="00A625B9"/>
    <w:rsid w:val="00A656C9"/>
    <w:rsid w:val="00A65F0B"/>
    <w:rsid w:val="00A678B0"/>
    <w:rsid w:val="00A71C58"/>
    <w:rsid w:val="00A726BE"/>
    <w:rsid w:val="00A76027"/>
    <w:rsid w:val="00AA1A74"/>
    <w:rsid w:val="00AA1B0C"/>
    <w:rsid w:val="00AB13A2"/>
    <w:rsid w:val="00AB2FB5"/>
    <w:rsid w:val="00AB304C"/>
    <w:rsid w:val="00AB4DB2"/>
    <w:rsid w:val="00AB64ED"/>
    <w:rsid w:val="00AC311C"/>
    <w:rsid w:val="00AD05CD"/>
    <w:rsid w:val="00AD2C0B"/>
    <w:rsid w:val="00AD68FE"/>
    <w:rsid w:val="00AE152F"/>
    <w:rsid w:val="00AE27F5"/>
    <w:rsid w:val="00AF4584"/>
    <w:rsid w:val="00B004DE"/>
    <w:rsid w:val="00B126B3"/>
    <w:rsid w:val="00B16ED0"/>
    <w:rsid w:val="00B16EE9"/>
    <w:rsid w:val="00B26652"/>
    <w:rsid w:val="00B36392"/>
    <w:rsid w:val="00B36DEC"/>
    <w:rsid w:val="00B40266"/>
    <w:rsid w:val="00B43093"/>
    <w:rsid w:val="00B44081"/>
    <w:rsid w:val="00B471C7"/>
    <w:rsid w:val="00B6307E"/>
    <w:rsid w:val="00B74970"/>
    <w:rsid w:val="00B77502"/>
    <w:rsid w:val="00B815BF"/>
    <w:rsid w:val="00B86A4A"/>
    <w:rsid w:val="00B92B14"/>
    <w:rsid w:val="00BA06A1"/>
    <w:rsid w:val="00BB01EC"/>
    <w:rsid w:val="00BB315A"/>
    <w:rsid w:val="00BB3F78"/>
    <w:rsid w:val="00BB4FDB"/>
    <w:rsid w:val="00BB621F"/>
    <w:rsid w:val="00BB7CC0"/>
    <w:rsid w:val="00BC288F"/>
    <w:rsid w:val="00BD104B"/>
    <w:rsid w:val="00BD5D38"/>
    <w:rsid w:val="00BD72C6"/>
    <w:rsid w:val="00BE5816"/>
    <w:rsid w:val="00BE65F9"/>
    <w:rsid w:val="00C03C7E"/>
    <w:rsid w:val="00C05B07"/>
    <w:rsid w:val="00C3302C"/>
    <w:rsid w:val="00C443E5"/>
    <w:rsid w:val="00C641D9"/>
    <w:rsid w:val="00C75E4C"/>
    <w:rsid w:val="00C80706"/>
    <w:rsid w:val="00C80971"/>
    <w:rsid w:val="00CA6483"/>
    <w:rsid w:val="00CB2081"/>
    <w:rsid w:val="00CB2831"/>
    <w:rsid w:val="00CC185A"/>
    <w:rsid w:val="00CC4A87"/>
    <w:rsid w:val="00CD2756"/>
    <w:rsid w:val="00CE3D82"/>
    <w:rsid w:val="00CE45CB"/>
    <w:rsid w:val="00D0245A"/>
    <w:rsid w:val="00D05A20"/>
    <w:rsid w:val="00D07BF4"/>
    <w:rsid w:val="00D11B6C"/>
    <w:rsid w:val="00D239D7"/>
    <w:rsid w:val="00D309BE"/>
    <w:rsid w:val="00D36A3A"/>
    <w:rsid w:val="00D46264"/>
    <w:rsid w:val="00D46BD0"/>
    <w:rsid w:val="00D6694B"/>
    <w:rsid w:val="00D67D6F"/>
    <w:rsid w:val="00D75385"/>
    <w:rsid w:val="00D8185A"/>
    <w:rsid w:val="00D9545D"/>
    <w:rsid w:val="00DA52EF"/>
    <w:rsid w:val="00DA6034"/>
    <w:rsid w:val="00DB14AA"/>
    <w:rsid w:val="00DC7E87"/>
    <w:rsid w:val="00DD7C74"/>
    <w:rsid w:val="00DE6A45"/>
    <w:rsid w:val="00E004E0"/>
    <w:rsid w:val="00E02343"/>
    <w:rsid w:val="00E03D89"/>
    <w:rsid w:val="00E03F44"/>
    <w:rsid w:val="00E06B0C"/>
    <w:rsid w:val="00E11D27"/>
    <w:rsid w:val="00E27114"/>
    <w:rsid w:val="00E33E09"/>
    <w:rsid w:val="00E461CB"/>
    <w:rsid w:val="00E55378"/>
    <w:rsid w:val="00E75762"/>
    <w:rsid w:val="00E9677C"/>
    <w:rsid w:val="00E970CF"/>
    <w:rsid w:val="00EB03DB"/>
    <w:rsid w:val="00EB5F99"/>
    <w:rsid w:val="00EC0E68"/>
    <w:rsid w:val="00EC6997"/>
    <w:rsid w:val="00EC7547"/>
    <w:rsid w:val="00ED2548"/>
    <w:rsid w:val="00ED27C3"/>
    <w:rsid w:val="00ED7E1E"/>
    <w:rsid w:val="00EE0133"/>
    <w:rsid w:val="00EF0A8E"/>
    <w:rsid w:val="00F01334"/>
    <w:rsid w:val="00F03071"/>
    <w:rsid w:val="00F121F1"/>
    <w:rsid w:val="00F13ACF"/>
    <w:rsid w:val="00F20C38"/>
    <w:rsid w:val="00F30AAA"/>
    <w:rsid w:val="00F56F9A"/>
    <w:rsid w:val="00F57D75"/>
    <w:rsid w:val="00F61338"/>
    <w:rsid w:val="00F644AC"/>
    <w:rsid w:val="00F6547D"/>
    <w:rsid w:val="00F8700D"/>
    <w:rsid w:val="00F917C1"/>
    <w:rsid w:val="00F97869"/>
    <w:rsid w:val="00FA1E53"/>
    <w:rsid w:val="00FA39E9"/>
    <w:rsid w:val="00FA411B"/>
    <w:rsid w:val="00FB4C28"/>
    <w:rsid w:val="00FB5089"/>
    <w:rsid w:val="00FB691E"/>
    <w:rsid w:val="00FC1701"/>
    <w:rsid w:val="00FC718A"/>
    <w:rsid w:val="00FD6002"/>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BD727E-E483-46B5-9E11-67B21663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C9B"/>
    <w:pPr>
      <w:bidi/>
    </w:pPr>
    <w:rPr>
      <w:rFonts w:cs="Narkisim"/>
      <w:sz w:val="22"/>
      <w:szCs w:val="22"/>
      <w:lang w:eastAsia="he-IL"/>
    </w:rPr>
  </w:style>
  <w:style w:type="paragraph" w:styleId="1">
    <w:name w:val="heading 1"/>
    <w:basedOn w:val="a"/>
    <w:next w:val="a"/>
    <w:link w:val="10"/>
    <w:qFormat/>
    <w:rsid w:val="004D5C9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4D5C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5C9B"/>
  </w:style>
  <w:style w:type="paragraph" w:styleId="a3">
    <w:name w:val="footnote text"/>
    <w:basedOn w:val="a"/>
    <w:link w:val="a4"/>
    <w:rsid w:val="004D5C9B"/>
    <w:pPr>
      <w:ind w:left="170" w:hanging="170"/>
      <w:jc w:val="both"/>
    </w:pPr>
    <w:rPr>
      <w:sz w:val="20"/>
      <w:szCs w:val="20"/>
    </w:rPr>
  </w:style>
  <w:style w:type="character" w:styleId="a5">
    <w:name w:val="footnote reference"/>
    <w:semiHidden/>
    <w:rsid w:val="004D5C9B"/>
    <w:rPr>
      <w:vertAlign w:val="superscript"/>
    </w:rPr>
  </w:style>
  <w:style w:type="paragraph" w:styleId="a6">
    <w:name w:val="header"/>
    <w:basedOn w:val="a"/>
    <w:link w:val="a7"/>
    <w:rsid w:val="004D5C9B"/>
    <w:pPr>
      <w:tabs>
        <w:tab w:val="center" w:pos="4153"/>
        <w:tab w:val="right" w:pos="8306"/>
      </w:tabs>
    </w:pPr>
  </w:style>
  <w:style w:type="paragraph" w:styleId="a8">
    <w:name w:val="footer"/>
    <w:basedOn w:val="a"/>
    <w:link w:val="a9"/>
    <w:rsid w:val="004D5C9B"/>
    <w:pPr>
      <w:tabs>
        <w:tab w:val="center" w:pos="4153"/>
        <w:tab w:val="right" w:pos="8306"/>
      </w:tabs>
    </w:pPr>
  </w:style>
  <w:style w:type="paragraph" w:customStyle="1" w:styleId="aa">
    <w:name w:val="כותרת"/>
    <w:basedOn w:val="a"/>
    <w:rsid w:val="004D5C9B"/>
    <w:pPr>
      <w:spacing w:before="240" w:line="320" w:lineRule="atLeast"/>
      <w:jc w:val="center"/>
    </w:pPr>
    <w:rPr>
      <w:rFonts w:cs="David"/>
      <w:b/>
      <w:bCs/>
      <w:spacing w:val="20"/>
      <w:szCs w:val="32"/>
    </w:rPr>
  </w:style>
  <w:style w:type="paragraph" w:customStyle="1" w:styleId="ab">
    <w:name w:val="כותרת קטע"/>
    <w:basedOn w:val="a"/>
    <w:rsid w:val="004D5C9B"/>
    <w:pPr>
      <w:spacing w:before="240" w:line="300" w:lineRule="atLeast"/>
    </w:pPr>
    <w:rPr>
      <w:rFonts w:cs="Arial"/>
      <w:b/>
      <w:bCs/>
      <w:szCs w:val="24"/>
    </w:rPr>
  </w:style>
  <w:style w:type="paragraph" w:customStyle="1" w:styleId="ac">
    <w:name w:val="מקור"/>
    <w:basedOn w:val="a"/>
    <w:rsid w:val="004D5C9B"/>
    <w:pPr>
      <w:spacing w:line="320" w:lineRule="atLeast"/>
      <w:jc w:val="both"/>
    </w:pPr>
    <w:rPr>
      <w:rFonts w:cs="David"/>
      <w:szCs w:val="24"/>
    </w:rPr>
  </w:style>
  <w:style w:type="paragraph" w:customStyle="1" w:styleId="ad">
    <w:name w:val="מחלקי המים"/>
    <w:basedOn w:val="a"/>
    <w:rsid w:val="004D5C9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4D5C9B"/>
    <w:rPr>
      <w:rFonts w:ascii="Tahoma" w:hAnsi="Tahoma" w:cs="Tahoma"/>
      <w:sz w:val="16"/>
      <w:szCs w:val="16"/>
    </w:rPr>
  </w:style>
  <w:style w:type="character" w:styleId="af2">
    <w:name w:val="page number"/>
    <w:basedOn w:val="a0"/>
    <w:rsid w:val="0046571C"/>
  </w:style>
  <w:style w:type="character" w:styleId="Hyperlink">
    <w:name w:val="Hyperlink"/>
    <w:rsid w:val="004D5C9B"/>
    <w:rPr>
      <w:color w:val="0000FF"/>
      <w:u w:val="single"/>
    </w:rPr>
  </w:style>
  <w:style w:type="character" w:customStyle="1" w:styleId="a4">
    <w:name w:val="טקסט הערת שוליים תו"/>
    <w:link w:val="a3"/>
    <w:rsid w:val="004D5C9B"/>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4D5C9B"/>
    <w:rPr>
      <w:rFonts w:cs="David"/>
      <w:b/>
      <w:bCs/>
      <w:sz w:val="22"/>
      <w:szCs w:val="28"/>
      <w:lang w:eastAsia="he-IL"/>
    </w:rPr>
  </w:style>
  <w:style w:type="character" w:customStyle="1" w:styleId="a7">
    <w:name w:val="כותרת עליונה תו"/>
    <w:link w:val="a6"/>
    <w:rsid w:val="004D5C9B"/>
    <w:rPr>
      <w:rFonts w:cs="Narkisim"/>
      <w:sz w:val="22"/>
      <w:szCs w:val="22"/>
      <w:lang w:eastAsia="he-IL"/>
    </w:rPr>
  </w:style>
  <w:style w:type="character" w:customStyle="1" w:styleId="a9">
    <w:name w:val="כותרת תחתונה תו"/>
    <w:link w:val="a8"/>
    <w:rsid w:val="004D5C9B"/>
    <w:rPr>
      <w:rFonts w:cs="Narkisim"/>
      <w:sz w:val="22"/>
      <w:szCs w:val="22"/>
      <w:lang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4D5C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0%D7%95%D7%A8%D7%95-%D7%A9%D7%9C-%D7%A2%D7%9B%D7%A0%D7%90%D7%991"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www.mayim.org.il/?holiday=%d7%94%d7%9c%d7%91-%d7%99%d7%95%d7%93%d7%a2-%d7%90%d7%9d-%d7%9c%d7%a2%d6%b5%d7%a7%d6%b6%d7%9c-%d7%90%d7%9d-%d7%9c%d7%a2%d7%a7%d7%9c%d7%a7%d7%9c%d7%95%d7%aa" TargetMode="External"/><Relationship Id="rId4" Type="http://schemas.openxmlformats.org/officeDocument/2006/relationships/hyperlink" Target="https://www.mayim.org.il/?parasha=%D7%95%D7%92%D7%A8-%D7%9C%D7%90-%D7%AA%D7%95%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D190-5EB6-4BC2-83B3-3A0C3D21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655</Words>
  <Characters>3280</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3928</CharactersWithSpaces>
  <SharedDoc>false</SharedDoc>
  <HLinks>
    <vt:vector size="24" baseType="variant">
      <vt:variant>
        <vt:i4>3604586</vt:i4>
      </vt:variant>
      <vt:variant>
        <vt:i4>9</vt:i4>
      </vt:variant>
      <vt:variant>
        <vt:i4>0</vt:i4>
      </vt:variant>
      <vt:variant>
        <vt:i4>5</vt:i4>
      </vt:variant>
      <vt:variant>
        <vt:lpwstr>https://www.mayim.org.il/?parasha=%D7%95%D7%92%D7%A8-%D7%9C%D7%90-%D7%AA%D7%95%D7%A0%D7%94</vt:lpwstr>
      </vt:variant>
      <vt:variant>
        <vt:lpwstr/>
      </vt:variant>
      <vt:variant>
        <vt:i4>4259912</vt:i4>
      </vt:variant>
      <vt:variant>
        <vt:i4>6</vt:i4>
      </vt:variant>
      <vt:variant>
        <vt:i4>0</vt:i4>
      </vt:variant>
      <vt:variant>
        <vt:i4>5</vt:i4>
      </vt:variant>
      <vt:variant>
        <vt:lpwstr>https://www.mayim.org.il/?parasha=%D7%AA%D7%A0%D7%95%D7%A8%D7%95-%D7%A9%D7%9C-%D7%A2%D7%9B%D7%A0%D7%90%D7%991</vt:lpwstr>
      </vt:variant>
      <vt:variant>
        <vt:lpwstr/>
      </vt:variant>
      <vt:variant>
        <vt:i4>1048590</vt:i4>
      </vt:variant>
      <vt:variant>
        <vt:i4>3</vt:i4>
      </vt:variant>
      <vt:variant>
        <vt:i4>0</vt:i4>
      </vt:variant>
      <vt:variant>
        <vt:i4>5</vt:i4>
      </vt:variant>
      <vt:variant>
        <vt:lpwstr>https://www.mayim.org.il/?meyuhadim=%d7%a9%d7%95%d7%a2%d7%9c-%d7%a2%d7%a7%d7%a8%d7%91-%d7%a9%d7%a8%d7%a3-%d7%95%d7%92%d7%97%d7%9c%d7%99-%d7%90%d7%a9</vt:lpwstr>
      </vt:variant>
      <vt:variant>
        <vt:lpwstr/>
      </vt:variant>
      <vt:variant>
        <vt:i4>4456455</vt:i4>
      </vt:variant>
      <vt:variant>
        <vt:i4>0</vt:i4>
      </vt:variant>
      <vt:variant>
        <vt:i4>0</vt:i4>
      </vt:variant>
      <vt:variant>
        <vt:i4>5</vt:i4>
      </vt:variant>
      <vt:variant>
        <vt:lpwstr>https://www.mayim.org.il/?holiday=%d7%94%d7%9c%d7%91-%d7%99%d7%95%d7%93%d7%a2-%d7%90%d7%9d-%d7%9c%d7%a2%d6%b5%d7%a7%d6%b6%d7%9c-%d7%90%d7%9d-%d7%9c%d7%a2%d7%a7%d7%9c%d7%a7%d7%9c%d7%95%d7%aa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שמעון אפק</cp:lastModifiedBy>
  <cp:revision>2</cp:revision>
  <cp:lastPrinted>2015-04-26T17:50:00Z</cp:lastPrinted>
  <dcterms:created xsi:type="dcterms:W3CDTF">2019-05-16T07:02:00Z</dcterms:created>
  <dcterms:modified xsi:type="dcterms:W3CDTF">2019-05-16T07:02:00Z</dcterms:modified>
</cp:coreProperties>
</file>