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FE" w:rsidRDefault="003C43E1" w:rsidP="006B4FBC">
      <w:pPr>
        <w:pStyle w:val="aa"/>
        <w:rPr>
          <w:rFonts w:hint="cs"/>
          <w:rtl/>
        </w:rPr>
      </w:pPr>
      <w:bookmarkStart w:id="0" w:name="_GoBack"/>
      <w:bookmarkEnd w:id="0"/>
      <w:r>
        <w:rPr>
          <w:rFonts w:hint="cs"/>
          <w:rtl/>
        </w:rPr>
        <w:t xml:space="preserve">מנהג </w:t>
      </w:r>
      <w:r w:rsidR="006B4FBC">
        <w:rPr>
          <w:rFonts w:hint="cs"/>
          <w:rtl/>
        </w:rPr>
        <w:t xml:space="preserve">קשירת הלולב בתום החג </w:t>
      </w:r>
    </w:p>
    <w:p w:rsidR="007721E1" w:rsidRDefault="007721E1" w:rsidP="007721E1">
      <w:pPr>
        <w:pStyle w:val="ab"/>
        <w:rPr>
          <w:rFonts w:hint="cs"/>
          <w:rtl/>
        </w:rPr>
      </w:pPr>
      <w:r w:rsidRPr="00AC46E0">
        <w:rPr>
          <w:rtl/>
        </w:rPr>
        <w:t>מסכת סוכה פרק ג</w:t>
      </w:r>
      <w:r>
        <w:rPr>
          <w:rFonts w:hint="cs"/>
          <w:rtl/>
        </w:rPr>
        <w:t xml:space="preserve"> </w:t>
      </w:r>
      <w:r w:rsidRPr="00AC46E0">
        <w:rPr>
          <w:rtl/>
        </w:rPr>
        <w:t>משנה ח</w:t>
      </w:r>
    </w:p>
    <w:p w:rsidR="007721E1" w:rsidRDefault="007721E1" w:rsidP="003C43E1">
      <w:pPr>
        <w:pStyle w:val="ac"/>
        <w:rPr>
          <w:rFonts w:hint="cs"/>
          <w:rtl/>
        </w:rPr>
      </w:pPr>
      <w:r w:rsidRPr="00AC46E0">
        <w:rPr>
          <w:rtl/>
        </w:rPr>
        <w:t>אין אוגדין את הלולב אלא במינו</w:t>
      </w:r>
      <w:r>
        <w:rPr>
          <w:rFonts w:hint="cs"/>
          <w:rtl/>
        </w:rPr>
        <w:t>,</w:t>
      </w:r>
      <w:r w:rsidRPr="00AC46E0">
        <w:rPr>
          <w:rtl/>
        </w:rPr>
        <w:t xml:space="preserve"> דברי רבי יהודה</w:t>
      </w:r>
      <w:r>
        <w:rPr>
          <w:rFonts w:hint="cs"/>
          <w:rtl/>
        </w:rPr>
        <w:t>.</w:t>
      </w:r>
      <w:r w:rsidRPr="00AC46E0">
        <w:rPr>
          <w:rtl/>
        </w:rPr>
        <w:t xml:space="preserve"> רבי מאיר אומר</w:t>
      </w:r>
      <w:r>
        <w:rPr>
          <w:rFonts w:hint="cs"/>
          <w:rtl/>
        </w:rPr>
        <w:t>:</w:t>
      </w:r>
      <w:r w:rsidRPr="00AC46E0">
        <w:rPr>
          <w:rtl/>
        </w:rPr>
        <w:t xml:space="preserve"> אפילו במשיחה</w:t>
      </w:r>
      <w:r>
        <w:rPr>
          <w:rFonts w:hint="cs"/>
          <w:rtl/>
        </w:rPr>
        <w:t>.</w:t>
      </w:r>
      <w:r w:rsidRPr="00AC46E0">
        <w:rPr>
          <w:rtl/>
        </w:rPr>
        <w:t xml:space="preserve"> אמר רבי מאיר</w:t>
      </w:r>
      <w:r>
        <w:rPr>
          <w:rFonts w:hint="cs"/>
          <w:rtl/>
        </w:rPr>
        <w:t>:</w:t>
      </w:r>
      <w:r w:rsidRPr="00AC46E0">
        <w:rPr>
          <w:rtl/>
        </w:rPr>
        <w:t xml:space="preserve"> מעשה באנשי ירושלים שהיו אוגדין את לולביהן בגימוניות של זהב</w:t>
      </w:r>
      <w:r>
        <w:rPr>
          <w:rFonts w:hint="cs"/>
          <w:rtl/>
        </w:rPr>
        <w:t>.</w:t>
      </w:r>
      <w:r w:rsidRPr="00AC46E0">
        <w:rPr>
          <w:rtl/>
        </w:rPr>
        <w:t xml:space="preserve"> אמרו לו</w:t>
      </w:r>
      <w:r>
        <w:rPr>
          <w:rFonts w:hint="cs"/>
          <w:rtl/>
        </w:rPr>
        <w:t>:</w:t>
      </w:r>
      <w:r w:rsidRPr="00AC46E0">
        <w:rPr>
          <w:rtl/>
        </w:rPr>
        <w:t xml:space="preserve"> במינו היו אוגדין אותו מלמטה</w:t>
      </w:r>
      <w:r>
        <w:rPr>
          <w:rFonts w:hint="cs"/>
          <w:rtl/>
        </w:rPr>
        <w:t>.</w:t>
      </w:r>
      <w:r w:rsidR="003C43E1">
        <w:rPr>
          <w:rStyle w:val="a5"/>
          <w:rtl/>
        </w:rPr>
        <w:footnoteReference w:id="1"/>
      </w:r>
    </w:p>
    <w:p w:rsidR="00714BE7" w:rsidRDefault="00714BE7" w:rsidP="00714BE7">
      <w:pPr>
        <w:pStyle w:val="ab"/>
        <w:rPr>
          <w:rFonts w:hint="cs"/>
          <w:rtl/>
        </w:rPr>
      </w:pPr>
      <w:r>
        <w:rPr>
          <w:rFonts w:hint="cs"/>
          <w:rtl/>
        </w:rPr>
        <w:t>מסכת תענית דף ב עמוד ב</w:t>
      </w:r>
    </w:p>
    <w:p w:rsidR="00714BE7" w:rsidRDefault="00714BE7" w:rsidP="00714BE7">
      <w:pPr>
        <w:pStyle w:val="ac"/>
        <w:rPr>
          <w:rFonts w:hint="cs"/>
          <w:rtl/>
        </w:rPr>
      </w:pPr>
      <w:r>
        <w:rPr>
          <w:rFonts w:hint="cs"/>
          <w:rtl/>
        </w:rPr>
        <w:t>מאימתי מזכירין על הגשמים - רבי אליעזר אומר: משעת נטילת לולב, רבי יהושע אומר: משעת הנחתו. אמר רבי אליעזר: הואיל וארבעת מינין הללו אינן באין אלא לרצות על המים. וכשם שארבע מינין הללו אי אפשר בהם בלא מים - כך אי אפשר לעולם בלא מים. אמר לו רבי יהושע: והלא גשמים בחג אינו אלא סימן קללה! אמר לו רבי אליעזר: אף אני לא אמרתי לשאול, אלא להזכיר.</w:t>
      </w:r>
      <w:r w:rsidR="001F3564">
        <w:rPr>
          <w:rStyle w:val="a5"/>
          <w:rtl/>
        </w:rPr>
        <w:footnoteReference w:id="2"/>
      </w:r>
    </w:p>
    <w:p w:rsidR="00714BE7" w:rsidRDefault="00714BE7" w:rsidP="00714BE7">
      <w:pPr>
        <w:pStyle w:val="ab"/>
        <w:rPr>
          <w:rFonts w:hint="cs"/>
          <w:rtl/>
        </w:rPr>
      </w:pPr>
      <w:r>
        <w:rPr>
          <w:rFonts w:hint="cs"/>
          <w:rtl/>
        </w:rPr>
        <w:t xml:space="preserve">בראשית רבה ו ה </w:t>
      </w:r>
    </w:p>
    <w:p w:rsidR="007D5419" w:rsidRDefault="007D5419" w:rsidP="00EB6250">
      <w:pPr>
        <w:pStyle w:val="ac"/>
        <w:rPr>
          <w:rFonts w:hint="cs"/>
          <w:rtl/>
        </w:rPr>
      </w:pPr>
      <w:r>
        <w:rPr>
          <w:rFonts w:hint="cs"/>
          <w:rtl/>
        </w:rPr>
        <w:t>"ויתן אותם אלהים ברקיע השמים" (בראשית א יז)</w:t>
      </w:r>
      <w:r>
        <w:rPr>
          <w:rStyle w:val="a5"/>
          <w:rtl/>
        </w:rPr>
        <w:footnoteReference w:id="3"/>
      </w:r>
      <w:r>
        <w:rPr>
          <w:rFonts w:hint="cs"/>
          <w:rtl/>
        </w:rPr>
        <w:t xml:space="preserve"> - </w:t>
      </w:r>
      <w:r>
        <w:rPr>
          <w:rtl/>
        </w:rPr>
        <w:t>אמר רבי יוחנן</w:t>
      </w:r>
      <w:r w:rsidR="0005703C">
        <w:rPr>
          <w:rFonts w:hint="cs"/>
          <w:rtl/>
        </w:rPr>
        <w:t>:</w:t>
      </w:r>
      <w:r>
        <w:rPr>
          <w:rtl/>
        </w:rPr>
        <w:t xml:space="preserve"> ג' דברים נתנו מתנה לעולם, ואלו הן</w:t>
      </w:r>
      <w:r w:rsidR="00EB6250">
        <w:rPr>
          <w:rFonts w:hint="cs"/>
          <w:rtl/>
        </w:rPr>
        <w:t>:</w:t>
      </w:r>
      <w:r>
        <w:rPr>
          <w:rtl/>
        </w:rPr>
        <w:t xml:space="preserve"> התורה,</w:t>
      </w:r>
      <w:r>
        <w:rPr>
          <w:rStyle w:val="a5"/>
          <w:rtl/>
        </w:rPr>
        <w:footnoteReference w:id="4"/>
      </w:r>
      <w:r>
        <w:rPr>
          <w:rtl/>
        </w:rPr>
        <w:t xml:space="preserve"> והמאורות, והגשמים</w:t>
      </w:r>
      <w:r w:rsidR="00AA16DE">
        <w:rPr>
          <w:rStyle w:val="a5"/>
          <w:rtl/>
        </w:rPr>
        <w:footnoteReference w:id="5"/>
      </w:r>
      <w:r>
        <w:rPr>
          <w:rFonts w:hint="cs"/>
          <w:rtl/>
        </w:rPr>
        <w:t xml:space="preserve"> ...</w:t>
      </w:r>
      <w:r>
        <w:rPr>
          <w:rtl/>
        </w:rPr>
        <w:t xml:space="preserve"> רבי עזריה בשם רבי יהודה ב"ר סימון אומר</w:t>
      </w:r>
      <w:r>
        <w:rPr>
          <w:rFonts w:hint="cs"/>
          <w:rtl/>
        </w:rPr>
        <w:t>:</w:t>
      </w:r>
      <w:r>
        <w:rPr>
          <w:rtl/>
        </w:rPr>
        <w:t xml:space="preserve"> אף השלום </w:t>
      </w:r>
      <w:r>
        <w:rPr>
          <w:rFonts w:hint="cs"/>
          <w:rtl/>
        </w:rPr>
        <w:t>...</w:t>
      </w:r>
      <w:r>
        <w:rPr>
          <w:rtl/>
        </w:rPr>
        <w:t xml:space="preserve"> רבי תנחומא אמר</w:t>
      </w:r>
      <w:r w:rsidR="00EB6250">
        <w:rPr>
          <w:rFonts w:hint="cs"/>
          <w:rtl/>
        </w:rPr>
        <w:t>:</w:t>
      </w:r>
      <w:r>
        <w:rPr>
          <w:rtl/>
        </w:rPr>
        <w:t xml:space="preserve"> אף ארץ ישראל </w:t>
      </w:r>
      <w:r>
        <w:rPr>
          <w:rFonts w:hint="cs"/>
          <w:rtl/>
        </w:rPr>
        <w:t>...</w:t>
      </w:r>
      <w:r>
        <w:rPr>
          <w:rtl/>
        </w:rPr>
        <w:t xml:space="preserve"> רבנן אמרי</w:t>
      </w:r>
      <w:r w:rsidR="00EB6250">
        <w:rPr>
          <w:rFonts w:hint="cs"/>
          <w:rtl/>
        </w:rPr>
        <w:t>:</w:t>
      </w:r>
      <w:r>
        <w:rPr>
          <w:rtl/>
        </w:rPr>
        <w:t xml:space="preserve"> אף הרחמים </w:t>
      </w:r>
      <w:r>
        <w:rPr>
          <w:rFonts w:hint="cs"/>
          <w:rtl/>
        </w:rPr>
        <w:t xml:space="preserve">... </w:t>
      </w:r>
      <w:r>
        <w:rPr>
          <w:rtl/>
        </w:rPr>
        <w:t xml:space="preserve">רבי </w:t>
      </w:r>
      <w:smartTag w:uri="urn:schemas-microsoft-com:office:smarttags" w:element="PersonName">
        <w:smartTagPr>
          <w:attr w:name="ProductID" w:val="יצחק בר"/>
        </w:smartTagPr>
        <w:r>
          <w:rPr>
            <w:rtl/>
          </w:rPr>
          <w:t>יצחק בר</w:t>
        </w:r>
      </w:smartTag>
      <w:r>
        <w:rPr>
          <w:rtl/>
        </w:rPr>
        <w:t xml:space="preserve"> מריון אומר</w:t>
      </w:r>
      <w:r w:rsidR="00EB6250">
        <w:rPr>
          <w:rFonts w:hint="cs"/>
          <w:rtl/>
        </w:rPr>
        <w:t>:</w:t>
      </w:r>
      <w:r>
        <w:rPr>
          <w:rtl/>
        </w:rPr>
        <w:t xml:space="preserve"> אף הַפְרָש</w:t>
      </w:r>
      <w:r w:rsidR="00716077">
        <w:rPr>
          <w:rtl/>
        </w:rPr>
        <w:t>ַׁ</w:t>
      </w:r>
      <w:r>
        <w:rPr>
          <w:rtl/>
        </w:rPr>
        <w:t>ת הים הגדול</w:t>
      </w:r>
      <w:r w:rsidR="00716077">
        <w:rPr>
          <w:rFonts w:hint="cs"/>
          <w:rtl/>
        </w:rPr>
        <w:t>,</w:t>
      </w:r>
      <w:r w:rsidR="00716077">
        <w:rPr>
          <w:rStyle w:val="a5"/>
          <w:rtl/>
        </w:rPr>
        <w:footnoteReference w:id="6"/>
      </w:r>
      <w:r>
        <w:rPr>
          <w:rtl/>
        </w:rPr>
        <w:t xml:space="preserve"> שנאמר</w:t>
      </w:r>
      <w:r w:rsidR="00AA16DE">
        <w:rPr>
          <w:rFonts w:hint="cs"/>
          <w:rtl/>
        </w:rPr>
        <w:t>: "</w:t>
      </w:r>
      <w:r w:rsidR="00AA16DE">
        <w:rPr>
          <w:rtl/>
        </w:rPr>
        <w:t xml:space="preserve">כֹּה אָמַר </w:t>
      </w:r>
      <w:r w:rsidR="001F33D7">
        <w:rPr>
          <w:rFonts w:hint="cs"/>
          <w:rtl/>
        </w:rPr>
        <w:t>ה'</w:t>
      </w:r>
      <w:r w:rsidR="00AA16DE">
        <w:rPr>
          <w:rtl/>
        </w:rPr>
        <w:t xml:space="preserve"> הַנּוֹתֵן בַּיָּם דָּרֶךְ וּבְמַיִם עַזִּים נְתִיבָה</w:t>
      </w:r>
      <w:r w:rsidR="00AA16DE">
        <w:rPr>
          <w:rFonts w:hint="cs"/>
          <w:rtl/>
        </w:rPr>
        <w:t>"</w:t>
      </w:r>
      <w:r>
        <w:rPr>
          <w:rtl/>
        </w:rPr>
        <w:t xml:space="preserve"> </w:t>
      </w:r>
      <w:r w:rsidR="00AA16DE">
        <w:rPr>
          <w:rtl/>
        </w:rPr>
        <w:t>(ישעיה מג</w:t>
      </w:r>
      <w:r w:rsidR="00AA16DE">
        <w:rPr>
          <w:rFonts w:hint="cs"/>
          <w:rtl/>
        </w:rPr>
        <w:t xml:space="preserve"> ט</w:t>
      </w:r>
      <w:r w:rsidR="00AA16DE">
        <w:rPr>
          <w:rtl/>
        </w:rPr>
        <w:t>)</w:t>
      </w:r>
      <w:r>
        <w:rPr>
          <w:rtl/>
        </w:rPr>
        <w:t>. רבנן אמרי</w:t>
      </w:r>
      <w:r w:rsidR="0005703C">
        <w:rPr>
          <w:rFonts w:hint="cs"/>
          <w:rtl/>
        </w:rPr>
        <w:t>:</w:t>
      </w:r>
      <w:r>
        <w:rPr>
          <w:rtl/>
        </w:rPr>
        <w:t xml:space="preserve"> </w:t>
      </w:r>
      <w:r w:rsidR="0005703C">
        <w:rPr>
          <w:rFonts w:hint="cs"/>
          <w:rtl/>
        </w:rPr>
        <w:t>"</w:t>
      </w:r>
      <w:r>
        <w:rPr>
          <w:rtl/>
        </w:rPr>
        <w:t>הנותן בים דרך</w:t>
      </w:r>
      <w:r w:rsidR="0005703C">
        <w:rPr>
          <w:rFonts w:hint="cs"/>
          <w:rtl/>
        </w:rPr>
        <w:t>"</w:t>
      </w:r>
      <w:r w:rsidR="00EB6250">
        <w:rPr>
          <w:rFonts w:hint="cs"/>
          <w:rtl/>
        </w:rPr>
        <w:t xml:space="preserve"> - </w:t>
      </w:r>
      <w:r>
        <w:rPr>
          <w:rtl/>
        </w:rPr>
        <w:t xml:space="preserve">מעצרת ועד החג, </w:t>
      </w:r>
      <w:r w:rsidR="0005703C">
        <w:rPr>
          <w:rFonts w:hint="cs"/>
          <w:rtl/>
        </w:rPr>
        <w:t>"</w:t>
      </w:r>
      <w:r>
        <w:rPr>
          <w:rtl/>
        </w:rPr>
        <w:t>ובמים עזים נתיבה</w:t>
      </w:r>
      <w:r w:rsidR="0005703C">
        <w:rPr>
          <w:rFonts w:hint="cs"/>
          <w:rtl/>
        </w:rPr>
        <w:t>"</w:t>
      </w:r>
      <w:r w:rsidR="00EB6250">
        <w:rPr>
          <w:rFonts w:hint="cs"/>
          <w:rtl/>
        </w:rPr>
        <w:t xml:space="preserve"> -</w:t>
      </w:r>
      <w:r>
        <w:rPr>
          <w:rtl/>
        </w:rPr>
        <w:t xml:space="preserve"> מן החג ועד החנוכה</w:t>
      </w:r>
      <w:r>
        <w:rPr>
          <w:rFonts w:hint="cs"/>
          <w:rtl/>
        </w:rPr>
        <w:t>.</w:t>
      </w:r>
    </w:p>
    <w:p w:rsidR="00714BE7" w:rsidRDefault="00714BE7" w:rsidP="004E0270">
      <w:pPr>
        <w:pStyle w:val="ac"/>
        <w:rPr>
          <w:rFonts w:hint="cs"/>
          <w:rtl/>
        </w:rPr>
      </w:pPr>
      <w:r>
        <w:rPr>
          <w:rFonts w:hint="cs"/>
          <w:rtl/>
        </w:rPr>
        <w:t>ר' נתן בן אחיו בן אבא היה מ</w:t>
      </w:r>
      <w:r w:rsidR="004E0270">
        <w:rPr>
          <w:rFonts w:hint="eastAsia"/>
          <w:rtl/>
        </w:rPr>
        <w:t>ְ</w:t>
      </w:r>
      <w:r>
        <w:rPr>
          <w:rFonts w:hint="cs"/>
          <w:rtl/>
        </w:rPr>
        <w:t>פ</w:t>
      </w:r>
      <w:r w:rsidR="004E0270">
        <w:rPr>
          <w:rFonts w:hint="eastAsia"/>
          <w:rtl/>
        </w:rPr>
        <w:t>ָ</w:t>
      </w:r>
      <w:r>
        <w:rPr>
          <w:rFonts w:hint="cs"/>
          <w:rtl/>
        </w:rPr>
        <w:t>ר</w:t>
      </w:r>
      <w:r w:rsidR="004E0270">
        <w:rPr>
          <w:rFonts w:hint="eastAsia"/>
          <w:rtl/>
        </w:rPr>
        <w:t>ֵ</w:t>
      </w:r>
      <w:r>
        <w:rPr>
          <w:rFonts w:hint="cs"/>
          <w:rtl/>
        </w:rPr>
        <w:t>ש</w:t>
      </w:r>
      <w:r w:rsidR="004E0270">
        <w:rPr>
          <w:rFonts w:hint="eastAsia"/>
          <w:rtl/>
        </w:rPr>
        <w:t>ׁ</w:t>
      </w:r>
      <w:r>
        <w:rPr>
          <w:rFonts w:hint="cs"/>
          <w:rtl/>
        </w:rPr>
        <w:t xml:space="preserve"> בים</w:t>
      </w:r>
      <w:r w:rsidR="0005703C">
        <w:rPr>
          <w:rFonts w:hint="cs"/>
          <w:rtl/>
        </w:rPr>
        <w:t>.</w:t>
      </w:r>
      <w:r w:rsidR="004E0270">
        <w:rPr>
          <w:rStyle w:val="a5"/>
          <w:rtl/>
        </w:rPr>
        <w:footnoteReference w:id="7"/>
      </w:r>
      <w:r>
        <w:rPr>
          <w:rFonts w:hint="cs"/>
          <w:rtl/>
        </w:rPr>
        <w:t xml:space="preserve"> אמר לו לאחיו: התפלל עלי.</w:t>
      </w:r>
      <w:r w:rsidR="004E0270">
        <w:rPr>
          <w:rStyle w:val="a5"/>
          <w:rtl/>
        </w:rPr>
        <w:footnoteReference w:id="8"/>
      </w:r>
      <w:r>
        <w:rPr>
          <w:rFonts w:hint="cs"/>
          <w:rtl/>
        </w:rPr>
        <w:t xml:space="preserve"> אמר לו: מה אתפלל עליך? משאתה קושר את לולבך, קשור את רגלך. אם תכנס לבית הכנסת ותשמענו מתפללים על הגשם, אל תסמוך על תפילתי.</w:t>
      </w:r>
      <w:r w:rsidR="00600F7F">
        <w:rPr>
          <w:rStyle w:val="a5"/>
          <w:rtl/>
        </w:rPr>
        <w:footnoteReference w:id="9"/>
      </w:r>
    </w:p>
    <w:p w:rsidR="00714BE7" w:rsidRDefault="00714BE7" w:rsidP="00714BE7">
      <w:pPr>
        <w:pStyle w:val="ab"/>
        <w:rPr>
          <w:rtl/>
        </w:rPr>
      </w:pPr>
      <w:r>
        <w:rPr>
          <w:rtl/>
        </w:rPr>
        <w:lastRenderedPageBreak/>
        <w:t xml:space="preserve">מסכת סוכה דף לא עמוד א </w:t>
      </w:r>
    </w:p>
    <w:p w:rsidR="00714BE7" w:rsidRDefault="00714BE7" w:rsidP="004E4670">
      <w:pPr>
        <w:pStyle w:val="ac"/>
        <w:rPr>
          <w:rFonts w:hint="cs"/>
          <w:rtl/>
        </w:rPr>
      </w:pPr>
      <w:r>
        <w:rPr>
          <w:rtl/>
        </w:rPr>
        <w:t>תנא: יבש פסול, רבי יהודה מכשיר.</w:t>
      </w:r>
      <w:r w:rsidR="00BB6882">
        <w:rPr>
          <w:rStyle w:val="a5"/>
          <w:rtl/>
        </w:rPr>
        <w:footnoteReference w:id="10"/>
      </w:r>
      <w:r>
        <w:rPr>
          <w:rtl/>
        </w:rPr>
        <w:t xml:space="preserve"> אמר רבא: מחלוקת בלולב</w:t>
      </w:r>
      <w:r w:rsidR="004E4670">
        <w:rPr>
          <w:rFonts w:hint="cs"/>
          <w:rtl/>
        </w:rPr>
        <w:t>,</w:t>
      </w:r>
      <w:r>
        <w:rPr>
          <w:rtl/>
        </w:rPr>
        <w:t xml:space="preserve"> דרבנן סברי: מקשינן לולב לאתרוג, מה אתרוג בעי הדר - אף לולב בעי הדר. ורבי </w:t>
      </w:r>
      <w:smartTag w:uri="urn:schemas-microsoft-com:office:smarttags" w:element="PersonName">
        <w:smartTagPr>
          <w:attr w:name="ProductID" w:val="יהודה סבר"/>
        </w:smartTagPr>
        <w:r>
          <w:rPr>
            <w:rtl/>
          </w:rPr>
          <w:t>יהודה סבר</w:t>
        </w:r>
      </w:smartTag>
      <w:r>
        <w:rPr>
          <w:rtl/>
        </w:rPr>
        <w:t>: לא מקשינן לולב לאתרוג</w:t>
      </w:r>
      <w:r>
        <w:rPr>
          <w:rFonts w:hint="cs"/>
          <w:rtl/>
        </w:rPr>
        <w:t xml:space="preserve"> ... </w:t>
      </w:r>
      <w:r>
        <w:rPr>
          <w:rtl/>
        </w:rPr>
        <w:t>כמושין - כשרין, יבשין - פסולין.</w:t>
      </w:r>
      <w:r w:rsidR="008421A2">
        <w:rPr>
          <w:rStyle w:val="a5"/>
          <w:rtl/>
        </w:rPr>
        <w:footnoteReference w:id="11"/>
      </w:r>
      <w:r>
        <w:rPr>
          <w:rtl/>
        </w:rPr>
        <w:t xml:space="preserve"> רבי יהודה אומר: אף יבשין.</w:t>
      </w:r>
      <w:r w:rsidR="004D0C21">
        <w:rPr>
          <w:rStyle w:val="a5"/>
          <w:rtl/>
        </w:rPr>
        <w:footnoteReference w:id="12"/>
      </w:r>
      <w:r>
        <w:rPr>
          <w:rtl/>
        </w:rPr>
        <w:t xml:space="preserve"> ואמר רבי יהודה: מעשה</w:t>
      </w:r>
      <w:r>
        <w:rPr>
          <w:rFonts w:hint="cs"/>
          <w:rtl/>
        </w:rPr>
        <w:t xml:space="preserve"> </w:t>
      </w:r>
      <w:r>
        <w:rPr>
          <w:rtl/>
        </w:rPr>
        <w:t>בבני כרכין שהיו מורישין את לולביהן לבני בניהן. אמרו לו</w:t>
      </w:r>
      <w:r w:rsidR="00B706E8">
        <w:rPr>
          <w:rFonts w:hint="cs"/>
          <w:rtl/>
        </w:rPr>
        <w:t>:</w:t>
      </w:r>
      <w:r>
        <w:rPr>
          <w:rtl/>
        </w:rPr>
        <w:t xml:space="preserve"> משם ראיה? אין שעת הדחק ראיה.</w:t>
      </w:r>
      <w:r w:rsidR="004D0C21">
        <w:rPr>
          <w:rStyle w:val="a5"/>
          <w:rtl/>
        </w:rPr>
        <w:footnoteReference w:id="13"/>
      </w:r>
      <w:r>
        <w:rPr>
          <w:rtl/>
        </w:rPr>
        <w:t xml:space="preserve"> </w:t>
      </w:r>
    </w:p>
    <w:p w:rsidR="002C3D90" w:rsidRDefault="002C3D90" w:rsidP="00EB6250">
      <w:pPr>
        <w:pStyle w:val="ab"/>
        <w:rPr>
          <w:rtl/>
        </w:rPr>
      </w:pPr>
      <w:r>
        <w:rPr>
          <w:rtl/>
        </w:rPr>
        <w:t xml:space="preserve">רמב"ם הלכות שופר וסוכה ולולב פרק ח הלכה א </w:t>
      </w:r>
    </w:p>
    <w:p w:rsidR="00A36208" w:rsidRDefault="002C3D90" w:rsidP="00A36208">
      <w:pPr>
        <w:pStyle w:val="ac"/>
        <w:rPr>
          <w:rFonts w:hint="cs"/>
          <w:rtl/>
        </w:rPr>
      </w:pPr>
      <w:r>
        <w:rPr>
          <w:rtl/>
        </w:rPr>
        <w:t>ארבעת מינין האלו שהן</w:t>
      </w:r>
      <w:r w:rsidR="00A36208">
        <w:rPr>
          <w:rFonts w:hint="cs"/>
          <w:rtl/>
        </w:rPr>
        <w:t>:</w:t>
      </w:r>
      <w:r>
        <w:rPr>
          <w:rtl/>
        </w:rPr>
        <w:t xml:space="preserve"> לולב והדס וערבה ואתרוג</w:t>
      </w:r>
      <w:r w:rsidR="00A36208">
        <w:rPr>
          <w:rFonts w:hint="cs"/>
          <w:rtl/>
        </w:rPr>
        <w:t>,</w:t>
      </w:r>
      <w:r>
        <w:rPr>
          <w:rtl/>
        </w:rPr>
        <w:t xml:space="preserve"> שהיה אחד מהן יבש או גזול או גנוב </w:t>
      </w:r>
      <w:r w:rsidR="00A36208">
        <w:rPr>
          <w:rFonts w:hint="cs"/>
          <w:rtl/>
        </w:rPr>
        <w:t>...</w:t>
      </w:r>
      <w:r>
        <w:rPr>
          <w:rtl/>
        </w:rPr>
        <w:t xml:space="preserve"> הרי זה פסול</w:t>
      </w:r>
      <w:r w:rsidR="00A36208">
        <w:rPr>
          <w:rFonts w:hint="cs"/>
          <w:rtl/>
        </w:rPr>
        <w:t xml:space="preserve"> ...</w:t>
      </w:r>
      <w:r>
        <w:rPr>
          <w:rtl/>
        </w:rPr>
        <w:t xml:space="preserve"> היה כמוש ולא גמר ליבש </w:t>
      </w:r>
      <w:r w:rsidR="00631C45">
        <w:rPr>
          <w:rFonts w:hint="cs"/>
          <w:rtl/>
        </w:rPr>
        <w:t xml:space="preserve">- </w:t>
      </w:r>
      <w:r>
        <w:rPr>
          <w:rtl/>
        </w:rPr>
        <w:t>כשר</w:t>
      </w:r>
      <w:r w:rsidR="00A36208">
        <w:rPr>
          <w:rFonts w:hint="cs"/>
          <w:rtl/>
        </w:rPr>
        <w:t>.</w:t>
      </w:r>
      <w:r>
        <w:rPr>
          <w:rtl/>
        </w:rPr>
        <w:t xml:space="preserve"> ובשעת הדחק או בשעת הסכנה לולב היבש כשר</w:t>
      </w:r>
      <w:r w:rsidR="00A36208">
        <w:rPr>
          <w:rFonts w:hint="cs"/>
          <w:rtl/>
        </w:rPr>
        <w:t>.</w:t>
      </w:r>
      <w:r>
        <w:rPr>
          <w:rtl/>
        </w:rPr>
        <w:t xml:space="preserve"> אבל לא שאר המינין.</w:t>
      </w:r>
      <w:r w:rsidR="00902370">
        <w:rPr>
          <w:rStyle w:val="a5"/>
          <w:rtl/>
        </w:rPr>
        <w:footnoteReference w:id="14"/>
      </w:r>
      <w:r>
        <w:rPr>
          <w:rtl/>
        </w:rPr>
        <w:t xml:space="preserve"> </w:t>
      </w:r>
    </w:p>
    <w:p w:rsidR="002C3D90" w:rsidRDefault="002C3D90" w:rsidP="00713B04">
      <w:pPr>
        <w:pStyle w:val="ac"/>
        <w:rPr>
          <w:rFonts w:hint="cs"/>
          <w:rtl/>
        </w:rPr>
      </w:pPr>
      <w:r>
        <w:rPr>
          <w:rtl/>
        </w:rPr>
        <w:t>השגת הראב"ד</w:t>
      </w:r>
      <w:r w:rsidR="00713B04">
        <w:rPr>
          <w:rFonts w:hint="cs"/>
          <w:rtl/>
        </w:rPr>
        <w:t>: "</w:t>
      </w:r>
      <w:r>
        <w:rPr>
          <w:rtl/>
        </w:rPr>
        <w:t>ובשעת הדחק או בשעת הסכנה לולב היבש כשר</w:t>
      </w:r>
      <w:r w:rsidR="00713B04">
        <w:rPr>
          <w:rFonts w:hint="cs"/>
          <w:rtl/>
        </w:rPr>
        <w:t xml:space="preserve">" </w:t>
      </w:r>
      <w:r w:rsidR="00FB2318">
        <w:rPr>
          <w:rFonts w:hint="cs"/>
          <w:rtl/>
        </w:rPr>
        <w:t xml:space="preserve">- </w:t>
      </w:r>
      <w:r w:rsidR="00713B04">
        <w:rPr>
          <w:rFonts w:hint="cs"/>
          <w:rtl/>
        </w:rPr>
        <w:t xml:space="preserve">אמר אברהם: </w:t>
      </w:r>
      <w:r>
        <w:rPr>
          <w:rtl/>
        </w:rPr>
        <w:t>אני איני אומר כן</w:t>
      </w:r>
      <w:r w:rsidR="00713B04">
        <w:rPr>
          <w:rFonts w:hint="cs"/>
          <w:rtl/>
        </w:rPr>
        <w:t>,</w:t>
      </w:r>
      <w:r>
        <w:rPr>
          <w:rtl/>
        </w:rPr>
        <w:t xml:space="preserve"> שהרי אמרו </w:t>
      </w:r>
      <w:r w:rsidR="00713B04">
        <w:rPr>
          <w:rFonts w:hint="cs"/>
          <w:rtl/>
        </w:rPr>
        <w:t>(</w:t>
      </w:r>
      <w:r>
        <w:rPr>
          <w:rtl/>
        </w:rPr>
        <w:t>סוכה</w:t>
      </w:r>
      <w:r w:rsidR="00713B04">
        <w:rPr>
          <w:rFonts w:hint="cs"/>
          <w:rtl/>
        </w:rPr>
        <w:t xml:space="preserve"> </w:t>
      </w:r>
      <w:r>
        <w:rPr>
          <w:rtl/>
        </w:rPr>
        <w:t>כט) יבש פסול וכל מקום שאמרו פסול</w:t>
      </w:r>
      <w:r w:rsidR="00713B04">
        <w:rPr>
          <w:rFonts w:hint="cs"/>
          <w:rtl/>
        </w:rPr>
        <w:t>,</w:t>
      </w:r>
      <w:r>
        <w:rPr>
          <w:rtl/>
        </w:rPr>
        <w:t xml:space="preserve"> אפילו דיעבד הוא</w:t>
      </w:r>
      <w:r w:rsidR="00713B04">
        <w:rPr>
          <w:rFonts w:hint="cs"/>
          <w:rtl/>
        </w:rPr>
        <w:t>.</w:t>
      </w:r>
      <w:r>
        <w:rPr>
          <w:rtl/>
        </w:rPr>
        <w:t xml:space="preserve"> ופסולא דאורייתא הוא וכל פסולא דאורייתא אין ח</w:t>
      </w:r>
      <w:r w:rsidR="00713B04">
        <w:rPr>
          <w:rFonts w:hint="cs"/>
          <w:rtl/>
        </w:rPr>
        <w:t>י</w:t>
      </w:r>
      <w:r>
        <w:rPr>
          <w:rtl/>
        </w:rPr>
        <w:t>לוק בשעת הדחק</w:t>
      </w:r>
      <w:r w:rsidR="00713B04">
        <w:rPr>
          <w:rFonts w:hint="cs"/>
          <w:rtl/>
        </w:rPr>
        <w:t>.</w:t>
      </w:r>
      <w:r>
        <w:rPr>
          <w:rtl/>
        </w:rPr>
        <w:t xml:space="preserve"> וכשאמרו לו</w:t>
      </w:r>
      <w:r w:rsidR="00713B04">
        <w:rPr>
          <w:rFonts w:hint="cs"/>
          <w:rtl/>
        </w:rPr>
        <w:t>: "</w:t>
      </w:r>
      <w:r>
        <w:rPr>
          <w:rtl/>
        </w:rPr>
        <w:t>אין שעת הדחק ראיה</w:t>
      </w:r>
      <w:r w:rsidR="00713B04">
        <w:rPr>
          <w:rFonts w:hint="cs"/>
          <w:rtl/>
        </w:rPr>
        <w:t>"</w:t>
      </w:r>
      <w:r>
        <w:rPr>
          <w:rtl/>
        </w:rPr>
        <w:t xml:space="preserve"> כך אמרו</w:t>
      </w:r>
      <w:r w:rsidR="00713B04">
        <w:rPr>
          <w:rFonts w:hint="cs"/>
          <w:rtl/>
        </w:rPr>
        <w:t>:</w:t>
      </w:r>
      <w:r>
        <w:rPr>
          <w:rtl/>
        </w:rPr>
        <w:t xml:space="preserve"> לינקוט בידייהו כל דהוא</w:t>
      </w:r>
      <w:r w:rsidR="00713B04">
        <w:rPr>
          <w:rFonts w:hint="cs"/>
          <w:rtl/>
        </w:rPr>
        <w:t>,</w:t>
      </w:r>
      <w:r>
        <w:rPr>
          <w:rtl/>
        </w:rPr>
        <w:t xml:space="preserve"> כי היכי דלא לשתכח מינייהו מצות אתרוג</w:t>
      </w:r>
      <w:r w:rsidR="00713B04">
        <w:rPr>
          <w:rFonts w:hint="cs"/>
          <w:rtl/>
        </w:rPr>
        <w:t xml:space="preserve">. ור' יהודה </w:t>
      </w:r>
      <w:r>
        <w:rPr>
          <w:rtl/>
        </w:rPr>
        <w:t>לא העיד אלא שהיו מורישים לולביהם לבניהם</w:t>
      </w:r>
      <w:r w:rsidR="00713B04">
        <w:rPr>
          <w:rFonts w:hint="cs"/>
          <w:rtl/>
        </w:rPr>
        <w:t>,</w:t>
      </w:r>
      <w:r w:rsidR="00713B04">
        <w:rPr>
          <w:rtl/>
        </w:rPr>
        <w:t xml:space="preserve"> ולא אמר שהיו מברכים עליו</w:t>
      </w:r>
      <w:r w:rsidR="00713B04">
        <w:rPr>
          <w:rFonts w:hint="cs"/>
          <w:rtl/>
        </w:rPr>
        <w:t>.</w:t>
      </w:r>
      <w:r w:rsidR="00902370">
        <w:rPr>
          <w:rStyle w:val="a5"/>
          <w:rtl/>
        </w:rPr>
        <w:footnoteReference w:id="15"/>
      </w:r>
    </w:p>
    <w:p w:rsidR="00BF4499" w:rsidRDefault="00CF78A2" w:rsidP="004846A1">
      <w:pPr>
        <w:pStyle w:val="ab"/>
        <w:rPr>
          <w:rFonts w:hint="cs"/>
          <w:rtl/>
        </w:rPr>
      </w:pPr>
      <w:r>
        <w:rPr>
          <w:rFonts w:hint="cs"/>
          <w:rtl/>
        </w:rPr>
        <w:lastRenderedPageBreak/>
        <w:t xml:space="preserve">עגנון, </w:t>
      </w:r>
      <w:r w:rsidR="00BF4499">
        <w:rPr>
          <w:rFonts w:hint="cs"/>
          <w:rtl/>
        </w:rPr>
        <w:t xml:space="preserve">ימים נוראים, פרק שנים עשר </w:t>
      </w:r>
      <w:r w:rsidR="00BF4499">
        <w:rPr>
          <w:rFonts w:cs="David"/>
          <w:rtl/>
        </w:rPr>
        <w:t>–</w:t>
      </w:r>
      <w:r w:rsidR="00BF4499">
        <w:rPr>
          <w:rFonts w:hint="cs"/>
          <w:rtl/>
        </w:rPr>
        <w:t xml:space="preserve"> חייב אדם להסד</w:t>
      </w:r>
      <w:r w:rsidR="004846A1">
        <w:rPr>
          <w:rFonts w:hint="cs"/>
          <w:rtl/>
        </w:rPr>
        <w:t>י</w:t>
      </w:r>
      <w:r w:rsidR="00BF4499">
        <w:rPr>
          <w:rFonts w:hint="cs"/>
          <w:rtl/>
        </w:rPr>
        <w:t>ר תפילתו</w:t>
      </w:r>
    </w:p>
    <w:p w:rsidR="0064134A" w:rsidRDefault="00BF4499" w:rsidP="0064134A">
      <w:pPr>
        <w:pStyle w:val="ac"/>
        <w:rPr>
          <w:rFonts w:hint="cs"/>
          <w:rtl/>
        </w:rPr>
      </w:pPr>
      <w:r>
        <w:rPr>
          <w:rFonts w:hint="cs"/>
          <w:rtl/>
        </w:rPr>
        <w:t>מעשה באחד שישב אצל הצדיק ר' מרדכי מנדבורנא ז"ל. קודם ראש השנה, בא ליטול רש</w:t>
      </w:r>
      <w:r w:rsidR="005131BB">
        <w:rPr>
          <w:rFonts w:hint="cs"/>
          <w:rtl/>
        </w:rPr>
        <w:t>ו</w:t>
      </w:r>
      <w:r>
        <w:rPr>
          <w:rFonts w:hint="cs"/>
          <w:rtl/>
        </w:rPr>
        <w:t>ת להיפטר. אמר לו אותו צדיק</w:t>
      </w:r>
      <w:r w:rsidR="0064134A">
        <w:rPr>
          <w:rFonts w:hint="cs"/>
          <w:rtl/>
        </w:rPr>
        <w:t>:</w:t>
      </w:r>
      <w:r>
        <w:rPr>
          <w:rFonts w:hint="cs"/>
          <w:rtl/>
        </w:rPr>
        <w:t xml:space="preserve"> מפני מה אתה ממהר? אמר לו</w:t>
      </w:r>
      <w:r w:rsidR="0064134A">
        <w:rPr>
          <w:rFonts w:hint="cs"/>
          <w:rtl/>
        </w:rPr>
        <w:t>:</w:t>
      </w:r>
      <w:r>
        <w:rPr>
          <w:rFonts w:hint="cs"/>
          <w:rtl/>
        </w:rPr>
        <w:t xml:space="preserve"> שליח ציבור אני ואני צריך לעיין במחזור ולהסדיר תפילתי. אמר ל</w:t>
      </w:r>
      <w:r w:rsidR="0064134A">
        <w:rPr>
          <w:rFonts w:hint="cs"/>
          <w:rtl/>
        </w:rPr>
        <w:t>ו: המחזור בעינו עומד כדאשתקד, אלא מוטב שתעיין במעשיך ותסדר עצמך.</w:t>
      </w:r>
      <w:r w:rsidR="005131BB">
        <w:rPr>
          <w:rStyle w:val="a5"/>
          <w:rtl/>
        </w:rPr>
        <w:footnoteReference w:id="16"/>
      </w:r>
    </w:p>
    <w:p w:rsidR="000F6FEB" w:rsidRDefault="006B5BFE" w:rsidP="005131BB">
      <w:pPr>
        <w:pStyle w:val="ad"/>
        <w:spacing w:before="240" w:line="300" w:lineRule="atLeast"/>
        <w:rPr>
          <w:rFonts w:hint="cs"/>
          <w:rtl/>
        </w:rPr>
      </w:pPr>
      <w:r w:rsidRPr="00F46A93">
        <w:rPr>
          <w:rFonts w:hint="cs"/>
          <w:rtl/>
        </w:rPr>
        <w:t>חג שמח</w:t>
      </w:r>
      <w:r w:rsidR="00D37021">
        <w:rPr>
          <w:rFonts w:hint="cs"/>
          <w:rtl/>
        </w:rPr>
        <w:t>, שמח</w:t>
      </w:r>
      <w:r w:rsidR="00587281">
        <w:rPr>
          <w:rFonts w:hint="cs"/>
          <w:rtl/>
        </w:rPr>
        <w:t>ה ב</w:t>
      </w:r>
      <w:r w:rsidR="00D37021">
        <w:rPr>
          <w:rFonts w:hint="cs"/>
          <w:rtl/>
        </w:rPr>
        <w:t>תורה</w:t>
      </w:r>
    </w:p>
    <w:p w:rsidR="006B5BFE" w:rsidRPr="00F46A93" w:rsidRDefault="000F6FEB" w:rsidP="000F6FEB">
      <w:pPr>
        <w:pStyle w:val="ad"/>
        <w:spacing w:line="300" w:lineRule="atLeast"/>
        <w:rPr>
          <w:rtl/>
        </w:rPr>
      </w:pPr>
      <w:r>
        <w:rPr>
          <w:rFonts w:hint="cs"/>
          <w:rtl/>
        </w:rPr>
        <w:t>פתקא טבא</w:t>
      </w:r>
      <w:r w:rsidR="006B5BFE" w:rsidRPr="00F46A93">
        <w:rPr>
          <w:rFonts w:hint="cs"/>
          <w:rtl/>
        </w:rPr>
        <w:t xml:space="preserve"> וחורף </w:t>
      </w:r>
      <w:r>
        <w:rPr>
          <w:rFonts w:hint="cs"/>
          <w:rtl/>
        </w:rPr>
        <w:t>גשום ונעים</w:t>
      </w:r>
    </w:p>
    <w:p w:rsidR="006B5BFE" w:rsidRDefault="006B5BFE" w:rsidP="00587281">
      <w:pPr>
        <w:pStyle w:val="ad"/>
        <w:spacing w:line="300" w:lineRule="atLeast"/>
        <w:rPr>
          <w:rFonts w:hint="cs"/>
          <w:rtl/>
        </w:rPr>
      </w:pPr>
      <w:r w:rsidRPr="00F46A93">
        <w:rPr>
          <w:rtl/>
        </w:rPr>
        <w:t>מחלקי המים</w:t>
      </w:r>
    </w:p>
    <w:p w:rsidR="007721E1" w:rsidRDefault="00165765" w:rsidP="007721E1">
      <w:pPr>
        <w:pStyle w:val="ac"/>
        <w:spacing w:before="240"/>
        <w:rPr>
          <w:rFonts w:cs="Narkisim" w:hint="cs"/>
          <w:szCs w:val="22"/>
          <w:rtl/>
        </w:rPr>
      </w:pPr>
      <w:r w:rsidRPr="007721E1">
        <w:rPr>
          <w:rFonts w:cs="Narkisim" w:hint="cs"/>
          <w:b/>
          <w:bCs/>
          <w:szCs w:val="22"/>
          <w:rtl/>
        </w:rPr>
        <w:t>מים אחרונים:</w:t>
      </w:r>
      <w:r w:rsidRPr="007721E1">
        <w:rPr>
          <w:rFonts w:cs="Narkisim" w:hint="cs"/>
          <w:szCs w:val="22"/>
          <w:rtl/>
        </w:rPr>
        <w:t xml:space="preserve"> לפי שהמקורות הנ"ל נראים כ'מסיחים לפי תומם' ואין בהם שמץ של סיפורי גוזמא או דרשות חינוכיות, אלא מספרים בפשטות מהווי חייהם, נראה ש</w:t>
      </w:r>
      <w:r w:rsidR="007721E1">
        <w:rPr>
          <w:rFonts w:cs="Narkisim" w:hint="cs"/>
          <w:szCs w:val="22"/>
          <w:rtl/>
        </w:rPr>
        <w:t>זו משימה נאה ל</w:t>
      </w:r>
      <w:r w:rsidRPr="007721E1">
        <w:rPr>
          <w:rFonts w:cs="Narkisim" w:hint="cs"/>
          <w:szCs w:val="22"/>
          <w:rtl/>
        </w:rPr>
        <w:t>מדענים בני דורנו, לנסות להבין כיצד היו משמרים את הלולב לשנה או אפילו יותר. במערות לחות? בעטיפות צמחים וחומרים מיוחדים? נשמח לכל פיסת מידע בנושא.</w:t>
      </w:r>
      <w:r w:rsidR="007721E1" w:rsidRPr="007721E1">
        <w:rPr>
          <w:rFonts w:cs="Narkisim" w:hint="cs"/>
          <w:szCs w:val="22"/>
          <w:rtl/>
        </w:rPr>
        <w:t xml:space="preserve"> עכ"פ, את מנהג קשירת הלולב לשנה הבאה, נראה לנו לקשור</w:t>
      </w:r>
      <w:r w:rsidR="007721E1">
        <w:rPr>
          <w:rFonts w:cs="Narkisim" w:hint="cs"/>
          <w:szCs w:val="22"/>
          <w:rtl/>
        </w:rPr>
        <w:t xml:space="preserve"> עם הפרידה מהסוכה. </w:t>
      </w:r>
      <w:r w:rsidR="007721E1" w:rsidRPr="003209A2">
        <w:rPr>
          <w:rFonts w:cs="Narkisim" w:hint="cs"/>
          <w:szCs w:val="22"/>
          <w:rtl/>
        </w:rPr>
        <w:t xml:space="preserve">ראה </w:t>
      </w:r>
      <w:r w:rsidR="007721E1">
        <w:rPr>
          <w:rFonts w:cs="Narkisim" w:hint="cs"/>
          <w:szCs w:val="22"/>
          <w:rtl/>
        </w:rPr>
        <w:t xml:space="preserve">הצעתנו </w:t>
      </w:r>
      <w:hyperlink r:id="rId6" w:history="1">
        <w:r w:rsidR="007721E1" w:rsidRPr="007721E1">
          <w:rPr>
            <w:rStyle w:val="Hyperlink"/>
            <w:rFonts w:cs="Narkisim" w:hint="cs"/>
            <w:szCs w:val="22"/>
            <w:rtl/>
          </w:rPr>
          <w:t>לתפילה לפרידה מהסוכה</w:t>
        </w:r>
      </w:hyperlink>
      <w:r w:rsidR="007721E1">
        <w:rPr>
          <w:rFonts w:cs="Narkisim" w:hint="cs"/>
          <w:szCs w:val="22"/>
          <w:rtl/>
        </w:rPr>
        <w:t xml:space="preserve"> וכמו כן </w:t>
      </w:r>
      <w:r w:rsidR="007721E1" w:rsidRPr="003209A2">
        <w:rPr>
          <w:rFonts w:cs="Narkisim" w:hint="cs"/>
          <w:szCs w:val="22"/>
          <w:rtl/>
        </w:rPr>
        <w:t xml:space="preserve">דברינו </w:t>
      </w:r>
      <w:hyperlink r:id="rId7" w:history="1">
        <w:r w:rsidR="007721E1" w:rsidRPr="003209A2">
          <w:rPr>
            <w:rStyle w:val="Hyperlink"/>
            <w:rFonts w:cs="Narkisim" w:hint="cs"/>
            <w:szCs w:val="22"/>
            <w:rtl/>
          </w:rPr>
          <w:t>הפרידה מהסוכה</w:t>
        </w:r>
      </w:hyperlink>
      <w:r w:rsidR="007721E1" w:rsidRPr="003209A2">
        <w:rPr>
          <w:rFonts w:cs="Narkisim" w:hint="cs"/>
          <w:szCs w:val="22"/>
          <w:rtl/>
        </w:rPr>
        <w:t xml:space="preserve"> בחג זה.</w:t>
      </w:r>
    </w:p>
    <w:p w:rsidR="00162261" w:rsidRPr="00162261" w:rsidRDefault="00162261" w:rsidP="00410171">
      <w:pPr>
        <w:pStyle w:val="ac"/>
        <w:spacing w:before="240"/>
        <w:rPr>
          <w:rFonts w:cs="Narkisim"/>
          <w:szCs w:val="22"/>
        </w:rPr>
      </w:pPr>
      <w:r w:rsidRPr="00410171">
        <w:rPr>
          <w:rFonts w:cs="Narkisim" w:hint="cs"/>
          <w:b/>
          <w:bCs/>
          <w:szCs w:val="22"/>
          <w:rtl/>
        </w:rPr>
        <w:t>מים אחרונים בהחלט:</w:t>
      </w:r>
      <w:r>
        <w:rPr>
          <w:rFonts w:cs="Narkisim" w:hint="cs"/>
          <w:szCs w:val="22"/>
          <w:rtl/>
        </w:rPr>
        <w:t xml:space="preserve"> מספר שנים לאחר השלמת גיליון זה נתקלנו בירושלמי </w:t>
      </w:r>
      <w:r w:rsidRPr="00162261">
        <w:rPr>
          <w:rFonts w:cs="Narkisim"/>
          <w:szCs w:val="22"/>
          <w:rtl/>
        </w:rPr>
        <w:t xml:space="preserve">שביעית פרק ז הלכה ב </w:t>
      </w:r>
      <w:r w:rsidR="00410171">
        <w:rPr>
          <w:rFonts w:cs="Narkisim" w:hint="cs"/>
          <w:szCs w:val="22"/>
          <w:rtl/>
        </w:rPr>
        <w:t xml:space="preserve">הדן </w:t>
      </w:r>
      <w:r w:rsidRPr="00162261">
        <w:rPr>
          <w:rFonts w:cs="Narkisim"/>
          <w:szCs w:val="22"/>
          <w:rtl/>
        </w:rPr>
        <w:t xml:space="preserve">בלולבים של כל מיני צמחים שנהגו לכבוש אותם בשמן או אולי גם בצמחים ונוזלים אחרים: "עלין שכבשו עם לולבין". </w:t>
      </w:r>
      <w:r w:rsidR="00410171">
        <w:rPr>
          <w:rFonts w:cs="Narkisim" w:hint="cs"/>
          <w:szCs w:val="22"/>
          <w:rtl/>
        </w:rPr>
        <w:t xml:space="preserve">"לולב" פה אינו ייחודי לעץ התמר (הדקל) ומדובר בלבלוב (הפרי </w:t>
      </w:r>
      <w:r w:rsidR="002B60BA">
        <w:rPr>
          <w:rFonts w:cs="Narkisim" w:hint="cs"/>
          <w:szCs w:val="22"/>
          <w:rtl/>
        </w:rPr>
        <w:t xml:space="preserve">או העלה </w:t>
      </w:r>
      <w:r w:rsidR="00410171">
        <w:rPr>
          <w:rFonts w:cs="Narkisim" w:hint="cs"/>
          <w:szCs w:val="22"/>
          <w:rtl/>
        </w:rPr>
        <w:t xml:space="preserve">הרך) של צמחים שונים. ראה </w:t>
      </w:r>
      <w:hyperlink r:id="rId8" w:history="1">
        <w:r w:rsidR="00410171" w:rsidRPr="00410171">
          <w:rPr>
            <w:rStyle w:val="Hyperlink"/>
            <w:rFonts w:cs="Narkisim" w:hint="cs"/>
            <w:szCs w:val="22"/>
            <w:rtl/>
          </w:rPr>
          <w:t>מאמ</w:t>
        </w:r>
        <w:r w:rsidR="00410171" w:rsidRPr="00410171">
          <w:rPr>
            <w:rStyle w:val="Hyperlink"/>
            <w:rFonts w:cs="Narkisim" w:hint="cs"/>
            <w:szCs w:val="22"/>
            <w:rtl/>
          </w:rPr>
          <w:t>ר</w:t>
        </w:r>
        <w:r w:rsidR="00410171" w:rsidRPr="00410171">
          <w:rPr>
            <w:rStyle w:val="Hyperlink"/>
            <w:rFonts w:cs="Narkisim" w:hint="cs"/>
            <w:szCs w:val="22"/>
            <w:rtl/>
          </w:rPr>
          <w:t>ו של משה רענן בנושא</w:t>
        </w:r>
      </w:hyperlink>
      <w:r w:rsidR="00410171">
        <w:rPr>
          <w:rFonts w:cs="Narkisim" w:hint="cs"/>
          <w:szCs w:val="22"/>
          <w:rtl/>
        </w:rPr>
        <w:t xml:space="preserve">. אבל אולי בכל זאת יש </w:t>
      </w:r>
      <w:r w:rsidRPr="00162261">
        <w:rPr>
          <w:rFonts w:cs="Narkisim"/>
          <w:szCs w:val="22"/>
          <w:rtl/>
        </w:rPr>
        <w:t>כאן קצה חוט</w:t>
      </w:r>
      <w:r w:rsidR="00410171">
        <w:rPr>
          <w:rFonts w:cs="Narkisim" w:hint="cs"/>
          <w:szCs w:val="22"/>
          <w:rtl/>
        </w:rPr>
        <w:t xml:space="preserve">. אולי </w:t>
      </w:r>
      <w:r w:rsidRPr="00162261">
        <w:rPr>
          <w:rFonts w:cs="Narkisim"/>
          <w:szCs w:val="22"/>
          <w:rtl/>
        </w:rPr>
        <w:t xml:space="preserve">באופן דומה שמרו </w:t>
      </w:r>
      <w:r w:rsidR="00410171">
        <w:rPr>
          <w:rFonts w:cs="Narkisim" w:hint="cs"/>
          <w:szCs w:val="22"/>
          <w:rtl/>
        </w:rPr>
        <w:t xml:space="preserve">גם </w:t>
      </w:r>
      <w:r w:rsidRPr="00162261">
        <w:rPr>
          <w:rFonts w:cs="Narkisim"/>
          <w:szCs w:val="22"/>
          <w:rtl/>
        </w:rPr>
        <w:t>את הלולבי</w:t>
      </w:r>
      <w:r w:rsidR="00410171">
        <w:rPr>
          <w:rFonts w:cs="Narkisim"/>
          <w:szCs w:val="22"/>
          <w:rtl/>
        </w:rPr>
        <w:t xml:space="preserve">ם של סוכות באיזו </w:t>
      </w:r>
      <w:r w:rsidR="002B60BA">
        <w:rPr>
          <w:rFonts w:cs="Narkisim" w:hint="cs"/>
          <w:szCs w:val="22"/>
          <w:rtl/>
        </w:rPr>
        <w:t xml:space="preserve">סוג של כבישה: </w:t>
      </w:r>
      <w:r w:rsidR="00410171">
        <w:rPr>
          <w:rFonts w:cs="Narkisim"/>
          <w:szCs w:val="22"/>
          <w:rtl/>
        </w:rPr>
        <w:t>תמיסה או חליטה</w:t>
      </w:r>
      <w:r w:rsidR="00410171">
        <w:rPr>
          <w:rFonts w:cs="Narkisim" w:hint="cs"/>
          <w:szCs w:val="22"/>
          <w:rtl/>
        </w:rPr>
        <w:t>.</w:t>
      </w:r>
    </w:p>
    <w:p w:rsidR="00162261" w:rsidRPr="00162261" w:rsidRDefault="00162261" w:rsidP="007721E1">
      <w:pPr>
        <w:pStyle w:val="ac"/>
        <w:spacing w:before="240"/>
        <w:rPr>
          <w:rFonts w:cs="Narkisim" w:hint="cs"/>
          <w:szCs w:val="22"/>
          <w:rtl/>
        </w:rPr>
      </w:pPr>
    </w:p>
    <w:p w:rsidR="00165765" w:rsidRPr="00165765" w:rsidRDefault="00165765" w:rsidP="00165765">
      <w:pPr>
        <w:pStyle w:val="ad"/>
        <w:spacing w:before="120"/>
        <w:rPr>
          <w:rFonts w:hint="cs"/>
          <w:b w:val="0"/>
          <w:bCs w:val="0"/>
          <w:szCs w:val="22"/>
          <w:rtl/>
        </w:rPr>
      </w:pPr>
    </w:p>
    <w:sectPr w:rsidR="00165765" w:rsidRPr="00165765" w:rsidSect="004E0270">
      <w:headerReference w:type="default" r:id="rId9"/>
      <w:footerReference w:type="default" r:id="rId10"/>
      <w:headerReference w:type="first" r:id="rId11"/>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633" w:rsidRDefault="00841633">
      <w:r>
        <w:separator/>
      </w:r>
    </w:p>
  </w:endnote>
  <w:endnote w:type="continuationSeparator" w:id="0">
    <w:p w:rsidR="00841633" w:rsidRDefault="0084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D32" w:rsidRDefault="002C4D32" w:rsidP="00956C59">
    <w:pPr>
      <w:pStyle w:val="a8"/>
      <w:jc w:val="right"/>
      <w:rPr>
        <w:rFonts w:hint="cs"/>
        <w:rtl/>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E0270">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E0270">
      <w:rPr>
        <w:rStyle w:val="af"/>
        <w:noProof/>
        <w:rtl/>
      </w:rPr>
      <w:t>3</w:t>
    </w:r>
    <w:r w:rsidRPr="00F8747C">
      <w:rPr>
        <w:rStyle w:val="af"/>
      </w:rPr>
      <w:fldChar w:fldCharType="end"/>
    </w:r>
  </w:p>
  <w:p w:rsidR="003209A2" w:rsidRPr="00F8747C" w:rsidRDefault="003209A2" w:rsidP="00956C59">
    <w:pPr>
      <w:pStyle w:val="a8"/>
      <w:jc w:val="right"/>
      <w:rPr>
        <w:rFonts w:hint="cs"/>
      </w:rPr>
    </w:pPr>
  </w:p>
  <w:p w:rsidR="002C4D32" w:rsidRDefault="002C4D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633" w:rsidRDefault="00841633">
      <w:pPr>
        <w:rPr>
          <w:lang w:eastAsia="en-US"/>
        </w:rPr>
      </w:pPr>
      <w:r>
        <w:rPr>
          <w:rFonts w:cs="Miriam"/>
        </w:rPr>
        <w:separator/>
      </w:r>
    </w:p>
  </w:footnote>
  <w:footnote w:type="continuationSeparator" w:id="0">
    <w:p w:rsidR="00841633" w:rsidRDefault="00841633">
      <w:r>
        <w:continuationSeparator/>
      </w:r>
    </w:p>
  </w:footnote>
  <w:footnote w:id="1">
    <w:p w:rsidR="003C43E1" w:rsidRDefault="003C43E1">
      <w:pPr>
        <w:pStyle w:val="a3"/>
        <w:rPr>
          <w:rFonts w:hint="cs"/>
          <w:rtl/>
        </w:rPr>
      </w:pPr>
      <w:r>
        <w:rPr>
          <w:rStyle w:val="a5"/>
        </w:rPr>
        <w:footnoteRef/>
      </w:r>
      <w:r>
        <w:rPr>
          <w:rtl/>
        </w:rPr>
        <w:t xml:space="preserve"> </w:t>
      </w:r>
      <w:r>
        <w:rPr>
          <w:rFonts w:hint="cs"/>
          <w:rtl/>
        </w:rPr>
        <w:t>ראה המקבילה ב</w:t>
      </w:r>
      <w:r w:rsidRPr="00745C0A">
        <w:rPr>
          <w:rtl/>
        </w:rPr>
        <w:t>תוספתא מסכת סוכה (ליברמן) פרק ב</w:t>
      </w:r>
      <w:r>
        <w:rPr>
          <w:rFonts w:hint="cs"/>
          <w:rtl/>
        </w:rPr>
        <w:t xml:space="preserve"> </w:t>
      </w:r>
      <w:r w:rsidRPr="00745C0A">
        <w:rPr>
          <w:rtl/>
        </w:rPr>
        <w:t>הלכה י</w:t>
      </w:r>
      <w:r>
        <w:rPr>
          <w:rFonts w:hint="cs"/>
          <w:rtl/>
        </w:rPr>
        <w:t>: "</w:t>
      </w:r>
      <w:r w:rsidRPr="00745C0A">
        <w:rPr>
          <w:rtl/>
        </w:rPr>
        <w:t>לולב בין אגוד בין שאינו אגוד כשר</w:t>
      </w:r>
      <w:r>
        <w:rPr>
          <w:rFonts w:hint="cs"/>
          <w:rtl/>
        </w:rPr>
        <w:t>.</w:t>
      </w:r>
      <w:r w:rsidRPr="00745C0A">
        <w:rPr>
          <w:rtl/>
        </w:rPr>
        <w:t xml:space="preserve"> ר' יהודה או</w:t>
      </w:r>
      <w:r>
        <w:rPr>
          <w:rFonts w:hint="cs"/>
          <w:rtl/>
        </w:rPr>
        <w:t>מר:</w:t>
      </w:r>
      <w:r w:rsidRPr="00745C0A">
        <w:rPr>
          <w:rtl/>
        </w:rPr>
        <w:t xml:space="preserve"> אגוד כשר ושאינו אגוד פסול</w:t>
      </w:r>
      <w:r>
        <w:rPr>
          <w:rFonts w:hint="cs"/>
          <w:rtl/>
        </w:rPr>
        <w:t>.</w:t>
      </w:r>
      <w:r w:rsidRPr="00745C0A">
        <w:rPr>
          <w:rtl/>
        </w:rPr>
        <w:t xml:space="preserve"> לא יאגדנו ביום טוב אבל נוטל הימנו שרביט ואוגדו</w:t>
      </w:r>
      <w:r>
        <w:rPr>
          <w:rFonts w:hint="cs"/>
          <w:rtl/>
        </w:rPr>
        <w:t>.</w:t>
      </w:r>
      <w:r w:rsidRPr="00745C0A">
        <w:rPr>
          <w:rtl/>
        </w:rPr>
        <w:t xml:space="preserve"> אין אוגדין את הלולב אלא במינו דברי ר' יהודה</w:t>
      </w:r>
      <w:r>
        <w:rPr>
          <w:rFonts w:hint="cs"/>
          <w:rtl/>
        </w:rPr>
        <w:t>.</w:t>
      </w:r>
      <w:r w:rsidRPr="00745C0A">
        <w:rPr>
          <w:rtl/>
        </w:rPr>
        <w:t xml:space="preserve"> ר' מאיר אומ</w:t>
      </w:r>
      <w:r>
        <w:rPr>
          <w:rFonts w:hint="cs"/>
          <w:rtl/>
        </w:rPr>
        <w:t xml:space="preserve">ר: </w:t>
      </w:r>
      <w:r w:rsidRPr="00745C0A">
        <w:rPr>
          <w:rtl/>
        </w:rPr>
        <w:t>אפי</w:t>
      </w:r>
      <w:r>
        <w:rPr>
          <w:rFonts w:hint="cs"/>
          <w:rtl/>
        </w:rPr>
        <w:t>לו</w:t>
      </w:r>
      <w:r w:rsidRPr="00745C0A">
        <w:rPr>
          <w:rtl/>
        </w:rPr>
        <w:t xml:space="preserve"> במשיחה</w:t>
      </w:r>
      <w:r>
        <w:rPr>
          <w:rFonts w:hint="cs"/>
          <w:rtl/>
        </w:rPr>
        <w:t>.</w:t>
      </w:r>
      <w:r w:rsidRPr="00745C0A">
        <w:rPr>
          <w:rtl/>
        </w:rPr>
        <w:t xml:space="preserve"> אמ</w:t>
      </w:r>
      <w:r>
        <w:rPr>
          <w:rFonts w:hint="cs"/>
          <w:rtl/>
        </w:rPr>
        <w:t>ר</w:t>
      </w:r>
      <w:r w:rsidRPr="00745C0A">
        <w:rPr>
          <w:rtl/>
        </w:rPr>
        <w:t xml:space="preserve"> ר' מאיר</w:t>
      </w:r>
      <w:r>
        <w:rPr>
          <w:rFonts w:hint="cs"/>
          <w:rtl/>
        </w:rPr>
        <w:t>:</w:t>
      </w:r>
      <w:r w:rsidRPr="00745C0A">
        <w:rPr>
          <w:rtl/>
        </w:rPr>
        <w:t xml:space="preserve"> מעשה באנשי ירושלם שהיו אוגדין את לולביהן בגימוניות של זהב</w:t>
      </w:r>
      <w:r>
        <w:rPr>
          <w:rFonts w:hint="cs"/>
          <w:rtl/>
        </w:rPr>
        <w:t>.</w:t>
      </w:r>
      <w:r w:rsidRPr="00745C0A">
        <w:rPr>
          <w:rtl/>
        </w:rPr>
        <w:t xml:space="preserve"> אמ</w:t>
      </w:r>
      <w:r>
        <w:rPr>
          <w:rFonts w:hint="cs"/>
          <w:rtl/>
        </w:rPr>
        <w:t>רו</w:t>
      </w:r>
      <w:r w:rsidRPr="00745C0A">
        <w:rPr>
          <w:rtl/>
        </w:rPr>
        <w:t xml:space="preserve"> לו</w:t>
      </w:r>
      <w:r>
        <w:rPr>
          <w:rFonts w:hint="cs"/>
          <w:rtl/>
        </w:rPr>
        <w:t>:</w:t>
      </w:r>
      <w:r w:rsidRPr="00745C0A">
        <w:rPr>
          <w:rtl/>
        </w:rPr>
        <w:t xml:space="preserve"> משם ראיה</w:t>
      </w:r>
      <w:r>
        <w:rPr>
          <w:rFonts w:hint="cs"/>
          <w:rtl/>
        </w:rPr>
        <w:t>?</w:t>
      </w:r>
      <w:r w:rsidRPr="00745C0A">
        <w:rPr>
          <w:rtl/>
        </w:rPr>
        <w:t xml:space="preserve"> אף הן היו אוגדין אותו במינו מלמטה</w:t>
      </w:r>
      <w:r>
        <w:rPr>
          <w:rFonts w:hint="cs"/>
          <w:rtl/>
        </w:rPr>
        <w:t>".</w:t>
      </w:r>
      <w:r>
        <w:rPr>
          <w:rFonts w:hint="cs"/>
          <w:szCs w:val="22"/>
          <w:rtl/>
        </w:rPr>
        <w:t xml:space="preserve"> </w:t>
      </w:r>
      <w:r w:rsidRPr="003209A2">
        <w:rPr>
          <w:rFonts w:hint="cs"/>
          <w:rtl/>
        </w:rPr>
        <w:t xml:space="preserve">קשירת או אגידת הלולב במהלך החג, כחלק ממצוות ארבעת המינים, </w:t>
      </w:r>
      <w:r>
        <w:rPr>
          <w:rFonts w:hint="cs"/>
          <w:rtl/>
        </w:rPr>
        <w:t xml:space="preserve">היא דבר ידוע. אך מה פשר </w:t>
      </w:r>
      <w:r w:rsidRPr="003209A2">
        <w:rPr>
          <w:rFonts w:hint="cs"/>
          <w:rtl/>
        </w:rPr>
        <w:t>קשירת הלולב בסוף החג</w:t>
      </w:r>
      <w:r>
        <w:rPr>
          <w:rFonts w:hint="cs"/>
          <w:rtl/>
        </w:rPr>
        <w:t>?</w:t>
      </w:r>
    </w:p>
  </w:footnote>
  <w:footnote w:id="2">
    <w:p w:rsidR="002C4D32" w:rsidRDefault="002C4D32" w:rsidP="003209A2">
      <w:pPr>
        <w:pStyle w:val="a3"/>
        <w:rPr>
          <w:rFonts w:hint="cs"/>
          <w:rtl/>
        </w:rPr>
      </w:pPr>
      <w:r>
        <w:rPr>
          <w:rStyle w:val="a5"/>
        </w:rPr>
        <w:footnoteRef/>
      </w:r>
      <w:r>
        <w:rPr>
          <w:rtl/>
        </w:rPr>
        <w:t xml:space="preserve"> </w:t>
      </w:r>
      <w:r>
        <w:rPr>
          <w:rFonts w:hint="cs"/>
          <w:rtl/>
        </w:rPr>
        <w:t xml:space="preserve">השווה ברייתא זו, עם המשנה הפותחת את מסכת תענית, בה מוזכרת מחלוקת ר' אליעזר בן הורקנוס ור' יהושע בן חנניה, מאימתי מתחילים לומר משיב הרוח ומוריד הגשם, מה שמכונה בלשון חז"ל הזכרת (גבורת) גשמים. האם מהיום הראשון של חג הסוכות, בדומה להזכרת הטל ביום הראשון של פסח </w:t>
      </w:r>
      <w:r>
        <w:rPr>
          <w:rtl/>
        </w:rPr>
        <w:t>–</w:t>
      </w:r>
      <w:r>
        <w:rPr>
          <w:rFonts w:hint="cs"/>
          <w:rtl/>
        </w:rPr>
        <w:t xml:space="preserve"> שיטת ר' אליעזר; או ביום האחרון, שמיני עצרת </w:t>
      </w:r>
      <w:r>
        <w:rPr>
          <w:rtl/>
        </w:rPr>
        <w:t>–</w:t>
      </w:r>
      <w:r>
        <w:rPr>
          <w:rFonts w:hint="cs"/>
          <w:rtl/>
        </w:rPr>
        <w:t xml:space="preserve"> שיטת ר' יהושע, שכך אנחנו נוהגים להלכה. במשנה מוזכרת רק המחלוקת עצמה והטיעון של ר' יהושע שזה סימן קללה (</w:t>
      </w:r>
      <w:r w:rsidR="003209A2">
        <w:rPr>
          <w:rFonts w:hint="cs"/>
          <w:rtl/>
        </w:rPr>
        <w:t>עפ"י סוכה פרק ב משנה ט: "</w:t>
      </w:r>
      <w:r>
        <w:rPr>
          <w:rFonts w:hint="cs"/>
          <w:rtl/>
        </w:rPr>
        <w:t xml:space="preserve">משל </w:t>
      </w:r>
      <w:r>
        <w:rPr>
          <w:rtl/>
        </w:rPr>
        <w:t>לעבד שבא למזוג כוס לרבו ושפך לו קיתון על פניו</w:t>
      </w:r>
      <w:r w:rsidR="003209A2">
        <w:rPr>
          <w:rFonts w:hint="cs"/>
          <w:rtl/>
        </w:rPr>
        <w:t>"</w:t>
      </w:r>
      <w:r>
        <w:rPr>
          <w:rFonts w:hint="cs"/>
          <w:rtl/>
        </w:rPr>
        <w:t>) ותשובתו המצטדקת-מה של ר' אליעזר</w:t>
      </w:r>
      <w:r w:rsidR="003209A2">
        <w:rPr>
          <w:rFonts w:hint="cs"/>
          <w:rtl/>
        </w:rPr>
        <w:t>: "אף אני לא אמרתי לשאול, אלא להזכיר"</w:t>
      </w:r>
      <w:r>
        <w:rPr>
          <w:rFonts w:hint="cs"/>
          <w:rtl/>
        </w:rPr>
        <w:t xml:space="preserve">. מה באמת שיטת ר' אליעזר? מה הטיעון שלו? את זאת, משלימה לנו הברייתא כאן. טענת ר' אליעזר היא שהרי כל העיסוק בחג הסוכות החל מארבעת המינים וכלה בניסוך המים, קשור בגשם. בכל תפילותינו (ראה הושענות) אנחנו מדברים ועוסקים במים ובגשם. ובראשם, ארבעת המינים. אפשר שמחלוקת זו קשורה שוב במחלוקתם המרכזית אימתי נברא העולם (ראה דברינו </w:t>
      </w:r>
      <w:hyperlink r:id="rId1" w:history="1">
        <w:r w:rsidRPr="00D72E33">
          <w:rPr>
            <w:rStyle w:val="Hyperlink"/>
            <w:rFonts w:hint="cs"/>
            <w:rtl/>
          </w:rPr>
          <w:t>יום הרת עולם</w:t>
        </w:r>
      </w:hyperlink>
      <w:r>
        <w:rPr>
          <w:rFonts w:hint="cs"/>
          <w:rtl/>
        </w:rPr>
        <w:t xml:space="preserve"> בראש השנה) ובפירוש הפסוק, בראשית ב ו: "</w:t>
      </w:r>
      <w:r>
        <w:rPr>
          <w:rtl/>
        </w:rPr>
        <w:t>וְאֵד יַעֲלֶה מִן הָאָרֶץ וְהִשְׁקָה אֶת כָּל פְּנֵי הָאֲדָמָה</w:t>
      </w:r>
      <w:r>
        <w:rPr>
          <w:rFonts w:hint="cs"/>
          <w:rtl/>
        </w:rPr>
        <w:t>" (ראה ראש השנה יא ע"א, סוכה יא ע"ב). אך עניינינו בברייתא זו באה מכיוון אחר, מהביטוי של ר' יהושע, שכמותו נפסקה ההלכה כאן (פיצוי על כך שבנושא המרכזי</w:t>
      </w:r>
      <w:r w:rsidR="003209A2">
        <w:rPr>
          <w:rFonts w:hint="cs"/>
          <w:rtl/>
        </w:rPr>
        <w:t>:</w:t>
      </w:r>
      <w:r>
        <w:rPr>
          <w:rFonts w:hint="cs"/>
          <w:rtl/>
        </w:rPr>
        <w:t xml:space="preserve"> מועד בריאת העולם, נפסק כר' אליעזר?): "משעת הנחתו". מה היא הנחה זו של הלולב עם תום ימי חג הסוכות? סתם השמה בצד, או שמא מעשה "אקטיבי" יותר, משהו שקשור לגשם שיבוא ואולי לא יבוא.</w:t>
      </w:r>
    </w:p>
  </w:footnote>
  <w:footnote w:id="3">
    <w:p w:rsidR="002C4D32" w:rsidRDefault="002C4D32" w:rsidP="007D5419">
      <w:pPr>
        <w:pStyle w:val="a3"/>
        <w:rPr>
          <w:rFonts w:hint="cs"/>
          <w:rtl/>
        </w:rPr>
      </w:pPr>
      <w:r>
        <w:rPr>
          <w:rStyle w:val="a5"/>
        </w:rPr>
        <w:footnoteRef/>
      </w:r>
      <w:r>
        <w:rPr>
          <w:rtl/>
        </w:rPr>
        <w:t xml:space="preserve"> </w:t>
      </w:r>
      <w:r>
        <w:rPr>
          <w:rFonts w:hint="cs"/>
          <w:rtl/>
        </w:rPr>
        <w:t>הדרשן ודאי חש שעד כאן מצאנו במלאכת הבריאה את הפעל ברא, אמר, עשה, קרא, ראה והנה הפעל נתן שמרמז על נתינה (למישהו) ומשם קצרה הדרך למתנה. וכפי שנראה אין זו מתנה קלה שהרי כל מזג האוויר וקיום העולם תלוי במאורות, במאור הגדול עכ"פ.</w:t>
      </w:r>
    </w:p>
  </w:footnote>
  <w:footnote w:id="4">
    <w:p w:rsidR="002C4D32" w:rsidRDefault="002C4D32" w:rsidP="007D5419">
      <w:pPr>
        <w:pStyle w:val="a3"/>
        <w:rPr>
          <w:rFonts w:hint="cs"/>
        </w:rPr>
      </w:pPr>
      <w:r>
        <w:rPr>
          <w:rStyle w:val="a5"/>
        </w:rPr>
        <w:footnoteRef/>
      </w:r>
      <w:r>
        <w:rPr>
          <w:rtl/>
        </w:rPr>
        <w:t xml:space="preserve"> </w:t>
      </w:r>
      <w:r>
        <w:rPr>
          <w:rFonts w:hint="cs"/>
          <w:rtl/>
        </w:rPr>
        <w:t xml:space="preserve">ראה דברינו </w:t>
      </w:r>
      <w:hyperlink r:id="rId2" w:history="1">
        <w:r w:rsidRPr="00D72E33">
          <w:rPr>
            <w:rStyle w:val="Hyperlink"/>
            <w:rFonts w:hint="cs"/>
            <w:rtl/>
          </w:rPr>
          <w:t>ויתן אל משה</w:t>
        </w:r>
      </w:hyperlink>
      <w:r>
        <w:rPr>
          <w:rFonts w:hint="cs"/>
          <w:rtl/>
        </w:rPr>
        <w:t xml:space="preserve"> בפרשת כי תשא, בהם הרחבנו במתנתה של תורה</w:t>
      </w:r>
      <w:r w:rsidR="0005703C">
        <w:rPr>
          <w:rFonts w:hint="cs"/>
          <w:rtl/>
        </w:rPr>
        <w:t>,</w:t>
      </w:r>
      <w:r>
        <w:rPr>
          <w:rFonts w:hint="cs"/>
          <w:rtl/>
        </w:rPr>
        <w:t xml:space="preserve"> שאחרי כל היגיעה והלימוד, ניתנת לאדם במתנה.</w:t>
      </w:r>
    </w:p>
  </w:footnote>
  <w:footnote w:id="5">
    <w:p w:rsidR="002C4D32" w:rsidRDefault="002C4D32" w:rsidP="00AA16DE">
      <w:pPr>
        <w:pStyle w:val="a3"/>
        <w:rPr>
          <w:rFonts w:hint="cs"/>
        </w:rPr>
      </w:pPr>
      <w:r>
        <w:rPr>
          <w:rStyle w:val="a5"/>
        </w:rPr>
        <w:footnoteRef/>
      </w:r>
      <w:r>
        <w:rPr>
          <w:rtl/>
        </w:rPr>
        <w:t xml:space="preserve"> </w:t>
      </w:r>
      <w:r>
        <w:rPr>
          <w:rFonts w:hint="cs"/>
          <w:rtl/>
        </w:rPr>
        <w:t xml:space="preserve">בשל הגשמים, חוזר מדרש זה גם בויקרא רבה לה ח, פרשת בחוקותי, על הפסוק: "ונתתי גשמיכם בעיתם". ראה דברינו </w:t>
      </w:r>
      <w:hyperlink r:id="rId3" w:history="1">
        <w:r w:rsidRPr="00D72E33">
          <w:rPr>
            <w:rStyle w:val="Hyperlink"/>
            <w:rFonts w:hint="cs"/>
            <w:rtl/>
          </w:rPr>
          <w:t>גשמים בעיתם</w:t>
        </w:r>
      </w:hyperlink>
      <w:r>
        <w:rPr>
          <w:rFonts w:hint="cs"/>
          <w:rtl/>
        </w:rPr>
        <w:t xml:space="preserve"> בפרשה זו.</w:t>
      </w:r>
    </w:p>
  </w:footnote>
  <w:footnote w:id="6">
    <w:p w:rsidR="002C4D32" w:rsidRDefault="002C4D32" w:rsidP="00716077">
      <w:pPr>
        <w:pStyle w:val="a3"/>
        <w:rPr>
          <w:rFonts w:hint="cs"/>
        </w:rPr>
      </w:pPr>
      <w:r>
        <w:rPr>
          <w:rStyle w:val="a5"/>
        </w:rPr>
        <w:footnoteRef/>
      </w:r>
      <w:r>
        <w:rPr>
          <w:rtl/>
        </w:rPr>
        <w:t xml:space="preserve"> </w:t>
      </w:r>
      <w:r>
        <w:rPr>
          <w:rFonts w:hint="cs"/>
          <w:rtl/>
        </w:rPr>
        <w:t>ולהלן המ</w:t>
      </w:r>
      <w:r>
        <w:rPr>
          <w:rFonts w:hint="eastAsia"/>
          <w:rtl/>
        </w:rPr>
        <w:t>ְ</w:t>
      </w:r>
      <w:r>
        <w:rPr>
          <w:rFonts w:hint="cs"/>
          <w:rtl/>
        </w:rPr>
        <w:t>פ</w:t>
      </w:r>
      <w:r>
        <w:rPr>
          <w:rFonts w:hint="eastAsia"/>
          <w:rtl/>
        </w:rPr>
        <w:t>ָ</w:t>
      </w:r>
      <w:r>
        <w:rPr>
          <w:rFonts w:hint="cs"/>
          <w:rtl/>
        </w:rPr>
        <w:t>ר</w:t>
      </w:r>
      <w:r>
        <w:rPr>
          <w:rFonts w:hint="eastAsia"/>
          <w:rtl/>
        </w:rPr>
        <w:t>ֵ</w:t>
      </w:r>
      <w:r>
        <w:rPr>
          <w:rFonts w:hint="cs"/>
          <w:rtl/>
        </w:rPr>
        <w:t>ש</w:t>
      </w:r>
      <w:r>
        <w:rPr>
          <w:rFonts w:hint="eastAsia"/>
          <w:rtl/>
        </w:rPr>
        <w:t>ׁ</w:t>
      </w:r>
      <w:r>
        <w:rPr>
          <w:rFonts w:hint="cs"/>
          <w:rtl/>
        </w:rPr>
        <w:t xml:space="preserve"> בים, בשי"ן ימנית, שפורש מהיבשה לים ולא המפרש</w:t>
      </w:r>
      <w:r>
        <w:rPr>
          <w:rFonts w:hint="eastAsia"/>
          <w:rtl/>
        </w:rPr>
        <w:t>ׂ</w:t>
      </w:r>
      <w:r>
        <w:rPr>
          <w:rFonts w:hint="cs"/>
          <w:rtl/>
        </w:rPr>
        <w:t xml:space="preserve"> בשי"ן שמאלית, למרות הקרבה למפרש האנייה.</w:t>
      </w:r>
    </w:p>
  </w:footnote>
  <w:footnote w:id="7">
    <w:p w:rsidR="004E0270" w:rsidRDefault="004E0270" w:rsidP="004E0270">
      <w:pPr>
        <w:pStyle w:val="a3"/>
        <w:rPr>
          <w:rFonts w:hint="cs"/>
          <w:rtl/>
        </w:rPr>
      </w:pPr>
      <w:r>
        <w:rPr>
          <w:rStyle w:val="a5"/>
        </w:rPr>
        <w:footnoteRef/>
      </w:r>
      <w:r>
        <w:rPr>
          <w:rtl/>
        </w:rPr>
        <w:t xml:space="preserve"> </w:t>
      </w:r>
      <w:r>
        <w:rPr>
          <w:rFonts w:hint="cs"/>
          <w:rtl/>
        </w:rPr>
        <w:t>יורד ים, ספן.</w:t>
      </w:r>
    </w:p>
  </w:footnote>
  <w:footnote w:id="8">
    <w:p w:rsidR="004E0270" w:rsidRDefault="004E0270" w:rsidP="004E0270">
      <w:pPr>
        <w:pStyle w:val="a3"/>
        <w:rPr>
          <w:rFonts w:hint="cs"/>
          <w:rtl/>
        </w:rPr>
      </w:pPr>
      <w:r>
        <w:rPr>
          <w:rStyle w:val="a5"/>
        </w:rPr>
        <w:footnoteRef/>
      </w:r>
      <w:r>
        <w:rPr>
          <w:rtl/>
        </w:rPr>
        <w:t xml:space="preserve"> </w:t>
      </w:r>
      <w:r>
        <w:rPr>
          <w:rFonts w:hint="cs"/>
          <w:rtl/>
        </w:rPr>
        <w:t xml:space="preserve">ראה </w:t>
      </w:r>
      <w:r>
        <w:rPr>
          <w:rtl/>
        </w:rPr>
        <w:t xml:space="preserve">ירושלמי תענית פרק ד </w:t>
      </w:r>
      <w:r>
        <w:rPr>
          <w:rFonts w:hint="cs"/>
          <w:rtl/>
        </w:rPr>
        <w:t>הלכה ד: "</w:t>
      </w:r>
      <w:r>
        <w:rPr>
          <w:rtl/>
        </w:rPr>
        <w:t>תני</w:t>
      </w:r>
      <w:r>
        <w:rPr>
          <w:rFonts w:hint="cs"/>
          <w:rtl/>
        </w:rPr>
        <w:t>:</w:t>
      </w:r>
      <w:r>
        <w:rPr>
          <w:rtl/>
        </w:rPr>
        <w:t xml:space="preserve"> אנשי משמר היו מתענים בכל יום</w:t>
      </w:r>
      <w:r>
        <w:rPr>
          <w:rFonts w:hint="cs"/>
          <w:rtl/>
        </w:rPr>
        <w:t>.</w:t>
      </w:r>
      <w:r>
        <w:rPr>
          <w:rtl/>
        </w:rPr>
        <w:t xml:space="preserve"> בשני היו מתענין על מפרשי ימים</w:t>
      </w:r>
      <w:r>
        <w:rPr>
          <w:rFonts w:hint="cs"/>
          <w:rtl/>
        </w:rPr>
        <w:t>:</w:t>
      </w:r>
      <w:r>
        <w:rPr>
          <w:rtl/>
        </w:rPr>
        <w:t xml:space="preserve"> ויאמר אלהי</w:t>
      </w:r>
      <w:r>
        <w:rPr>
          <w:rFonts w:hint="cs"/>
          <w:rtl/>
        </w:rPr>
        <w:t>ם</w:t>
      </w:r>
      <w:r>
        <w:rPr>
          <w:rtl/>
        </w:rPr>
        <w:t xml:space="preserve"> יהי רקיע בתוך המים</w:t>
      </w:r>
      <w:r>
        <w:rPr>
          <w:rFonts w:hint="cs"/>
          <w:rtl/>
        </w:rPr>
        <w:t>.</w:t>
      </w:r>
      <w:r>
        <w:rPr>
          <w:rtl/>
        </w:rPr>
        <w:t xml:space="preserve"> בשלישי היו מתענין על יוצאי דרכים</w:t>
      </w:r>
      <w:r>
        <w:rPr>
          <w:rFonts w:hint="cs"/>
          <w:rtl/>
        </w:rPr>
        <w:t>:</w:t>
      </w:r>
      <w:r>
        <w:rPr>
          <w:rtl/>
        </w:rPr>
        <w:t xml:space="preserve"> ויאמר אלהים יקוו המים מתחת השמים</w:t>
      </w:r>
      <w:r>
        <w:rPr>
          <w:rFonts w:hint="cs"/>
          <w:rtl/>
        </w:rPr>
        <w:t>.</w:t>
      </w:r>
      <w:r>
        <w:rPr>
          <w:rtl/>
        </w:rPr>
        <w:t xml:space="preserve"> ברביעי היו מתענין על התינוקות </w:t>
      </w:r>
      <w:r>
        <w:rPr>
          <w:rFonts w:hint="cs"/>
          <w:rtl/>
        </w:rPr>
        <w:t>וכו' ".</w:t>
      </w:r>
    </w:p>
  </w:footnote>
  <w:footnote w:id="9">
    <w:p w:rsidR="002C4D32" w:rsidRDefault="002C4D32" w:rsidP="0005703C">
      <w:pPr>
        <w:pStyle w:val="a3"/>
        <w:rPr>
          <w:rFonts w:hint="cs"/>
          <w:rtl/>
        </w:rPr>
      </w:pPr>
      <w:r>
        <w:rPr>
          <w:rStyle w:val="a5"/>
        </w:rPr>
        <w:footnoteRef/>
      </w:r>
      <w:r>
        <w:rPr>
          <w:rtl/>
        </w:rPr>
        <w:t xml:space="preserve"> </w:t>
      </w:r>
      <w:r>
        <w:rPr>
          <w:rFonts w:hint="cs"/>
          <w:rtl/>
        </w:rPr>
        <w:t xml:space="preserve">ראה בהמשך המדרש שם הסיפור על </w:t>
      </w:r>
      <w:r>
        <w:rPr>
          <w:rtl/>
        </w:rPr>
        <w:t>ר' יהושע ב</w:t>
      </w:r>
      <w:r>
        <w:rPr>
          <w:rFonts w:hint="cs"/>
          <w:rtl/>
        </w:rPr>
        <w:t xml:space="preserve">נו של </w:t>
      </w:r>
      <w:r>
        <w:rPr>
          <w:rtl/>
        </w:rPr>
        <w:t xml:space="preserve">רבי תנחומא ב"ר חייא </w:t>
      </w:r>
      <w:r>
        <w:rPr>
          <w:rFonts w:hint="cs"/>
          <w:rtl/>
        </w:rPr>
        <w:t xml:space="preserve">מכפר אגין שלא שעה לאזהרת המטרונה ואף אביו שנראה לו בחלום ויצא לים בימים מסוכנים אלה וטבע בים והתקיים בו הפסוק: "וגם קבורה לא הייתה לו". ראה כל המדרש הזה בירושלמי </w:t>
      </w:r>
      <w:r>
        <w:rPr>
          <w:rtl/>
        </w:rPr>
        <w:t xml:space="preserve">מסכת שבת פרק ב </w:t>
      </w:r>
      <w:r>
        <w:rPr>
          <w:rFonts w:hint="cs"/>
          <w:rtl/>
        </w:rPr>
        <w:t>הלכה ו: "</w:t>
      </w:r>
      <w:r>
        <w:rPr>
          <w:rtl/>
        </w:rPr>
        <w:t>אמר רבי לוי</w:t>
      </w:r>
      <w:r>
        <w:rPr>
          <w:rFonts w:hint="cs"/>
          <w:rtl/>
        </w:rPr>
        <w:t>:</w:t>
      </w:r>
      <w:r>
        <w:rPr>
          <w:rtl/>
        </w:rPr>
        <w:t xml:space="preserve"> בשלשה מקומות השטן מצוי לקטרג</w:t>
      </w:r>
      <w:r>
        <w:rPr>
          <w:rFonts w:hint="cs"/>
          <w:rtl/>
        </w:rPr>
        <w:t>:</w:t>
      </w:r>
      <w:r>
        <w:rPr>
          <w:rtl/>
        </w:rPr>
        <w:t xml:space="preserve"> המהלך בדרך בעצמו והישן ב</w:t>
      </w:r>
      <w:smartTag w:uri="urn:schemas-microsoft-com:office:smarttags" w:element="PersonName">
        <w:smartTagPr>
          <w:attr w:name="ProductID" w:val="בית אפל"/>
        </w:smartTagPr>
        <w:r>
          <w:rPr>
            <w:rtl/>
          </w:rPr>
          <w:t>בית אפל</w:t>
        </w:r>
      </w:smartTag>
      <w:r>
        <w:rPr>
          <w:rtl/>
        </w:rPr>
        <w:t xml:space="preserve"> לעצמו והמפרש בים הגדול</w:t>
      </w:r>
      <w:r>
        <w:rPr>
          <w:rFonts w:hint="cs"/>
          <w:rtl/>
        </w:rPr>
        <w:t>.</w:t>
      </w:r>
      <w:r>
        <w:rPr>
          <w:rtl/>
        </w:rPr>
        <w:t xml:space="preserve"> אמר רבי </w:t>
      </w:r>
      <w:smartTag w:uri="urn:schemas-microsoft-com:office:smarttags" w:element="PersonName">
        <w:smartTagPr>
          <w:attr w:name="ProductID" w:val="יצחק בר"/>
        </w:smartTagPr>
        <w:r>
          <w:rPr>
            <w:rtl/>
          </w:rPr>
          <w:t>יצחק בר</w:t>
        </w:r>
      </w:smartTag>
      <w:r>
        <w:rPr>
          <w:rtl/>
        </w:rPr>
        <w:t xml:space="preserve"> מריון</w:t>
      </w:r>
      <w:r>
        <w:rPr>
          <w:rFonts w:hint="cs"/>
          <w:rtl/>
        </w:rPr>
        <w:t>:</w:t>
      </w:r>
      <w:r>
        <w:rPr>
          <w:rtl/>
        </w:rPr>
        <w:t xml:space="preserve"> אילולי דכתיב כה אמר ה' הנותן בים דרך</w:t>
      </w:r>
      <w:r>
        <w:rPr>
          <w:rFonts w:hint="cs"/>
          <w:rtl/>
        </w:rPr>
        <w:t>,</w:t>
      </w:r>
      <w:r>
        <w:rPr>
          <w:rtl/>
        </w:rPr>
        <w:t xml:space="preserve"> כיון שהיה אדם יורד לתוכו היה מת</w:t>
      </w:r>
      <w:r>
        <w:rPr>
          <w:rFonts w:hint="cs"/>
          <w:rtl/>
        </w:rPr>
        <w:t>.</w:t>
      </w:r>
      <w:r>
        <w:rPr>
          <w:rtl/>
        </w:rPr>
        <w:t xml:space="preserve"> ורבנן אמרין</w:t>
      </w:r>
      <w:r>
        <w:rPr>
          <w:rFonts w:hint="cs"/>
          <w:rtl/>
        </w:rPr>
        <w:t>:</w:t>
      </w:r>
      <w:r>
        <w:rPr>
          <w:rtl/>
        </w:rPr>
        <w:t xml:space="preserve"> הנותן בים דרך מן העצרת ועד החג</w:t>
      </w:r>
      <w:r>
        <w:rPr>
          <w:rFonts w:hint="cs"/>
          <w:rtl/>
        </w:rPr>
        <w:t>;</w:t>
      </w:r>
      <w:r>
        <w:rPr>
          <w:rtl/>
        </w:rPr>
        <w:t xml:space="preserve"> ובמים עזים נתיבה מן החג ועד חנוכה</w:t>
      </w:r>
      <w:r>
        <w:rPr>
          <w:rFonts w:hint="cs"/>
          <w:rtl/>
        </w:rPr>
        <w:t xml:space="preserve"> וכו' ". וכן הוא בנוסח דומה בקהלת רבה ג ג. מה שהירושלמי וקהלת רבה מכנים "השטן מצוי" או "נעשה השטן קטיגורו", מכנה בראשית רבה בלשון חיובית "מתנה" </w:t>
      </w:r>
      <w:r>
        <w:rPr>
          <w:rtl/>
        </w:rPr>
        <w:t>–</w:t>
      </w:r>
      <w:r>
        <w:rPr>
          <w:rFonts w:hint="cs"/>
          <w:rtl/>
        </w:rPr>
        <w:t xml:space="preserve"> שנכנס לסכנה ומקבל כביכול את חייו במתנה. האם היו אלה ימי "ירחי דכלה" של זבולון, שבשאר הימים (תרתי משמע) היה "</w:t>
      </w:r>
      <w:r>
        <w:rPr>
          <w:rtl/>
        </w:rPr>
        <w:t>מפרש בימים ועוסק בפרגמטיא ובא ונותן לתוך פיו של</w:t>
      </w:r>
      <w:r>
        <w:rPr>
          <w:rFonts w:hint="cs"/>
          <w:rtl/>
        </w:rPr>
        <w:t xml:space="preserve"> </w:t>
      </w:r>
      <w:r>
        <w:rPr>
          <w:rtl/>
        </w:rPr>
        <w:t>יששכר</w:t>
      </w:r>
      <w:r>
        <w:rPr>
          <w:rFonts w:hint="cs"/>
          <w:rtl/>
        </w:rPr>
        <w:t>" (ויק</w:t>
      </w:r>
      <w:r>
        <w:rPr>
          <w:rtl/>
        </w:rPr>
        <w:t>רא רבה כה</w:t>
      </w:r>
      <w:r>
        <w:rPr>
          <w:rFonts w:hint="cs"/>
          <w:rtl/>
        </w:rPr>
        <w:t xml:space="preserve"> ב), ואילו בין סוכות לחנוכה היה יושב ולומד? הפלגנו קצת במי הים הסוערים, שזה נושא מעניין בפני עצמו, אך באמת הבאנו מדרש זה בגלל האמרה: "משאתה קושר לולבך, קשור את רגלך". קשירת הרגל זה ברור </w:t>
      </w:r>
      <w:r>
        <w:rPr>
          <w:rtl/>
        </w:rPr>
        <w:t>–</w:t>
      </w:r>
      <w:r>
        <w:rPr>
          <w:rFonts w:hint="cs"/>
          <w:rtl/>
        </w:rPr>
        <w:t xml:space="preserve"> מניעת היציאה לים הגדול. אך מה היא קשירת הלולב? בפשטות, ניתן לומר שמדובר בקשירת הלולב, אגידתו, בתחילת החג. אך מפרשים אחרים, על הירושלמי ועל בראשית רבה אומרים שמדובר בקשירת הלולב במוצאי החג, בשמיני של חג, כדי להצניעו לשנה הבאה. וכן משמע בפשטות, הן </w:t>
      </w:r>
      <w:r w:rsidR="0005703C">
        <w:rPr>
          <w:rFonts w:hint="cs"/>
          <w:rtl/>
        </w:rPr>
        <w:t>ב</w:t>
      </w:r>
      <w:r>
        <w:rPr>
          <w:rFonts w:hint="cs"/>
          <w:rtl/>
        </w:rPr>
        <w:t>של השימוש בשורש קשר ולא אגד</w:t>
      </w:r>
      <w:r w:rsidR="0005703C">
        <w:rPr>
          <w:rFonts w:hint="cs"/>
          <w:rtl/>
        </w:rPr>
        <w:t>,</w:t>
      </w:r>
      <w:r>
        <w:rPr>
          <w:rFonts w:hint="cs"/>
          <w:rtl/>
        </w:rPr>
        <w:t xml:space="preserve"> והן בגלל התקופה הארוכה מהחג ועד חנוכה, משמע שהלולב היה קשור כל אותה העת ולא רק בימי החג. בכך מקבלת גם "הנחתו" של הלולב לעיל משמעות חזקה יותר. </w:t>
      </w:r>
      <w:r w:rsidR="0005703C">
        <w:rPr>
          <w:rFonts w:hint="cs"/>
          <w:rtl/>
        </w:rPr>
        <w:t xml:space="preserve">אין זו סתם הנחה בצד משהסתיימה המצווה. </w:t>
      </w:r>
      <w:r>
        <w:rPr>
          <w:rFonts w:hint="cs"/>
          <w:rtl/>
        </w:rPr>
        <w:t>אך זו בדיוק השאלה שאנו חוזרים ושואלים: מה מקור ועניין זה של קשירת הלולב במוצאי חג הסוכות?</w:t>
      </w:r>
    </w:p>
  </w:footnote>
  <w:footnote w:id="10">
    <w:p w:rsidR="00BB6882" w:rsidRDefault="00BB6882" w:rsidP="00BB6882">
      <w:pPr>
        <w:pStyle w:val="a3"/>
        <w:rPr>
          <w:rFonts w:hint="cs"/>
        </w:rPr>
      </w:pPr>
      <w:r>
        <w:rPr>
          <w:rStyle w:val="a5"/>
        </w:rPr>
        <w:footnoteRef/>
      </w:r>
      <w:r>
        <w:rPr>
          <w:rtl/>
        </w:rPr>
        <w:t xml:space="preserve"> </w:t>
      </w:r>
      <w:r>
        <w:rPr>
          <w:rFonts w:hint="cs"/>
          <w:rtl/>
        </w:rPr>
        <w:t>בראש פרק ג של מסכת סוכה, מביאה המשנה, בפירוט לגבי כל אחד מארבעה המינים: לולב הגזול והיבש, הדס הגזול והיבש, ערבה הגזולה והיבשה ואתרוג הגזול והיבש, שהם פסולים ואין מי שחולק בדבר. הגמרא מביאה מקור תנאי, "תנא", שאומר בקצרה: "יבש פסול, ר' יהודה מכשיר" והיא תדון עליו בהמשך. פירוש שטיינזלץ במקום מציין שמקור תנאי זה הוא תוספתא, אך אנחנו לא מצאנו תוספתא זו.</w:t>
      </w:r>
    </w:p>
  </w:footnote>
  <w:footnote w:id="11">
    <w:p w:rsidR="002C4D32" w:rsidRDefault="002C4D32" w:rsidP="008421A2">
      <w:pPr>
        <w:pStyle w:val="a3"/>
        <w:rPr>
          <w:rFonts w:hint="cs"/>
        </w:rPr>
      </w:pPr>
      <w:r>
        <w:rPr>
          <w:rStyle w:val="a5"/>
        </w:rPr>
        <w:footnoteRef/>
      </w:r>
      <w:r>
        <w:rPr>
          <w:rtl/>
        </w:rPr>
        <w:t xml:space="preserve"> </w:t>
      </w:r>
      <w:r>
        <w:rPr>
          <w:rFonts w:hint="cs"/>
          <w:rtl/>
        </w:rPr>
        <w:t>זו שיטת חכמים שארבעת המינים פסולים כשהם יבשים לגמרי וכשרים אם הם כמושים (יבשים מעט) ובפרט אם אין אחרים. ועכ"פ, לא יביא מינים אחרים ולא יוסיף כפי שהברייתא שם אומרת: "לא מצא אתרוג</w:t>
      </w:r>
      <w:r w:rsidR="0005703C">
        <w:rPr>
          <w:rFonts w:hint="cs"/>
          <w:rtl/>
        </w:rPr>
        <w:t>,</w:t>
      </w:r>
      <w:r>
        <w:rPr>
          <w:rFonts w:hint="cs"/>
          <w:rtl/>
        </w:rPr>
        <w:t xml:space="preserve"> לא יביא</w:t>
      </w:r>
      <w:r w:rsidR="0005703C">
        <w:rPr>
          <w:rFonts w:hint="cs"/>
          <w:rtl/>
        </w:rPr>
        <w:t>,</w:t>
      </w:r>
      <w:r>
        <w:rPr>
          <w:rFonts w:hint="cs"/>
          <w:rtl/>
        </w:rPr>
        <w:t xml:space="preserve"> לא פריש (חבוש) ולא רימון ולא דבר אחר". ההידור הוא במין עצמו ולא בתחליפים. ויבש איננו מהודר או שמא כבר בכלל לא המין עצמו.</w:t>
      </w:r>
    </w:p>
  </w:footnote>
  <w:footnote w:id="12">
    <w:p w:rsidR="002C4D32" w:rsidRDefault="002C4D32" w:rsidP="004D0C21">
      <w:pPr>
        <w:pStyle w:val="a3"/>
        <w:rPr>
          <w:rFonts w:hint="cs"/>
          <w:rtl/>
        </w:rPr>
      </w:pPr>
      <w:r>
        <w:rPr>
          <w:rStyle w:val="a5"/>
        </w:rPr>
        <w:footnoteRef/>
      </w:r>
      <w:r>
        <w:rPr>
          <w:rtl/>
        </w:rPr>
        <w:t xml:space="preserve"> </w:t>
      </w:r>
      <w:r>
        <w:rPr>
          <w:rFonts w:hint="cs"/>
          <w:rtl/>
        </w:rPr>
        <w:t>כשרים. ולפי המשך הגמרא נראה שר' יהודה מדבר רק על לולב. לא על אתרוג, כמפורש שם בגמרא; ולא במשתמע גם על הדס וערבה, רק על לולב.</w:t>
      </w:r>
    </w:p>
  </w:footnote>
  <w:footnote w:id="13">
    <w:p w:rsidR="002C4D32" w:rsidRDefault="002C4D32" w:rsidP="00165765">
      <w:pPr>
        <w:pStyle w:val="a3"/>
        <w:rPr>
          <w:rFonts w:hint="cs"/>
        </w:rPr>
      </w:pPr>
      <w:r>
        <w:rPr>
          <w:rStyle w:val="a5"/>
        </w:rPr>
        <w:footnoteRef/>
      </w:r>
      <w:r>
        <w:rPr>
          <w:rtl/>
        </w:rPr>
        <w:t xml:space="preserve"> </w:t>
      </w:r>
      <w:r>
        <w:rPr>
          <w:rFonts w:hint="cs"/>
          <w:rtl/>
        </w:rPr>
        <w:t xml:space="preserve">ראה רש"י שם: "מעשה בבני כרכין </w:t>
      </w:r>
      <w:r>
        <w:rPr>
          <w:rtl/>
        </w:rPr>
        <w:t>–</w:t>
      </w:r>
      <w:r>
        <w:rPr>
          <w:rFonts w:hint="cs"/>
          <w:rtl/>
        </w:rPr>
        <w:t xml:space="preserve"> שאין דרין על מקום פרדסין ואין דקלים מצויים שם". ובשטיינזלץ: "בני כרכין, שהיו רחוקים ממקום גידול המינים". כרכים הם הערים, בניגוד לעיירות וכפרים (ראה מסכת מגילה בדיני קריאת מגילת אסתר)</w:t>
      </w:r>
      <w:r w:rsidR="00631C45">
        <w:rPr>
          <w:rFonts w:hint="cs"/>
          <w:rtl/>
        </w:rPr>
        <w:t xml:space="preserve">. אך גם אם שם </w:t>
      </w:r>
      <w:r>
        <w:rPr>
          <w:rFonts w:hint="cs"/>
          <w:rtl/>
        </w:rPr>
        <w:t xml:space="preserve">לא גדלו המינים, </w:t>
      </w:r>
      <w:r w:rsidR="00631C45">
        <w:rPr>
          <w:rFonts w:hint="cs"/>
          <w:rtl/>
        </w:rPr>
        <w:t xml:space="preserve">שם הם </w:t>
      </w:r>
      <w:r>
        <w:rPr>
          <w:rFonts w:hint="cs"/>
          <w:rtl/>
        </w:rPr>
        <w:t xml:space="preserve">השווקים ומקום מפגש סוחרים. ושם לא היו לולבים? והיו מורישים את הלולבים לנכדים? לא לשנה אחת, אלא למספר שנים?! ועכ"פ, מכאן קבלנו חיזוק ברור שעניין קשירת הלולב, ואף הנחתו, היה, לפחות במקומות מסוימים, בסוף החג לצורך שמירתו, אולי בשיטות שאין אנחנו מכירים היום, לשנה הבאה, אם לא ליותר מכך, למקרה שלא יימצא לולב בשנה הבאה! מה שודאי לא עשו לגבי ערבות, הדסים, ובמשתמע מהגמרא שם, גם לא לגבי אתרוג. ואנו שואלים: מה פשר עניין זה הן להלכה והן במציאות החיים של ימי המשנה והתלמוד (בארץ ישראל)? בחיפושנו במהלך החג מצאנו בספרו של פרופ' </w:t>
      </w:r>
      <w:smartTag w:uri="urn:schemas-microsoft-com:office:smarttags" w:element="PersonName">
        <w:smartTagPr>
          <w:attr w:name="ProductID" w:val="זהר עמר"/>
        </w:smartTagPr>
        <w:r>
          <w:rPr>
            <w:rFonts w:hint="cs"/>
            <w:rtl/>
          </w:rPr>
          <w:t>זהר עמר</w:t>
        </w:r>
      </w:smartTag>
      <w:r>
        <w:rPr>
          <w:rFonts w:hint="cs"/>
          <w:rtl/>
        </w:rPr>
        <w:t xml:space="preserve"> מאוניברסיטת </w:t>
      </w:r>
      <w:smartTag w:uri="urn:schemas-microsoft-com:office:smarttags" w:element="PersonName">
        <w:smartTagPr>
          <w:attr w:name="ProductID" w:val="בר אילן"/>
        </w:smartTagPr>
        <w:r>
          <w:rPr>
            <w:rFonts w:hint="cs"/>
            <w:rtl/>
          </w:rPr>
          <w:t>בר אילן</w:t>
        </w:r>
      </w:smartTag>
      <w:r>
        <w:rPr>
          <w:rFonts w:hint="cs"/>
          <w:rtl/>
        </w:rPr>
        <w:t>: ארבעת המינים, מו"ל עצמי, הפצת שלם, תש"ע</w:t>
      </w:r>
      <w:r w:rsidR="00631C45">
        <w:rPr>
          <w:rFonts w:hint="cs"/>
          <w:rtl/>
        </w:rPr>
        <w:t>, את הקטע הבא</w:t>
      </w:r>
      <w:r>
        <w:rPr>
          <w:rFonts w:hint="cs"/>
          <w:rtl/>
        </w:rPr>
        <w:t xml:space="preserve">: "מדובר בקהילות ישראל שישבו במקומות מרוחקים שבהם לא היה ניתן להשיג לולבים במשך תקופה ארוכה של כמה שנים". </w:t>
      </w:r>
      <w:r w:rsidR="00631C45">
        <w:rPr>
          <w:rFonts w:hint="cs"/>
          <w:rtl/>
        </w:rPr>
        <w:t xml:space="preserve">אך עדיין </w:t>
      </w:r>
      <w:r>
        <w:rPr>
          <w:rFonts w:hint="cs"/>
          <w:rtl/>
        </w:rPr>
        <w:t xml:space="preserve">לא נחה דעתנו. מה גם שקשירת הלולב </w:t>
      </w:r>
      <w:r w:rsidR="00165765">
        <w:rPr>
          <w:rFonts w:hint="cs"/>
          <w:rtl/>
        </w:rPr>
        <w:t xml:space="preserve">הנזכרת במדרש </w:t>
      </w:r>
      <w:r>
        <w:rPr>
          <w:rFonts w:hint="cs"/>
          <w:rtl/>
        </w:rPr>
        <w:t xml:space="preserve">בראשית רבה (בירושלמי) לעיל, קשורה ביורדי הים, היינו מדובר בעיר השוכנת לחוף הים התיכון שוודאי איננה מקום מרוחק וכפי שציינו, היא מקום מסחר ואנשים רבים שבאים למכור ולקנות מרכולתם. ולא היו מביאים לשם לולבים? חסרו עצי תמר בארץ ישראל? לא בכל עץ היה לולב? </w:t>
      </w:r>
    </w:p>
  </w:footnote>
  <w:footnote w:id="14">
    <w:p w:rsidR="002C4D32" w:rsidRDefault="002C4D32">
      <w:pPr>
        <w:pStyle w:val="a3"/>
        <w:rPr>
          <w:rFonts w:hint="cs"/>
          <w:rtl/>
        </w:rPr>
      </w:pPr>
      <w:r>
        <w:rPr>
          <w:rStyle w:val="a5"/>
        </w:rPr>
        <w:footnoteRef/>
      </w:r>
      <w:r>
        <w:rPr>
          <w:rtl/>
        </w:rPr>
        <w:t xml:space="preserve"> </w:t>
      </w:r>
      <w:r>
        <w:rPr>
          <w:rFonts w:hint="cs"/>
          <w:rtl/>
        </w:rPr>
        <w:t>הרמב"ם הבין את הגמרא לעיל, שחכמים לא סתרו את טענתו של ר' יהודה מהמעשה של בני הכרכים, כנראה הייתה זו עובדה ותופעה ידועה בגיאוגרפיה ובחקלאות של אותה תקופה, והם רק מצמצמים היתר זה של לולב היבש למינימום, למקרים בהם באמת אין שום אפשרות אחרת. ר' יהודה לומד ממקרה זה, גם אם נדיר, שבעקרון, לולב היבש כשר משום שאין בו דין של הדר, רק באתרוג. חכמים לא שינו את דעתם העקרונית שלולב היבש פסול, אבל מוכנים להכיר בכשרותו בשעת הדחק.</w:t>
      </w:r>
    </w:p>
  </w:footnote>
  <w:footnote w:id="15">
    <w:p w:rsidR="002C4D32" w:rsidRDefault="002C4D32" w:rsidP="00D72E33">
      <w:pPr>
        <w:pStyle w:val="a3"/>
        <w:rPr>
          <w:rFonts w:hint="cs"/>
          <w:rtl/>
        </w:rPr>
      </w:pPr>
      <w:r>
        <w:rPr>
          <w:rStyle w:val="a5"/>
        </w:rPr>
        <w:footnoteRef/>
      </w:r>
      <w:r>
        <w:rPr>
          <w:rtl/>
        </w:rPr>
        <w:t xml:space="preserve"> </w:t>
      </w:r>
      <w:r>
        <w:rPr>
          <w:rFonts w:hint="cs"/>
          <w:rtl/>
        </w:rPr>
        <w:t xml:space="preserve">הראב"ד, ר' </w:t>
      </w:r>
      <w:smartTag w:uri="urn:schemas-microsoft-com:office:smarttags" w:element="PersonName">
        <w:smartTagPr>
          <w:attr w:name="ProductID" w:val="אברהם בן דוד"/>
        </w:smartTagPr>
        <w:r>
          <w:rPr>
            <w:rFonts w:hint="cs"/>
            <w:rtl/>
          </w:rPr>
          <w:t>אברהם בן דוד</w:t>
        </w:r>
      </w:smartTag>
      <w:r>
        <w:rPr>
          <w:rFonts w:hint="cs"/>
          <w:rtl/>
        </w:rPr>
        <w:t xml:space="preserve">, בר הפלוגתא הראשי של הרמב"ם ביד החזקה, אינו מסכים להבנה זו של הרמב"ם את שיטת חכמים וטוען שהם התירו לבני הכרכים לעשות זאת, רק כדי שלא תשתכח מצוות ארבעת המינים מהם וגם ר' יהודה שמתיר בלולב היבש, לא מתיר לומר עליו ברכה. אבל המילה האחרונה איננה של הראב"ד וכבר נחלצו גדולים וטובים להגנת שיטתו של הרמב"ם: הרמב"ן, המגיד משנה ועוד, ואף למדו מדין זה מסקנות לגבי הלכות אחרות למקרים של שעת הדחק. ראה </w:t>
      </w:r>
      <w:r>
        <w:rPr>
          <w:rtl/>
        </w:rPr>
        <w:t>ראבי"ה ח"ב - הלכות לולב סימן תרנג</w:t>
      </w:r>
      <w:r>
        <w:rPr>
          <w:rFonts w:hint="cs"/>
          <w:rtl/>
        </w:rPr>
        <w:t>: "</w:t>
      </w:r>
      <w:r>
        <w:rPr>
          <w:rtl/>
        </w:rPr>
        <w:t>וכולם כמושים כשרים יבשים פסולין</w:t>
      </w:r>
      <w:r>
        <w:rPr>
          <w:rFonts w:hint="cs"/>
          <w:rtl/>
        </w:rPr>
        <w:t>.</w:t>
      </w:r>
      <w:r>
        <w:rPr>
          <w:rtl/>
        </w:rPr>
        <w:t xml:space="preserve"> רבי יהודה אומר אף יבישין כשרין</w:t>
      </w:r>
      <w:r>
        <w:rPr>
          <w:rFonts w:hint="cs"/>
          <w:rtl/>
        </w:rPr>
        <w:t>.</w:t>
      </w:r>
      <w:r>
        <w:rPr>
          <w:rtl/>
        </w:rPr>
        <w:t xml:space="preserve"> אמר רבי יהודה מעשה בבני כרכין שהיו מורישין לולביהן לבני בניהם</w:t>
      </w:r>
      <w:r>
        <w:rPr>
          <w:rFonts w:hint="cs"/>
          <w:rtl/>
        </w:rPr>
        <w:t>.</w:t>
      </w:r>
      <w:r>
        <w:rPr>
          <w:rtl/>
        </w:rPr>
        <w:t xml:space="preserve"> אמרו לו אין שעת הדחק ראיה. והוא הדין באתרוג כמוש וחסר, כאשר פרשתי בחיבור זה בתשובה דכל מידי דפסול משום דליתיה הדר בשעת הדחק שרי לברוכי עליה</w:t>
      </w:r>
      <w:r>
        <w:rPr>
          <w:rFonts w:hint="cs"/>
          <w:rtl/>
        </w:rPr>
        <w:t>". לא ניכנס כאן לכל הדיון ההלכתי, די לנו בכך שהפוסקים עסקו בגמרא של "מעשה בבני כרכים שהיו מורישים לולביהם לבני בניהם" באופן רציני ולמדו ממנה הלכות חשובות. לפיכך אנו חוזרים ומבקשים את עזרת הציבור בחיפושינו אחר מנהג קשירת הלולב, מקורו ועניינו, וכל היודע דבר אודות מנהג זה ימהר ויחיש דבריו אלינו כי צמאנו לדעת פשר העניין! זאת ועוד, זכורני גם שבאחד מסיורנו בעיר העתיקה בעכו, ראינו לולבים קשורים בכניסות לבתים, אך זה אולי עניין אחר (מנהג נוצרי?) או שמא מעיד על דבר מה קדום לכל.</w:t>
      </w:r>
    </w:p>
  </w:footnote>
  <w:footnote w:id="16">
    <w:p w:rsidR="002C4D32" w:rsidRDefault="002C4D32" w:rsidP="004E0270">
      <w:pPr>
        <w:pStyle w:val="a3"/>
        <w:rPr>
          <w:rFonts w:hint="cs"/>
          <w:rtl/>
        </w:rPr>
      </w:pPr>
      <w:r>
        <w:rPr>
          <w:rStyle w:val="a5"/>
        </w:rPr>
        <w:footnoteRef/>
      </w:r>
      <w:r>
        <w:rPr>
          <w:rtl/>
        </w:rPr>
        <w:t xml:space="preserve"> </w:t>
      </w:r>
      <w:r>
        <w:rPr>
          <w:rFonts w:hint="cs"/>
          <w:rtl/>
        </w:rPr>
        <w:t xml:space="preserve">בתום מועדי וחגי חודש הרחמים והסליחות אנו מניחים את מחזור תפילתנו הקשורות לשנה הבאה. אנחנו קושרים את </w:t>
      </w:r>
      <w:r w:rsidR="004E0270">
        <w:rPr>
          <w:rFonts w:hint="cs"/>
          <w:rtl/>
        </w:rPr>
        <w:t>מחזור</w:t>
      </w:r>
      <w:r>
        <w:rPr>
          <w:rFonts w:hint="cs"/>
          <w:rtl/>
        </w:rPr>
        <w:t xml:space="preserve"> הימים הנוראים בו שפכנו שיח לבנו וארשת שפתותינו, מניחים אותו בארון הספרים וחוזרים לסידור </w:t>
      </w:r>
      <w:r w:rsidR="004E0270">
        <w:rPr>
          <w:rFonts w:hint="cs"/>
          <w:rtl/>
        </w:rPr>
        <w:t xml:space="preserve">ימות </w:t>
      </w:r>
      <w:r>
        <w:rPr>
          <w:rFonts w:hint="cs"/>
          <w:rtl/>
        </w:rPr>
        <w:t>לוח השנה השוטף. את המחזור הקשור והמונח בצד, עוטפת תפילה אחת גדולה: שנזכה לשנה טובה בה יתקבלו משאלותינו ובקשותינו הקשורות, המונחות והמותרות; שנה שבסופה נזכה לשוב ולפתוח את מחזור תשרי ולמצוא בו, לצד אותם המילים הפסוקים והפיוטים שהנחנו בשנה שעברה, כוונות חדשות וטובות, סדורות ומעוינות, שיביאונו לשנ</w:t>
      </w:r>
      <w:r w:rsidR="00AD187A">
        <w:rPr>
          <w:rFonts w:hint="cs"/>
          <w:rtl/>
        </w:rPr>
        <w:t>ה הבאה</w:t>
      </w:r>
      <w:r>
        <w:rPr>
          <w:rFonts w:hint="cs"/>
          <w:rtl/>
        </w:rPr>
        <w:t>. ואולי גם לחדש מילה או שתיים. ומשנה לשנה, במחזור השנים, עוד בקשה "קטנה": שנזכה להוריש מחזור זה, כשהוא רטוב ולא יבש, הדור ולא כמוש, בנחת ולא בשעת הדחק, לבנינו ולבני בנינו עד סוף כל הדורות.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D32" w:rsidRDefault="002C4D32" w:rsidP="003C43E1">
    <w:pPr>
      <w:pStyle w:val="1"/>
      <w:tabs>
        <w:tab w:val="clear" w:pos="9469"/>
        <w:tab w:val="right" w:pos="9071"/>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314E65">
      <w:rPr>
        <w:rtl/>
        <w:lang w:eastAsia="en-US"/>
      </w:rPr>
      <w:t>שמיני עצרת</w:t>
    </w:r>
    <w:r>
      <w:rPr>
        <w:rtl/>
        <w:lang w:eastAsia="en-US"/>
      </w:rPr>
      <w:fldChar w:fldCharType="end"/>
    </w:r>
    <w:r>
      <w:rPr>
        <w:rFonts w:hint="cs"/>
        <w:rtl/>
        <w:lang w:eastAsia="en-US"/>
      </w:rPr>
      <w:t xml:space="preserve"> ושמחת תורה</w:t>
    </w:r>
    <w:r>
      <w:rPr>
        <w:rFonts w:hint="cs"/>
        <w:rtl/>
        <w:lang w:eastAsia="en-US"/>
      </w:rPr>
      <w:tab/>
      <w:t xml:space="preserve">              </w:t>
    </w:r>
    <w:r>
      <w:rPr>
        <w:rtl/>
        <w:lang w:eastAsia="en-US"/>
      </w:rPr>
      <w:t>תש</w:t>
    </w:r>
    <w:r>
      <w:rPr>
        <w:rFonts w:hint="cs"/>
        <w:rtl/>
        <w:lang w:eastAsia="en-US"/>
      </w:rPr>
      <w:t>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D32" w:rsidRDefault="002C4D3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14E65">
      <w:rPr>
        <w:szCs w:val="22"/>
        <w:rtl/>
        <w:lang w:eastAsia="en-US"/>
      </w:rPr>
      <w:t>שמיני עצרת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122A9">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3C"/>
    <w:rsid w:val="0000416F"/>
    <w:rsid w:val="0000452A"/>
    <w:rsid w:val="00015BF3"/>
    <w:rsid w:val="0005703C"/>
    <w:rsid w:val="00065207"/>
    <w:rsid w:val="00067564"/>
    <w:rsid w:val="00095D0C"/>
    <w:rsid w:val="000C517C"/>
    <w:rsid w:val="000F6FEB"/>
    <w:rsid w:val="00125D0F"/>
    <w:rsid w:val="00146B67"/>
    <w:rsid w:val="00162261"/>
    <w:rsid w:val="00165765"/>
    <w:rsid w:val="00187365"/>
    <w:rsid w:val="001952CC"/>
    <w:rsid w:val="00196320"/>
    <w:rsid w:val="001C44AA"/>
    <w:rsid w:val="001F33D7"/>
    <w:rsid w:val="001F3564"/>
    <w:rsid w:val="002548E4"/>
    <w:rsid w:val="00296F66"/>
    <w:rsid w:val="002B60BA"/>
    <w:rsid w:val="002C0B33"/>
    <w:rsid w:val="002C3D90"/>
    <w:rsid w:val="002C4D32"/>
    <w:rsid w:val="002D1698"/>
    <w:rsid w:val="002D78AB"/>
    <w:rsid w:val="002F53CB"/>
    <w:rsid w:val="00314E65"/>
    <w:rsid w:val="003209A2"/>
    <w:rsid w:val="00321340"/>
    <w:rsid w:val="00337F04"/>
    <w:rsid w:val="00342202"/>
    <w:rsid w:val="00385BA1"/>
    <w:rsid w:val="003C43E1"/>
    <w:rsid w:val="003D735C"/>
    <w:rsid w:val="00410171"/>
    <w:rsid w:val="00412CF6"/>
    <w:rsid w:val="004234CF"/>
    <w:rsid w:val="00440462"/>
    <w:rsid w:val="00454EA9"/>
    <w:rsid w:val="004846A1"/>
    <w:rsid w:val="00484D2A"/>
    <w:rsid w:val="00486A8E"/>
    <w:rsid w:val="004B5BAE"/>
    <w:rsid w:val="004C2754"/>
    <w:rsid w:val="004D0C21"/>
    <w:rsid w:val="004E0270"/>
    <w:rsid w:val="004E4670"/>
    <w:rsid w:val="004E6A24"/>
    <w:rsid w:val="004F148C"/>
    <w:rsid w:val="005131BB"/>
    <w:rsid w:val="0054225B"/>
    <w:rsid w:val="00546FB9"/>
    <w:rsid w:val="00550DFA"/>
    <w:rsid w:val="00555D4D"/>
    <w:rsid w:val="00566C5E"/>
    <w:rsid w:val="00574DDE"/>
    <w:rsid w:val="00581DD9"/>
    <w:rsid w:val="00587281"/>
    <w:rsid w:val="005A3207"/>
    <w:rsid w:val="005C23CC"/>
    <w:rsid w:val="005E4AB0"/>
    <w:rsid w:val="005F570E"/>
    <w:rsid w:val="00600F7F"/>
    <w:rsid w:val="00607331"/>
    <w:rsid w:val="00631C45"/>
    <w:rsid w:val="0064134A"/>
    <w:rsid w:val="00650DBC"/>
    <w:rsid w:val="00656E1E"/>
    <w:rsid w:val="00676183"/>
    <w:rsid w:val="00681823"/>
    <w:rsid w:val="006849D1"/>
    <w:rsid w:val="006B4FBC"/>
    <w:rsid w:val="006B5BFE"/>
    <w:rsid w:val="006B6DBE"/>
    <w:rsid w:val="006F1657"/>
    <w:rsid w:val="007032B6"/>
    <w:rsid w:val="00713B04"/>
    <w:rsid w:val="00714BE7"/>
    <w:rsid w:val="00716077"/>
    <w:rsid w:val="00716DD9"/>
    <w:rsid w:val="00745C0A"/>
    <w:rsid w:val="007721E1"/>
    <w:rsid w:val="00774A15"/>
    <w:rsid w:val="00777C23"/>
    <w:rsid w:val="0079323C"/>
    <w:rsid w:val="007D5419"/>
    <w:rsid w:val="007F02C3"/>
    <w:rsid w:val="00804CF2"/>
    <w:rsid w:val="00811257"/>
    <w:rsid w:val="0081680F"/>
    <w:rsid w:val="00841633"/>
    <w:rsid w:val="008421A2"/>
    <w:rsid w:val="0085567D"/>
    <w:rsid w:val="008906D0"/>
    <w:rsid w:val="008A5F46"/>
    <w:rsid w:val="008A77DF"/>
    <w:rsid w:val="008B2E4A"/>
    <w:rsid w:val="008D4915"/>
    <w:rsid w:val="00902370"/>
    <w:rsid w:val="009122A9"/>
    <w:rsid w:val="00950954"/>
    <w:rsid w:val="00956C59"/>
    <w:rsid w:val="00963104"/>
    <w:rsid w:val="00967B1E"/>
    <w:rsid w:val="00993329"/>
    <w:rsid w:val="00997623"/>
    <w:rsid w:val="009A56AC"/>
    <w:rsid w:val="009B6548"/>
    <w:rsid w:val="009C1F14"/>
    <w:rsid w:val="009F54DA"/>
    <w:rsid w:val="00A3489D"/>
    <w:rsid w:val="00A36208"/>
    <w:rsid w:val="00A6254B"/>
    <w:rsid w:val="00AA16DE"/>
    <w:rsid w:val="00AC46E0"/>
    <w:rsid w:val="00AC7C2C"/>
    <w:rsid w:val="00AD187A"/>
    <w:rsid w:val="00B06379"/>
    <w:rsid w:val="00B12145"/>
    <w:rsid w:val="00B15C7F"/>
    <w:rsid w:val="00B2478C"/>
    <w:rsid w:val="00B365AE"/>
    <w:rsid w:val="00B64EBD"/>
    <w:rsid w:val="00B67DD5"/>
    <w:rsid w:val="00B706E8"/>
    <w:rsid w:val="00B91A4D"/>
    <w:rsid w:val="00BA3522"/>
    <w:rsid w:val="00BB6882"/>
    <w:rsid w:val="00BE342B"/>
    <w:rsid w:val="00BF4499"/>
    <w:rsid w:val="00C04DBE"/>
    <w:rsid w:val="00C17432"/>
    <w:rsid w:val="00C174DB"/>
    <w:rsid w:val="00C439FC"/>
    <w:rsid w:val="00C671C2"/>
    <w:rsid w:val="00C7608A"/>
    <w:rsid w:val="00CF78A2"/>
    <w:rsid w:val="00D175E1"/>
    <w:rsid w:val="00D37021"/>
    <w:rsid w:val="00D72E33"/>
    <w:rsid w:val="00D83C42"/>
    <w:rsid w:val="00DA10BF"/>
    <w:rsid w:val="00DB21AE"/>
    <w:rsid w:val="00DD7A37"/>
    <w:rsid w:val="00E2267E"/>
    <w:rsid w:val="00E711C0"/>
    <w:rsid w:val="00E86D0B"/>
    <w:rsid w:val="00EA21B2"/>
    <w:rsid w:val="00EA2795"/>
    <w:rsid w:val="00EB6250"/>
    <w:rsid w:val="00ED3A75"/>
    <w:rsid w:val="00EE772B"/>
    <w:rsid w:val="00F46A93"/>
    <w:rsid w:val="00F84904"/>
    <w:rsid w:val="00F84E45"/>
    <w:rsid w:val="00F87A8C"/>
    <w:rsid w:val="00FB2318"/>
    <w:rsid w:val="00FD5CAF"/>
    <w:rsid w:val="00FE6F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5F802A71-5B0C-4BC9-AC63-5F26D150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22A9"/>
    <w:pPr>
      <w:bidi/>
    </w:pPr>
    <w:rPr>
      <w:rFonts w:cs="Narkisim"/>
      <w:sz w:val="22"/>
      <w:szCs w:val="22"/>
      <w:lang w:eastAsia="he-IL"/>
    </w:rPr>
  </w:style>
  <w:style w:type="paragraph" w:styleId="1">
    <w:name w:val="heading 1"/>
    <w:basedOn w:val="a"/>
    <w:next w:val="a"/>
    <w:link w:val="10"/>
    <w:qFormat/>
    <w:rsid w:val="009122A9"/>
    <w:pPr>
      <w:keepNext/>
      <w:tabs>
        <w:tab w:val="right" w:pos="9469"/>
      </w:tabs>
      <w:jc w:val="both"/>
      <w:outlineLvl w:val="0"/>
    </w:pPr>
    <w:rPr>
      <w:rFonts w:cs="David"/>
      <w:b/>
      <w:bCs/>
      <w:szCs w:val="28"/>
    </w:rPr>
  </w:style>
  <w:style w:type="character" w:default="1" w:styleId="a0">
    <w:name w:val="Default Paragraph Font"/>
    <w:uiPriority w:val="1"/>
    <w:semiHidden/>
    <w:unhideWhenUsed/>
    <w:rsid w:val="009122A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122A9"/>
  </w:style>
  <w:style w:type="paragraph" w:styleId="a3">
    <w:name w:val="footnote text"/>
    <w:basedOn w:val="a"/>
    <w:link w:val="a4"/>
    <w:semiHidden/>
    <w:rsid w:val="009122A9"/>
    <w:pPr>
      <w:ind w:left="170" w:hanging="170"/>
      <w:jc w:val="both"/>
    </w:pPr>
    <w:rPr>
      <w:sz w:val="20"/>
      <w:szCs w:val="20"/>
    </w:rPr>
  </w:style>
  <w:style w:type="character" w:styleId="a5">
    <w:name w:val="footnote reference"/>
    <w:semiHidden/>
    <w:rsid w:val="009122A9"/>
    <w:rPr>
      <w:vertAlign w:val="superscript"/>
    </w:rPr>
  </w:style>
  <w:style w:type="paragraph" w:styleId="a6">
    <w:name w:val="header"/>
    <w:basedOn w:val="a"/>
    <w:link w:val="a7"/>
    <w:rsid w:val="009122A9"/>
    <w:pPr>
      <w:tabs>
        <w:tab w:val="center" w:pos="4153"/>
        <w:tab w:val="right" w:pos="8306"/>
      </w:tabs>
    </w:pPr>
  </w:style>
  <w:style w:type="paragraph" w:styleId="a8">
    <w:name w:val="footer"/>
    <w:basedOn w:val="a"/>
    <w:link w:val="a9"/>
    <w:rsid w:val="009122A9"/>
    <w:pPr>
      <w:tabs>
        <w:tab w:val="center" w:pos="4153"/>
        <w:tab w:val="right" w:pos="8306"/>
      </w:tabs>
    </w:pPr>
  </w:style>
  <w:style w:type="paragraph" w:customStyle="1" w:styleId="aa">
    <w:name w:val="כותרת"/>
    <w:basedOn w:val="a"/>
    <w:rsid w:val="009122A9"/>
    <w:pPr>
      <w:spacing w:before="240" w:line="320" w:lineRule="atLeast"/>
      <w:jc w:val="center"/>
    </w:pPr>
    <w:rPr>
      <w:rFonts w:cs="David"/>
      <w:b/>
      <w:bCs/>
      <w:spacing w:val="20"/>
      <w:szCs w:val="32"/>
    </w:rPr>
  </w:style>
  <w:style w:type="paragraph" w:customStyle="1" w:styleId="ab">
    <w:name w:val="כותרת קטע"/>
    <w:basedOn w:val="a"/>
    <w:rsid w:val="009122A9"/>
    <w:pPr>
      <w:spacing w:before="240" w:line="300" w:lineRule="atLeast"/>
    </w:pPr>
    <w:rPr>
      <w:rFonts w:cs="Arial"/>
      <w:b/>
      <w:bCs/>
      <w:szCs w:val="24"/>
    </w:rPr>
  </w:style>
  <w:style w:type="paragraph" w:customStyle="1" w:styleId="ac">
    <w:name w:val="מקור"/>
    <w:basedOn w:val="a"/>
    <w:rsid w:val="009122A9"/>
    <w:pPr>
      <w:spacing w:line="320" w:lineRule="atLeast"/>
      <w:jc w:val="both"/>
    </w:pPr>
    <w:rPr>
      <w:rFonts w:cs="David"/>
      <w:szCs w:val="24"/>
    </w:rPr>
  </w:style>
  <w:style w:type="paragraph" w:customStyle="1" w:styleId="ad">
    <w:name w:val="מחלקי המים"/>
    <w:basedOn w:val="a"/>
    <w:rsid w:val="009122A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122A9"/>
    <w:rPr>
      <w:color w:val="0000FF"/>
      <w:u w:val="single"/>
    </w:rPr>
  </w:style>
  <w:style w:type="character" w:styleId="af">
    <w:name w:val="page number"/>
    <w:basedOn w:val="a0"/>
    <w:rsid w:val="00956C59"/>
  </w:style>
  <w:style w:type="paragraph" w:styleId="af0">
    <w:name w:val="Balloon Text"/>
    <w:basedOn w:val="a"/>
    <w:link w:val="af1"/>
    <w:uiPriority w:val="99"/>
    <w:semiHidden/>
    <w:unhideWhenUsed/>
    <w:rsid w:val="009122A9"/>
    <w:rPr>
      <w:rFonts w:ascii="Tahoma" w:hAnsi="Tahoma" w:cs="Tahoma"/>
      <w:sz w:val="16"/>
      <w:szCs w:val="16"/>
    </w:rPr>
  </w:style>
  <w:style w:type="character" w:customStyle="1" w:styleId="a4">
    <w:name w:val="טקסט הערת שוליים תו"/>
    <w:link w:val="a3"/>
    <w:semiHidden/>
    <w:rsid w:val="009122A9"/>
    <w:rPr>
      <w:rFonts w:cs="Narkisim"/>
      <w:lang w:eastAsia="he-IL"/>
    </w:rPr>
  </w:style>
  <w:style w:type="character" w:customStyle="1" w:styleId="10">
    <w:name w:val="כותרת 1 תו"/>
    <w:link w:val="1"/>
    <w:rsid w:val="009122A9"/>
    <w:rPr>
      <w:rFonts w:cs="David"/>
      <w:b/>
      <w:bCs/>
      <w:sz w:val="22"/>
      <w:szCs w:val="28"/>
      <w:lang w:eastAsia="he-IL"/>
    </w:rPr>
  </w:style>
  <w:style w:type="character" w:customStyle="1" w:styleId="a7">
    <w:name w:val="כותרת עליונה תו"/>
    <w:link w:val="a6"/>
    <w:rsid w:val="009122A9"/>
    <w:rPr>
      <w:rFonts w:cs="Narkisim"/>
      <w:sz w:val="22"/>
      <w:szCs w:val="22"/>
      <w:lang w:eastAsia="he-IL"/>
    </w:rPr>
  </w:style>
  <w:style w:type="character" w:customStyle="1" w:styleId="a9">
    <w:name w:val="כותרת תחתונה תו"/>
    <w:link w:val="a8"/>
    <w:rsid w:val="009122A9"/>
    <w:rPr>
      <w:rFonts w:cs="Narkisim"/>
      <w:sz w:val="22"/>
      <w:szCs w:val="22"/>
      <w:lang w:eastAsia="he-IL"/>
    </w:rPr>
  </w:style>
  <w:style w:type="character" w:customStyle="1" w:styleId="af1">
    <w:name w:val="טקסט בלונים תו"/>
    <w:link w:val="af0"/>
    <w:uiPriority w:val="99"/>
    <w:semiHidden/>
    <w:rsid w:val="009122A9"/>
    <w:rPr>
      <w:rFonts w:ascii="Tahoma" w:hAnsi="Tahoma" w:cs="Tahoma"/>
      <w:sz w:val="16"/>
      <w:szCs w:val="16"/>
      <w:lang w:eastAsia="he-IL"/>
    </w:rPr>
  </w:style>
  <w:style w:type="character" w:styleId="FollowedHyperlink">
    <w:name w:val="FollowedHyperlink"/>
    <w:rsid w:val="002B60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af-yomi.com/DYItemDetails.aspx?itemId=3429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yim.org.il/?holiday=%d7%94%d7%a4%d7%a8%d7%99%d7%93%d7%94-%d7%9e%d7%94%d7%a1%d7%95%d7%9b%d7%9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holiday=%d7%aa%d7%a4%d7%99%d7%9c%d7%94-%d7%9c%d7%a4%d7%a8%d7%99%d7%93%d7%94-%d7%9e%d7%9f-%d7%94%d7%a1%d7%95%d7%9b%d7%94"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2%d7%a9%d7%9e%d7%99%d7%9d-%d7%91%d7%a2%d7%aa%d7%9d-%d7%95%d7%a9%d7%93%d7%99%d7%9d-%d7%91%d7%96%d7%9e%d7%a0%d7%9d" TargetMode="External"/><Relationship Id="rId2" Type="http://schemas.openxmlformats.org/officeDocument/2006/relationships/hyperlink" Target="http://www.mayim.org.il/?parasha=%D7%95%D7%99%D7%AA%D7%9F-%D7%90%D7%9C-%D7%9E%D7%A9%D7%94-%D7%9B%D7%9B%D7%9C%D7%95%D7%AA%D7%95-%D7%9C%D7%93%D7%91%D7%A8-%D7%90%D7%99%D7%AA%D7%951" TargetMode="External"/><Relationship Id="rId1" Type="http://schemas.openxmlformats.org/officeDocument/2006/relationships/hyperlink" Target="http://www.mayim.org.il/?holiday=%D7%99%D7%95%D7%9D-%D7%94%D7%A8%D7%AA-%D7%A2%D7%95%D7%9C%D7%9D-%D7%91%D7%99%D7%9F-%D7%A0%D7%99%D7%A1%D7%9F-%D7%9C%D7%AA%D7%A9%D7%A8%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639</Words>
  <Characters>3197</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מנהג קשירת הלולב</vt:lpstr>
      <vt:lpstr>מנהג קשירת הלולב</vt:lpstr>
    </vt:vector>
  </TitlesOfParts>
  <Company> </Company>
  <LinksUpToDate>false</LinksUpToDate>
  <CharactersWithSpaces>3829</CharactersWithSpaces>
  <SharedDoc>false</SharedDoc>
  <HLinks>
    <vt:vector size="36" baseType="variant">
      <vt:variant>
        <vt:i4>2818173</vt:i4>
      </vt:variant>
      <vt:variant>
        <vt:i4>6</vt:i4>
      </vt:variant>
      <vt:variant>
        <vt:i4>0</vt:i4>
      </vt:variant>
      <vt:variant>
        <vt:i4>5</vt:i4>
      </vt:variant>
      <vt:variant>
        <vt:lpwstr>http://daf-yomi.com/DYItemDetails.aspx?itemId=34294</vt:lpwstr>
      </vt:variant>
      <vt:variant>
        <vt:lpwstr/>
      </vt:variant>
      <vt:variant>
        <vt:i4>2818173</vt:i4>
      </vt:variant>
      <vt:variant>
        <vt:i4>3</vt:i4>
      </vt:variant>
      <vt:variant>
        <vt:i4>0</vt:i4>
      </vt:variant>
      <vt:variant>
        <vt:i4>5</vt:i4>
      </vt:variant>
      <vt:variant>
        <vt:lpwstr>http://www.mayim.org.il/?holiday=%d7%94%d7%a4%d7%a8%d7%99%d7%93%d7%94-%d7%9e%d7%94%d7%a1%d7%95%d7%9b%d7%94</vt:lpwstr>
      </vt:variant>
      <vt:variant>
        <vt:lpwstr/>
      </vt:variant>
      <vt:variant>
        <vt:i4>1835015</vt:i4>
      </vt:variant>
      <vt:variant>
        <vt:i4>0</vt:i4>
      </vt:variant>
      <vt:variant>
        <vt:i4>0</vt:i4>
      </vt:variant>
      <vt:variant>
        <vt:i4>5</vt:i4>
      </vt:variant>
      <vt:variant>
        <vt:lpwstr>https://www.mayim.org.il/?holiday=%d7%aa%d7%a4%d7%99%d7%9c%d7%94-%d7%9c%d7%a4%d7%a8%d7%99%d7%93%d7%94-%d7%9e%d7%9f-%d7%94%d7%a1%d7%95%d7%9b%d7%94</vt:lpwstr>
      </vt:variant>
      <vt:variant>
        <vt:lpwstr/>
      </vt:variant>
      <vt:variant>
        <vt:i4>8192035</vt:i4>
      </vt:variant>
      <vt:variant>
        <vt:i4>6</vt:i4>
      </vt:variant>
      <vt:variant>
        <vt:i4>0</vt:i4>
      </vt:variant>
      <vt:variant>
        <vt:i4>5</vt:i4>
      </vt:variant>
      <vt:variant>
        <vt:lpwstr>http://www.mayim.org.il/?parasha=%d7%92%d7%a9%d7%9e%d7%99%d7%9d-%d7%91%d7%a2%d7%aa%d7%9d-%d7%95%d7%a9%d7%93%d7%99%d7%9d-%d7%91%d7%96%d7%9e%d7%a0%d7%9d</vt:lpwstr>
      </vt:variant>
      <vt:variant>
        <vt:lpwstr/>
      </vt:variant>
      <vt:variant>
        <vt:i4>6160471</vt:i4>
      </vt:variant>
      <vt:variant>
        <vt:i4>3</vt:i4>
      </vt:variant>
      <vt:variant>
        <vt:i4>0</vt:i4>
      </vt:variant>
      <vt:variant>
        <vt:i4>5</vt:i4>
      </vt:variant>
      <vt:variant>
        <vt:lpwstr>http://www.mayim.org.il/?parasha=%D7%95%D7%99%D7%AA%D7%9F-%D7%90%D7%9C-%D7%9E%D7%A9%D7%94-%D7%9B%D7%9B%D7%9C%D7%95%D7%AA%D7%95-%D7%9C%D7%93%D7%91%D7%A8-%D7%90%D7%99%D7%AA%D7%951</vt:lpwstr>
      </vt:variant>
      <vt:variant>
        <vt:lpwstr/>
      </vt:variant>
      <vt:variant>
        <vt:i4>2293799</vt:i4>
      </vt:variant>
      <vt:variant>
        <vt:i4>0</vt:i4>
      </vt:variant>
      <vt:variant>
        <vt:i4>0</vt:i4>
      </vt:variant>
      <vt:variant>
        <vt:i4>5</vt:i4>
      </vt:variant>
      <vt:variant>
        <vt:lpwstr>http://www.mayim.org.il/?holiday=%D7%99%D7%95%D7%9D-%D7%94%D7%A8%D7%AA-%D7%A2%D7%95%D7%9C%D7%9D-%D7%91%D7%99%D7%9F-%D7%A0%D7%99%D7%A1%D7%9F-%D7%9C%D7%AA%D7%A9%D7%A8%D7%99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מנהג קשירת הלולב</dc:title>
  <dc:subject>שמיני עצרת</dc:subject>
  <dc:creator>Asher Yuval</dc:creator>
  <cp:keywords/>
  <dc:description/>
  <cp:lastModifiedBy>שמעון אפק</cp:lastModifiedBy>
  <cp:revision>2</cp:revision>
  <cp:lastPrinted>2010-09-29T14:08:00Z</cp:lastPrinted>
  <dcterms:created xsi:type="dcterms:W3CDTF">2019-03-20T06:29:00Z</dcterms:created>
  <dcterms:modified xsi:type="dcterms:W3CDTF">2019-03-20T06:29:00Z</dcterms:modified>
</cp:coreProperties>
</file>