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27" w:rsidRDefault="003A40BB" w:rsidP="008206AC">
      <w:pPr>
        <w:pStyle w:val="aa"/>
        <w:outlineLvl w:val="0"/>
        <w:rPr>
          <w:rFonts w:hint="cs"/>
          <w:rtl/>
        </w:rPr>
      </w:pPr>
      <w:bookmarkStart w:id="0" w:name="_GoBack"/>
      <w:bookmarkEnd w:id="0"/>
      <w:r>
        <w:rPr>
          <w:rFonts w:hint="cs"/>
          <w:rtl/>
        </w:rPr>
        <w:t>מכמני בראשית רבה</w:t>
      </w:r>
      <w:r w:rsidR="00672F15">
        <w:rPr>
          <w:rFonts w:hint="cs"/>
          <w:rtl/>
        </w:rPr>
        <w:t xml:space="preserve"> לפרש</w:t>
      </w:r>
      <w:r w:rsidR="008206AC">
        <w:rPr>
          <w:rFonts w:hint="cs"/>
          <w:rtl/>
        </w:rPr>
        <w:t>ת וישב</w:t>
      </w:r>
    </w:p>
    <w:p w:rsidR="00FF3357" w:rsidRPr="00FF3357" w:rsidRDefault="00FF3357" w:rsidP="00FF3357">
      <w:pPr>
        <w:pStyle w:val="ac"/>
        <w:spacing w:before="240"/>
        <w:rPr>
          <w:rFonts w:cs="Narkisim" w:hint="cs"/>
          <w:szCs w:val="22"/>
          <w:rtl/>
        </w:rPr>
      </w:pPr>
      <w:r w:rsidRPr="00FF3357">
        <w:rPr>
          <w:rFonts w:cs="Narkisim" w:hint="cs"/>
          <w:b/>
          <w:bCs/>
          <w:szCs w:val="22"/>
          <w:rtl/>
        </w:rPr>
        <w:t>מים ראשונים:</w:t>
      </w:r>
      <w:r w:rsidRPr="00FF3357">
        <w:rPr>
          <w:rFonts w:cs="Narkisim" w:hint="cs"/>
          <w:szCs w:val="22"/>
          <w:rtl/>
        </w:rPr>
        <w:t xml:space="preserve"> אנחנו בעיצומו של ספר בראשית </w:t>
      </w:r>
      <w:hyperlink r:id="rId7" w:history="1">
        <w:r w:rsidRPr="00FF3357">
          <w:rPr>
            <w:rStyle w:val="Hyperlink"/>
            <w:rFonts w:cs="Narkisim" w:hint="cs"/>
            <w:szCs w:val="22"/>
            <w:rtl/>
          </w:rPr>
          <w:t>ומדרש בראשית רבה</w:t>
        </w:r>
      </w:hyperlink>
      <w:r w:rsidRPr="00FF3357">
        <w:rPr>
          <w:rFonts w:cs="Narkisim" w:hint="cs"/>
          <w:szCs w:val="22"/>
          <w:rtl/>
        </w:rPr>
        <w:t xml:space="preserve"> המלווה אותו, כמדרש פרשני, לכל אורכו, רצוף מכמני לשון. עושר הפתגמים והמאמרים שבפרשה זו בלבד, מעיד על העושר הלשוני העצום של בראשית רבה כולו. ובע"ה נשלים בעתיד גם מפרשות אחרות</w:t>
      </w:r>
      <w:r>
        <w:rPr>
          <w:rFonts w:cs="Narkisim" w:hint="cs"/>
          <w:szCs w:val="22"/>
          <w:rtl/>
        </w:rPr>
        <w:t xml:space="preserve">, בדומה למכמני ויקרא רבה שהשלמנו לפרשות </w:t>
      </w:r>
      <w:hyperlink r:id="rId8" w:history="1">
        <w:r w:rsidRPr="00FF3357">
          <w:rPr>
            <w:rStyle w:val="Hyperlink"/>
            <w:rFonts w:cs="Narkisim" w:hint="cs"/>
            <w:szCs w:val="22"/>
            <w:rtl/>
          </w:rPr>
          <w:t>ויקרא</w:t>
        </w:r>
      </w:hyperlink>
      <w:r>
        <w:rPr>
          <w:rFonts w:cs="Narkisim" w:hint="cs"/>
          <w:szCs w:val="22"/>
          <w:rtl/>
        </w:rPr>
        <w:t>,</w:t>
      </w:r>
      <w:r w:rsidR="008206AC">
        <w:rPr>
          <w:rFonts w:cs="Narkisim" w:hint="cs"/>
          <w:szCs w:val="22"/>
          <w:rtl/>
        </w:rPr>
        <w:t xml:space="preserve"> </w:t>
      </w:r>
      <w:hyperlink r:id="rId9" w:history="1">
        <w:r w:rsidR="008206AC" w:rsidRPr="008206AC">
          <w:rPr>
            <w:rStyle w:val="Hyperlink"/>
            <w:rFonts w:cs="Narkisim" w:hint="cs"/>
            <w:szCs w:val="22"/>
            <w:rtl/>
          </w:rPr>
          <w:t>צו</w:t>
        </w:r>
      </w:hyperlink>
      <w:r w:rsidR="008206AC">
        <w:rPr>
          <w:rFonts w:cs="Narkisim" w:hint="cs"/>
          <w:szCs w:val="22"/>
          <w:rtl/>
        </w:rPr>
        <w:t>,</w:t>
      </w:r>
      <w:r>
        <w:rPr>
          <w:rFonts w:cs="Narkisim" w:hint="cs"/>
          <w:szCs w:val="22"/>
          <w:rtl/>
        </w:rPr>
        <w:t xml:space="preserve"> </w:t>
      </w:r>
      <w:hyperlink r:id="rId10" w:history="1">
        <w:r w:rsidRPr="00FF3357">
          <w:rPr>
            <w:rStyle w:val="Hyperlink"/>
            <w:rFonts w:cs="Narkisim" w:hint="cs"/>
            <w:szCs w:val="22"/>
            <w:rtl/>
          </w:rPr>
          <w:t>תזריע</w:t>
        </w:r>
      </w:hyperlink>
      <w:r>
        <w:rPr>
          <w:rFonts w:cs="Narkisim" w:hint="cs"/>
          <w:szCs w:val="22"/>
          <w:rtl/>
        </w:rPr>
        <w:t xml:space="preserve"> ו</w:t>
      </w:r>
      <w:hyperlink r:id="rId11" w:history="1">
        <w:r w:rsidRPr="00FF3357">
          <w:rPr>
            <w:rStyle w:val="Hyperlink"/>
            <w:rFonts w:cs="Narkisim" w:hint="cs"/>
            <w:szCs w:val="22"/>
            <w:rtl/>
          </w:rPr>
          <w:t>מצורע</w:t>
        </w:r>
      </w:hyperlink>
      <w:r>
        <w:rPr>
          <w:rFonts w:cs="Narkisim" w:hint="cs"/>
          <w:szCs w:val="22"/>
          <w:rtl/>
        </w:rPr>
        <w:t xml:space="preserve"> (ויקרא רבה הוא </w:t>
      </w:r>
      <w:r w:rsidRPr="00FF3357">
        <w:rPr>
          <w:rFonts w:cs="Narkisim" w:hint="cs"/>
          <w:szCs w:val="22"/>
          <w:rtl/>
        </w:rPr>
        <w:t xml:space="preserve">מדרש "קרוב" לבראשית רבה, ראה </w:t>
      </w:r>
      <w:hyperlink r:id="rId12" w:history="1">
        <w:r w:rsidRPr="00FF3357">
          <w:rPr>
            <w:rStyle w:val="Hyperlink"/>
            <w:rFonts w:cs="Narkisim" w:hint="cs"/>
            <w:szCs w:val="22"/>
            <w:rtl/>
          </w:rPr>
          <w:t>הפניה לספר מבוא למדרשים</w:t>
        </w:r>
      </w:hyperlink>
      <w:r w:rsidRPr="00FF3357">
        <w:rPr>
          <w:rFonts w:cs="Narkisim" w:hint="cs"/>
          <w:szCs w:val="22"/>
          <w:rtl/>
        </w:rPr>
        <w:t>).</w:t>
      </w:r>
    </w:p>
    <w:p w:rsidR="002646E5" w:rsidRDefault="002646E5" w:rsidP="00B316A1">
      <w:pPr>
        <w:pStyle w:val="ab"/>
        <w:rPr>
          <w:rFonts w:hint="cs"/>
          <w:rtl/>
        </w:rPr>
      </w:pPr>
      <w:r>
        <w:rPr>
          <w:rFonts w:hint="cs"/>
          <w:rtl/>
        </w:rPr>
        <w:t xml:space="preserve">מלקות מקבלים מיד </w:t>
      </w:r>
      <w:r>
        <w:rPr>
          <w:rtl/>
        </w:rPr>
        <w:t>–</w:t>
      </w:r>
      <w:r>
        <w:rPr>
          <w:rFonts w:hint="cs"/>
          <w:rtl/>
        </w:rPr>
        <w:t xml:space="preserve"> כסף אחרי זמן רב (אם בכלל)</w:t>
      </w:r>
      <w:r>
        <w:rPr>
          <w:rStyle w:val="a5"/>
          <w:rtl/>
        </w:rPr>
        <w:footnoteReference w:id="1"/>
      </w:r>
      <w:r>
        <w:rPr>
          <w:rtl/>
        </w:rPr>
        <w:t xml:space="preserve"> </w:t>
      </w:r>
    </w:p>
    <w:p w:rsidR="002646E5" w:rsidRDefault="002646E5" w:rsidP="002646E5">
      <w:pPr>
        <w:pStyle w:val="ac"/>
        <w:rPr>
          <w:rFonts w:hint="cs"/>
          <w:rtl/>
        </w:rPr>
      </w:pPr>
      <w:r w:rsidRPr="00290F31">
        <w:rPr>
          <w:rFonts w:hint="cs"/>
          <w:b/>
          <w:bCs/>
          <w:rtl/>
        </w:rPr>
        <w:t>בראשית רבה פד ג</w:t>
      </w:r>
      <w:r>
        <w:rPr>
          <w:rFonts w:hint="cs"/>
          <w:rtl/>
        </w:rPr>
        <w:t>: "</w:t>
      </w:r>
      <w:r>
        <w:rPr>
          <w:rtl/>
        </w:rPr>
        <w:t>אם שוט ימית פתאום</w:t>
      </w:r>
      <w:r>
        <w:rPr>
          <w:rFonts w:hint="cs"/>
          <w:rtl/>
        </w:rPr>
        <w:t xml:space="preserve"> למסת נקיים ילעג" (איוב ט כג) - </w:t>
      </w:r>
      <w:r>
        <w:rPr>
          <w:rtl/>
        </w:rPr>
        <w:t>אנטונינוס שאל את רבנו</w:t>
      </w:r>
      <w:r>
        <w:rPr>
          <w:rFonts w:hint="cs"/>
          <w:rtl/>
        </w:rPr>
        <w:t xml:space="preserve">, אמר לו: </w:t>
      </w:r>
      <w:r>
        <w:rPr>
          <w:rtl/>
        </w:rPr>
        <w:t xml:space="preserve">מהו </w:t>
      </w:r>
      <w:r>
        <w:rPr>
          <w:rFonts w:hint="cs"/>
          <w:rtl/>
        </w:rPr>
        <w:t>שכתוב "</w:t>
      </w:r>
      <w:r>
        <w:rPr>
          <w:rtl/>
        </w:rPr>
        <w:t>אם שוט ימית פתאום</w:t>
      </w:r>
      <w:r>
        <w:rPr>
          <w:rFonts w:hint="cs"/>
          <w:rtl/>
        </w:rPr>
        <w:t xml:space="preserve">"? אמר לו: גזור שיטול מאה מגלבים </w:t>
      </w:r>
      <w:r>
        <w:rPr>
          <w:rtl/>
        </w:rPr>
        <w:t>–</w:t>
      </w:r>
      <w:r>
        <w:rPr>
          <w:rFonts w:hint="cs"/>
          <w:rtl/>
        </w:rPr>
        <w:t xml:space="preserve"> והרי נתונים אצלו! מאה דינרים </w:t>
      </w:r>
      <w:r>
        <w:rPr>
          <w:rtl/>
        </w:rPr>
        <w:t>–</w:t>
      </w:r>
      <w:r>
        <w:rPr>
          <w:rFonts w:hint="cs"/>
          <w:rtl/>
        </w:rPr>
        <w:t xml:space="preserve"> זה סו</w:t>
      </w:r>
      <w:r w:rsidR="001B42E2">
        <w:rPr>
          <w:rFonts w:hint="eastAsia"/>
          <w:rtl/>
        </w:rPr>
        <w:t>ֹ</w:t>
      </w:r>
      <w:r>
        <w:rPr>
          <w:rFonts w:hint="cs"/>
          <w:rtl/>
        </w:rPr>
        <w:t>כ</w:t>
      </w:r>
      <w:r w:rsidR="001B42E2">
        <w:rPr>
          <w:rFonts w:hint="eastAsia"/>
          <w:rtl/>
        </w:rPr>
        <w:t>ֵ</w:t>
      </w:r>
      <w:r>
        <w:rPr>
          <w:rFonts w:hint="cs"/>
          <w:rtl/>
        </w:rPr>
        <w:t>ם לזה וזה סו</w:t>
      </w:r>
      <w:r w:rsidR="001B42E2">
        <w:rPr>
          <w:rFonts w:hint="eastAsia"/>
          <w:rtl/>
        </w:rPr>
        <w:t>ֹ</w:t>
      </w:r>
      <w:r>
        <w:rPr>
          <w:rFonts w:hint="cs"/>
          <w:rtl/>
        </w:rPr>
        <w:t>כ</w:t>
      </w:r>
      <w:r w:rsidR="001B42E2">
        <w:rPr>
          <w:rFonts w:hint="eastAsia"/>
          <w:rtl/>
        </w:rPr>
        <w:t>ֵ</w:t>
      </w:r>
      <w:r>
        <w:rPr>
          <w:rFonts w:hint="cs"/>
          <w:rtl/>
        </w:rPr>
        <w:t xml:space="preserve">ם לזה ואין מוציאים ידו </w:t>
      </w:r>
      <w:r>
        <w:rPr>
          <w:rtl/>
        </w:rPr>
        <w:t>כלום</w:t>
      </w:r>
      <w:r>
        <w:rPr>
          <w:rFonts w:hint="cs"/>
          <w:rtl/>
        </w:rPr>
        <w:t xml:space="preserve"> - "</w:t>
      </w:r>
      <w:r>
        <w:rPr>
          <w:rtl/>
        </w:rPr>
        <w:t>למסת נקיים ילעג</w:t>
      </w:r>
      <w:r>
        <w:rPr>
          <w:rFonts w:hint="cs"/>
          <w:rtl/>
        </w:rPr>
        <w:t>".</w:t>
      </w:r>
      <w:r w:rsidR="008D4334">
        <w:rPr>
          <w:rStyle w:val="a5"/>
          <w:rtl/>
        </w:rPr>
        <w:footnoteReference w:id="2"/>
      </w:r>
      <w:r>
        <w:rPr>
          <w:rFonts w:hint="cs"/>
          <w:rtl/>
        </w:rPr>
        <w:t xml:space="preserve"> </w:t>
      </w:r>
    </w:p>
    <w:p w:rsidR="00E85D65" w:rsidRDefault="00E85D65" w:rsidP="00E85D65">
      <w:pPr>
        <w:pStyle w:val="ab"/>
        <w:rPr>
          <w:rFonts w:hint="cs"/>
          <w:rtl/>
        </w:rPr>
      </w:pPr>
      <w:r>
        <w:rPr>
          <w:rFonts w:hint="cs"/>
          <w:rtl/>
        </w:rPr>
        <w:t>ש</w:t>
      </w:r>
      <w:r>
        <w:rPr>
          <w:rFonts w:hint="eastAsia"/>
          <w:rtl/>
        </w:rPr>
        <w:t>ֶׂ</w:t>
      </w:r>
      <w:r>
        <w:rPr>
          <w:rFonts w:hint="cs"/>
          <w:rtl/>
        </w:rPr>
        <w:t>ב</w:t>
      </w:r>
      <w:r>
        <w:rPr>
          <w:rFonts w:hint="eastAsia"/>
          <w:rtl/>
        </w:rPr>
        <w:t>ַּ</w:t>
      </w:r>
      <w:r>
        <w:rPr>
          <w:rFonts w:hint="cs"/>
          <w:rtl/>
        </w:rPr>
        <w:t>ל</w:t>
      </w:r>
      <w:r>
        <w:rPr>
          <w:rFonts w:hint="eastAsia"/>
          <w:rtl/>
        </w:rPr>
        <w:t>ֵּ</w:t>
      </w:r>
      <w:r>
        <w:rPr>
          <w:rFonts w:hint="cs"/>
          <w:rtl/>
        </w:rPr>
        <w:t xml:space="preserve">ב </w:t>
      </w:r>
      <w:r>
        <w:rPr>
          <w:rFonts w:cs="David"/>
          <w:rtl/>
        </w:rPr>
        <w:t>–</w:t>
      </w:r>
      <w:r>
        <w:rPr>
          <w:rFonts w:hint="cs"/>
          <w:rtl/>
        </w:rPr>
        <w:t xml:space="preserve"> ב</w:t>
      </w:r>
      <w:r>
        <w:rPr>
          <w:rFonts w:hint="eastAsia"/>
          <w:rtl/>
        </w:rPr>
        <w:t>ַּ</w:t>
      </w:r>
      <w:r>
        <w:rPr>
          <w:rFonts w:hint="cs"/>
          <w:rtl/>
        </w:rPr>
        <w:t>ל</w:t>
      </w:r>
      <w:r>
        <w:rPr>
          <w:rFonts w:hint="eastAsia"/>
          <w:rtl/>
        </w:rPr>
        <w:t>ֵּ</w:t>
      </w:r>
      <w:r>
        <w:rPr>
          <w:rFonts w:hint="cs"/>
          <w:rtl/>
        </w:rPr>
        <w:t>ב, ש</w:t>
      </w:r>
      <w:r>
        <w:rPr>
          <w:rFonts w:hint="eastAsia"/>
          <w:rtl/>
        </w:rPr>
        <w:t>ֶׂ</w:t>
      </w:r>
      <w:r>
        <w:rPr>
          <w:rFonts w:hint="cs"/>
          <w:rtl/>
        </w:rPr>
        <w:t>ב</w:t>
      </w:r>
      <w:r>
        <w:rPr>
          <w:rFonts w:hint="eastAsia"/>
          <w:rtl/>
        </w:rPr>
        <w:t>ַּ</w:t>
      </w:r>
      <w:r>
        <w:rPr>
          <w:rFonts w:hint="cs"/>
          <w:rtl/>
        </w:rPr>
        <w:t>ל</w:t>
      </w:r>
      <w:r>
        <w:rPr>
          <w:rFonts w:hint="eastAsia"/>
          <w:rtl/>
        </w:rPr>
        <w:t>ֵּ</w:t>
      </w:r>
      <w:r>
        <w:rPr>
          <w:rFonts w:hint="cs"/>
          <w:rtl/>
        </w:rPr>
        <w:t xml:space="preserve">ב </w:t>
      </w:r>
      <w:r>
        <w:rPr>
          <w:rFonts w:cs="David"/>
          <w:rtl/>
        </w:rPr>
        <w:t>–</w:t>
      </w:r>
      <w:r>
        <w:rPr>
          <w:rFonts w:hint="cs"/>
          <w:rtl/>
        </w:rPr>
        <w:t xml:space="preserve"> ב</w:t>
      </w:r>
      <w:r>
        <w:rPr>
          <w:rFonts w:hint="eastAsia"/>
          <w:rtl/>
        </w:rPr>
        <w:t>ַּ</w:t>
      </w:r>
      <w:r>
        <w:rPr>
          <w:rFonts w:hint="cs"/>
          <w:rtl/>
        </w:rPr>
        <w:t>פ</w:t>
      </w:r>
      <w:r>
        <w:rPr>
          <w:rFonts w:hint="eastAsia"/>
          <w:rtl/>
        </w:rPr>
        <w:t>ֶּ</w:t>
      </w:r>
      <w:r>
        <w:rPr>
          <w:rFonts w:hint="cs"/>
          <w:rtl/>
        </w:rPr>
        <w:t>ה</w:t>
      </w:r>
    </w:p>
    <w:p w:rsidR="00E85D65" w:rsidRDefault="00E85D65" w:rsidP="00B56603">
      <w:pPr>
        <w:pStyle w:val="ac"/>
        <w:rPr>
          <w:rFonts w:hint="cs"/>
          <w:rtl/>
        </w:rPr>
      </w:pPr>
      <w:r>
        <w:rPr>
          <w:rtl/>
        </w:rPr>
        <w:t>בראשית רבה פד</w:t>
      </w:r>
      <w:r>
        <w:rPr>
          <w:rFonts w:hint="cs"/>
          <w:rtl/>
        </w:rPr>
        <w:t xml:space="preserve"> ט: "</w:t>
      </w:r>
      <w:r>
        <w:rPr>
          <w:rtl/>
        </w:rPr>
        <w:t>ויראו אחיו כי אותו אהב אביהם מכל אחיו</w:t>
      </w:r>
      <w:r>
        <w:rPr>
          <w:rFonts w:hint="cs"/>
          <w:rtl/>
        </w:rPr>
        <w:t xml:space="preserve">" (בראשית לז ד) </w:t>
      </w:r>
      <w:r w:rsidR="00B56603">
        <w:rPr>
          <w:rtl/>
        </w:rPr>
        <w:t>–</w:t>
      </w:r>
      <w:r>
        <w:rPr>
          <w:rFonts w:hint="cs"/>
          <w:rtl/>
        </w:rPr>
        <w:t xml:space="preserve"> </w:t>
      </w:r>
      <w:r>
        <w:rPr>
          <w:rtl/>
        </w:rPr>
        <w:t>א</w:t>
      </w:r>
      <w:r w:rsidR="00B56603">
        <w:rPr>
          <w:rFonts w:hint="cs"/>
          <w:rtl/>
        </w:rPr>
        <w:t xml:space="preserve">מר ר' </w:t>
      </w:r>
      <w:r>
        <w:rPr>
          <w:rtl/>
        </w:rPr>
        <w:t>אהבה בר זעירא</w:t>
      </w:r>
      <w:r w:rsidR="00B56603">
        <w:rPr>
          <w:rFonts w:hint="cs"/>
          <w:rtl/>
        </w:rPr>
        <w:t>:</w:t>
      </w:r>
      <w:r>
        <w:rPr>
          <w:rtl/>
        </w:rPr>
        <w:t xml:space="preserve"> מתוך גנותן של שבטים אתה יודע שבח</w:t>
      </w:r>
      <w:r w:rsidR="00B56603">
        <w:rPr>
          <w:rFonts w:hint="cs"/>
          <w:rtl/>
        </w:rPr>
        <w:t xml:space="preserve">ם. </w:t>
      </w:r>
      <w:r>
        <w:rPr>
          <w:rtl/>
        </w:rPr>
        <w:t>להלן</w:t>
      </w:r>
      <w:r w:rsidR="00B56603">
        <w:rPr>
          <w:rFonts w:hint="cs"/>
          <w:rtl/>
        </w:rPr>
        <w:t>: "</w:t>
      </w:r>
      <w:r>
        <w:rPr>
          <w:rtl/>
        </w:rPr>
        <w:t>ולא דבר אבשלום עם אמנון למרע ועד טוב</w:t>
      </w:r>
      <w:r w:rsidR="00B56603">
        <w:rPr>
          <w:rFonts w:hint="cs"/>
          <w:rtl/>
        </w:rPr>
        <w:t xml:space="preserve">" </w:t>
      </w:r>
      <w:r w:rsidR="00B56603">
        <w:rPr>
          <w:rtl/>
        </w:rPr>
        <w:t>(שמואל ב יג</w:t>
      </w:r>
      <w:r w:rsidR="00B56603">
        <w:rPr>
          <w:rFonts w:hint="cs"/>
          <w:rtl/>
        </w:rPr>
        <w:t xml:space="preserve"> כב</w:t>
      </w:r>
      <w:r w:rsidR="00B56603">
        <w:rPr>
          <w:rtl/>
        </w:rPr>
        <w:t>)</w:t>
      </w:r>
      <w:r w:rsidR="00B56603">
        <w:rPr>
          <w:rFonts w:hint="cs"/>
          <w:rtl/>
        </w:rPr>
        <w:t xml:space="preserve"> </w:t>
      </w:r>
      <w:r w:rsidR="00B56603">
        <w:rPr>
          <w:rtl/>
        </w:rPr>
        <w:t>–</w:t>
      </w:r>
      <w:r w:rsidR="00B56603">
        <w:rPr>
          <w:rFonts w:hint="cs"/>
          <w:rtl/>
        </w:rPr>
        <w:t xml:space="preserve"> שבלב </w:t>
      </w:r>
      <w:r w:rsidR="00B56603">
        <w:rPr>
          <w:rtl/>
        </w:rPr>
        <w:t>–</w:t>
      </w:r>
      <w:r w:rsidR="00B56603">
        <w:rPr>
          <w:rFonts w:hint="cs"/>
          <w:rtl/>
        </w:rPr>
        <w:t xml:space="preserve"> בלב. </w:t>
      </w:r>
      <w:r>
        <w:rPr>
          <w:rtl/>
        </w:rPr>
        <w:t xml:space="preserve">ברם </w:t>
      </w:r>
      <w:r w:rsidR="00B56603">
        <w:rPr>
          <w:rFonts w:hint="cs"/>
          <w:rtl/>
        </w:rPr>
        <w:t>כאן: "</w:t>
      </w:r>
      <w:r>
        <w:rPr>
          <w:rtl/>
        </w:rPr>
        <w:t>ולא יכלו דברו לשלום</w:t>
      </w:r>
      <w:r w:rsidR="00B56603">
        <w:rPr>
          <w:rFonts w:hint="cs"/>
          <w:rtl/>
        </w:rPr>
        <w:t xml:space="preserve">", שבלב </w:t>
      </w:r>
      <w:r w:rsidR="00B56603">
        <w:rPr>
          <w:rtl/>
        </w:rPr>
        <w:t>–</w:t>
      </w:r>
      <w:r w:rsidR="00B56603">
        <w:rPr>
          <w:rFonts w:hint="cs"/>
          <w:rtl/>
        </w:rPr>
        <w:t xml:space="preserve"> בפה.</w:t>
      </w:r>
      <w:r w:rsidR="00DE1D06">
        <w:rPr>
          <w:rStyle w:val="a5"/>
          <w:rtl/>
        </w:rPr>
        <w:footnoteReference w:id="3"/>
      </w:r>
    </w:p>
    <w:p w:rsidR="00E85D65" w:rsidRDefault="00E85D65" w:rsidP="00E85D65">
      <w:pPr>
        <w:pStyle w:val="ab"/>
        <w:rPr>
          <w:rFonts w:hint="cs"/>
          <w:rtl/>
        </w:rPr>
      </w:pPr>
      <w:r>
        <w:rPr>
          <w:rFonts w:hint="cs"/>
          <w:rtl/>
        </w:rPr>
        <w:t>נתבקרה פנקסי (פנקסו)</w:t>
      </w:r>
    </w:p>
    <w:p w:rsidR="00E85D65" w:rsidRDefault="00E85D65" w:rsidP="004022F5">
      <w:pPr>
        <w:pStyle w:val="ac"/>
        <w:rPr>
          <w:rFonts w:hint="cs"/>
          <w:rtl/>
        </w:rPr>
      </w:pPr>
      <w:r w:rsidRPr="00582E13">
        <w:rPr>
          <w:b/>
          <w:bCs/>
          <w:rtl/>
        </w:rPr>
        <w:t xml:space="preserve">בראשית רבה פד </w:t>
      </w:r>
      <w:r w:rsidRPr="00582E13">
        <w:rPr>
          <w:rFonts w:hint="cs"/>
          <w:b/>
          <w:bCs/>
          <w:rtl/>
        </w:rPr>
        <w:t>יב</w:t>
      </w:r>
      <w:r>
        <w:rPr>
          <w:rFonts w:hint="cs"/>
          <w:rtl/>
        </w:rPr>
        <w:t>: "</w:t>
      </w:r>
      <w:r>
        <w:rPr>
          <w:rtl/>
        </w:rPr>
        <w:t>ויקנאו בו אחיו ואביו שמר</w:t>
      </w:r>
      <w:r>
        <w:rPr>
          <w:rFonts w:hint="cs"/>
          <w:rtl/>
        </w:rPr>
        <w:t xml:space="preserve"> את הדבר" (בראשית לז יא) - </w:t>
      </w:r>
      <w:r>
        <w:rPr>
          <w:rtl/>
        </w:rPr>
        <w:t>א"ר לוי</w:t>
      </w:r>
      <w:r>
        <w:rPr>
          <w:rFonts w:hint="cs"/>
          <w:rtl/>
        </w:rPr>
        <w:t>:</w:t>
      </w:r>
      <w:r>
        <w:rPr>
          <w:rtl/>
        </w:rPr>
        <w:t xml:space="preserve"> נטל קולמוס וכתב באיזה יום ובאיז</w:t>
      </w:r>
      <w:r>
        <w:rPr>
          <w:rFonts w:hint="cs"/>
          <w:rtl/>
        </w:rPr>
        <w:t>ו</w:t>
      </w:r>
      <w:r>
        <w:rPr>
          <w:rtl/>
        </w:rPr>
        <w:t xml:space="preserve"> שעה </w:t>
      </w:r>
      <w:r>
        <w:rPr>
          <w:rFonts w:hint="cs"/>
          <w:rtl/>
        </w:rPr>
        <w:t>ו</w:t>
      </w:r>
      <w:r>
        <w:rPr>
          <w:rtl/>
        </w:rPr>
        <w:t>באיזה מקום</w:t>
      </w:r>
      <w:r>
        <w:rPr>
          <w:rFonts w:hint="cs"/>
          <w:rtl/>
        </w:rPr>
        <w:t xml:space="preserve"> ... </w:t>
      </w:r>
      <w:r>
        <w:rPr>
          <w:rtl/>
        </w:rPr>
        <w:t>ר' לוי בשם רבי חמא בר חנינא אמר</w:t>
      </w:r>
      <w:r>
        <w:rPr>
          <w:rFonts w:hint="cs"/>
          <w:rtl/>
        </w:rPr>
        <w:t>:</w:t>
      </w:r>
      <w:r>
        <w:rPr>
          <w:rtl/>
        </w:rPr>
        <w:t xml:space="preserve"> כך </w:t>
      </w:r>
      <w:r>
        <w:rPr>
          <w:rFonts w:hint="cs"/>
          <w:rtl/>
        </w:rPr>
        <w:t xml:space="preserve">היה </w:t>
      </w:r>
      <w:r>
        <w:rPr>
          <w:rtl/>
        </w:rPr>
        <w:t xml:space="preserve">יעקב </w:t>
      </w:r>
      <w:r>
        <w:rPr>
          <w:rFonts w:hint="cs"/>
          <w:rtl/>
        </w:rPr>
        <w:t xml:space="preserve">רואה </w:t>
      </w:r>
      <w:r>
        <w:rPr>
          <w:rtl/>
        </w:rPr>
        <w:t>דברים ממשמשי</w:t>
      </w:r>
      <w:r>
        <w:rPr>
          <w:rFonts w:hint="cs"/>
          <w:rtl/>
        </w:rPr>
        <w:t>ם</w:t>
      </w:r>
      <w:r>
        <w:rPr>
          <w:rtl/>
        </w:rPr>
        <w:t xml:space="preserve"> ובאי</w:t>
      </w:r>
      <w:r>
        <w:rPr>
          <w:rFonts w:hint="cs"/>
          <w:rtl/>
        </w:rPr>
        <w:t>ם</w:t>
      </w:r>
      <w:r>
        <w:rPr>
          <w:rtl/>
        </w:rPr>
        <w:t>, אמר</w:t>
      </w:r>
      <w:r>
        <w:rPr>
          <w:rFonts w:hint="cs"/>
          <w:rtl/>
        </w:rPr>
        <w:t>:</w:t>
      </w:r>
      <w:r>
        <w:rPr>
          <w:rtl/>
        </w:rPr>
        <w:t xml:space="preserve"> אם נתבקרה פנקס</w:t>
      </w:r>
      <w:r>
        <w:rPr>
          <w:rFonts w:hint="cs"/>
          <w:rtl/>
        </w:rPr>
        <w:t xml:space="preserve">י, </w:t>
      </w:r>
      <w:r>
        <w:rPr>
          <w:rtl/>
        </w:rPr>
        <w:t>מה יכול אני לעשות</w:t>
      </w:r>
      <w:r>
        <w:rPr>
          <w:rFonts w:hint="cs"/>
          <w:rtl/>
        </w:rPr>
        <w:t>?</w:t>
      </w:r>
      <w:r>
        <w:rPr>
          <w:rStyle w:val="a5"/>
          <w:rtl/>
        </w:rPr>
        <w:footnoteReference w:id="4"/>
      </w:r>
    </w:p>
    <w:p w:rsidR="00E85D65" w:rsidRDefault="00E85D65" w:rsidP="00E85D65">
      <w:pPr>
        <w:pStyle w:val="ab"/>
        <w:rPr>
          <w:rFonts w:hint="cs"/>
          <w:rtl/>
        </w:rPr>
      </w:pPr>
      <w:r>
        <w:rPr>
          <w:rtl/>
        </w:rPr>
        <w:lastRenderedPageBreak/>
        <w:t>כל המתאבלים עליו מתאבלים ע</w:t>
      </w:r>
      <w:r>
        <w:rPr>
          <w:rFonts w:hint="cs"/>
          <w:rtl/>
        </w:rPr>
        <w:t>י</w:t>
      </w:r>
      <w:r>
        <w:rPr>
          <w:rtl/>
        </w:rPr>
        <w:t>מו</w:t>
      </w:r>
    </w:p>
    <w:p w:rsidR="00E85D65" w:rsidRDefault="00E85D65" w:rsidP="001621F9">
      <w:pPr>
        <w:pStyle w:val="ac"/>
        <w:rPr>
          <w:rFonts w:hint="cs"/>
          <w:rtl/>
        </w:rPr>
      </w:pPr>
      <w:r w:rsidRPr="00AE49E3">
        <w:rPr>
          <w:b/>
          <w:bCs/>
          <w:rtl/>
        </w:rPr>
        <w:t xml:space="preserve">בראשית רבה פד </w:t>
      </w:r>
      <w:r w:rsidRPr="00AE49E3">
        <w:rPr>
          <w:rFonts w:hint="cs"/>
          <w:b/>
          <w:bCs/>
          <w:rtl/>
        </w:rPr>
        <w:t>כא</w:t>
      </w:r>
      <w:r>
        <w:rPr>
          <w:rFonts w:hint="cs"/>
          <w:rtl/>
        </w:rPr>
        <w:t>: "</w:t>
      </w:r>
      <w:r>
        <w:rPr>
          <w:rtl/>
        </w:rPr>
        <w:t>ויבך אתו אביו</w:t>
      </w:r>
      <w:r>
        <w:rPr>
          <w:rFonts w:hint="cs"/>
          <w:rtl/>
        </w:rPr>
        <w:t>" -</w:t>
      </w:r>
      <w:r>
        <w:rPr>
          <w:rtl/>
        </w:rPr>
        <w:t xml:space="preserve"> זה יצחק, ר' לוי ור' סימון</w:t>
      </w:r>
      <w:r>
        <w:rPr>
          <w:rFonts w:hint="cs"/>
          <w:rtl/>
        </w:rPr>
        <w:t>.</w:t>
      </w:r>
      <w:r>
        <w:rPr>
          <w:rtl/>
        </w:rPr>
        <w:t xml:space="preserve"> ר' לוי אמר</w:t>
      </w:r>
      <w:r>
        <w:rPr>
          <w:rFonts w:hint="cs"/>
          <w:rtl/>
        </w:rPr>
        <w:t>:</w:t>
      </w:r>
      <w:r>
        <w:rPr>
          <w:rtl/>
        </w:rPr>
        <w:t xml:space="preserve"> אצלו היה בוכה וכיון שהיה יוצא מאצלו היה רוחץ וסך ואוכל ושותה</w:t>
      </w:r>
      <w:r>
        <w:rPr>
          <w:rFonts w:hint="cs"/>
          <w:rtl/>
        </w:rPr>
        <w:t>.</w:t>
      </w:r>
      <w:r>
        <w:rPr>
          <w:rStyle w:val="a5"/>
          <w:rtl/>
        </w:rPr>
        <w:footnoteReference w:id="5"/>
      </w:r>
      <w:r>
        <w:rPr>
          <w:rtl/>
        </w:rPr>
        <w:t xml:space="preserve"> ולמה לא גילה לו</w:t>
      </w:r>
      <w:r w:rsidR="001621F9">
        <w:rPr>
          <w:rFonts w:hint="cs"/>
          <w:rtl/>
        </w:rPr>
        <w:t>?</w:t>
      </w:r>
      <w:r>
        <w:rPr>
          <w:rtl/>
        </w:rPr>
        <w:t xml:space="preserve"> אמר</w:t>
      </w:r>
      <w:r w:rsidR="001621F9">
        <w:rPr>
          <w:rFonts w:hint="cs"/>
          <w:rtl/>
        </w:rPr>
        <w:t>:</w:t>
      </w:r>
      <w:r>
        <w:rPr>
          <w:rtl/>
        </w:rPr>
        <w:t xml:space="preserve"> </w:t>
      </w:r>
      <w:r w:rsidR="004022F5">
        <w:rPr>
          <w:rtl/>
        </w:rPr>
        <w:t>הקב"ה</w:t>
      </w:r>
      <w:r>
        <w:rPr>
          <w:rtl/>
        </w:rPr>
        <w:t xml:space="preserve"> לא גילה לו ואני אגלה לו</w:t>
      </w:r>
      <w:r w:rsidR="001621F9">
        <w:rPr>
          <w:rFonts w:hint="cs"/>
          <w:rtl/>
        </w:rPr>
        <w:t>?</w:t>
      </w:r>
      <w:r>
        <w:rPr>
          <w:rtl/>
        </w:rPr>
        <w:t xml:space="preserve"> ר' סימון אמר</w:t>
      </w:r>
      <w:r w:rsidR="000D5110">
        <w:rPr>
          <w:rFonts w:hint="cs"/>
          <w:rtl/>
        </w:rPr>
        <w:t>:</w:t>
      </w:r>
      <w:r>
        <w:rPr>
          <w:rtl/>
        </w:rPr>
        <w:t xml:space="preserve"> על שם</w:t>
      </w:r>
      <w:r w:rsidR="000D5110">
        <w:rPr>
          <w:rFonts w:hint="cs"/>
          <w:rtl/>
        </w:rPr>
        <w:t>:</w:t>
      </w:r>
      <w:r>
        <w:rPr>
          <w:rtl/>
        </w:rPr>
        <w:t xml:space="preserve"> כל המתאבלים עליו </w:t>
      </w:r>
      <w:r w:rsidR="001621F9">
        <w:rPr>
          <w:rFonts w:hint="cs"/>
          <w:rtl/>
        </w:rPr>
        <w:t xml:space="preserve">- </w:t>
      </w:r>
      <w:r>
        <w:rPr>
          <w:rtl/>
        </w:rPr>
        <w:t>מתאבלים עמו.</w:t>
      </w:r>
      <w:r>
        <w:rPr>
          <w:rStyle w:val="a5"/>
          <w:rtl/>
        </w:rPr>
        <w:footnoteReference w:id="6"/>
      </w:r>
    </w:p>
    <w:p w:rsidR="00E85D65" w:rsidRDefault="00E85D65" w:rsidP="00E85D65">
      <w:pPr>
        <w:pStyle w:val="ab"/>
        <w:rPr>
          <w:rFonts w:hint="cs"/>
          <w:rtl/>
        </w:rPr>
      </w:pPr>
      <w:r>
        <w:rPr>
          <w:rFonts w:hint="cs"/>
          <w:rtl/>
        </w:rPr>
        <w:t>מתנחמים על המתים ואין מתנחמים על החיים</w:t>
      </w:r>
    </w:p>
    <w:p w:rsidR="00E85D65" w:rsidRDefault="00E85D65" w:rsidP="00E85D65">
      <w:pPr>
        <w:pStyle w:val="ac"/>
        <w:rPr>
          <w:rFonts w:hint="cs"/>
          <w:rtl/>
        </w:rPr>
      </w:pPr>
      <w:r w:rsidRPr="00AE49E3">
        <w:rPr>
          <w:b/>
          <w:bCs/>
          <w:rtl/>
        </w:rPr>
        <w:t xml:space="preserve">בראשית רבה פד </w:t>
      </w:r>
      <w:r w:rsidRPr="00AE49E3">
        <w:rPr>
          <w:rFonts w:hint="cs"/>
          <w:b/>
          <w:bCs/>
          <w:rtl/>
        </w:rPr>
        <w:t>כא</w:t>
      </w:r>
      <w:r>
        <w:rPr>
          <w:rFonts w:hint="cs"/>
          <w:rtl/>
        </w:rPr>
        <w:t>: "</w:t>
      </w:r>
      <w:r>
        <w:rPr>
          <w:rtl/>
        </w:rPr>
        <w:t>ויקומו כל בניו וכל בנותיו לנחמו, וימאן להתנחם</w:t>
      </w:r>
      <w:r>
        <w:rPr>
          <w:rFonts w:hint="cs"/>
          <w:rtl/>
        </w:rPr>
        <w:t xml:space="preserve">" - </w:t>
      </w:r>
      <w:r>
        <w:rPr>
          <w:rtl/>
        </w:rPr>
        <w:t>מטרונה שאלה את ר' יוסי</w:t>
      </w:r>
      <w:r>
        <w:rPr>
          <w:rFonts w:hint="cs"/>
          <w:rtl/>
        </w:rPr>
        <w:t>,</w:t>
      </w:r>
      <w:r>
        <w:rPr>
          <w:rtl/>
        </w:rPr>
        <w:t xml:space="preserve"> אמרה לו</w:t>
      </w:r>
      <w:r>
        <w:rPr>
          <w:rFonts w:hint="cs"/>
          <w:rtl/>
        </w:rPr>
        <w:t>:</w:t>
      </w:r>
      <w:r>
        <w:rPr>
          <w:rtl/>
        </w:rPr>
        <w:t xml:space="preserve"> כתיב</w:t>
      </w:r>
      <w:r>
        <w:rPr>
          <w:rFonts w:hint="cs"/>
          <w:rtl/>
        </w:rPr>
        <w:t>:</w:t>
      </w:r>
      <w:r>
        <w:rPr>
          <w:rtl/>
        </w:rPr>
        <w:t xml:space="preserve"> </w:t>
      </w:r>
      <w:r>
        <w:rPr>
          <w:rFonts w:hint="cs"/>
          <w:rtl/>
        </w:rPr>
        <w:t>"</w:t>
      </w:r>
      <w:r>
        <w:rPr>
          <w:rtl/>
        </w:rPr>
        <w:t>כי יהודה גבר באחיו</w:t>
      </w:r>
      <w:r>
        <w:rPr>
          <w:rFonts w:hint="cs"/>
          <w:rtl/>
        </w:rPr>
        <w:t xml:space="preserve">" </w:t>
      </w:r>
      <w:r>
        <w:rPr>
          <w:rtl/>
        </w:rPr>
        <w:t>(דברי הימים א ה</w:t>
      </w:r>
      <w:r>
        <w:rPr>
          <w:rFonts w:hint="cs"/>
          <w:rtl/>
        </w:rPr>
        <w:t xml:space="preserve"> ב</w:t>
      </w:r>
      <w:r>
        <w:rPr>
          <w:rtl/>
        </w:rPr>
        <w:t>), וכתיב</w:t>
      </w:r>
      <w:r>
        <w:rPr>
          <w:rFonts w:hint="cs"/>
          <w:rtl/>
        </w:rPr>
        <w:t>:</w:t>
      </w:r>
      <w:r>
        <w:rPr>
          <w:rtl/>
        </w:rPr>
        <w:t xml:space="preserve"> </w:t>
      </w:r>
      <w:r>
        <w:rPr>
          <w:rFonts w:hint="cs"/>
          <w:rtl/>
        </w:rPr>
        <w:t>"</w:t>
      </w:r>
      <w:r>
        <w:rPr>
          <w:rtl/>
        </w:rPr>
        <w:t>וינחם יהודה ויעל על גוזזי צאנו</w:t>
      </w:r>
      <w:r>
        <w:rPr>
          <w:rFonts w:hint="cs"/>
          <w:rtl/>
        </w:rPr>
        <w:t>".</w:t>
      </w:r>
      <w:r>
        <w:rPr>
          <w:rtl/>
        </w:rPr>
        <w:t xml:space="preserve"> וזה אביהם של כ</w:t>
      </w:r>
      <w:r>
        <w:rPr>
          <w:rFonts w:hint="cs"/>
          <w:rtl/>
        </w:rPr>
        <w:t>ו</w:t>
      </w:r>
      <w:r>
        <w:rPr>
          <w:rtl/>
        </w:rPr>
        <w:t xml:space="preserve">לם </w:t>
      </w:r>
      <w:r>
        <w:rPr>
          <w:rFonts w:hint="cs"/>
          <w:rtl/>
        </w:rPr>
        <w:t>"</w:t>
      </w:r>
      <w:r>
        <w:rPr>
          <w:rtl/>
        </w:rPr>
        <w:t>וימאן להתנחם</w:t>
      </w:r>
      <w:r>
        <w:rPr>
          <w:rFonts w:hint="cs"/>
          <w:rtl/>
        </w:rPr>
        <w:t>"?!</w:t>
      </w:r>
      <w:r>
        <w:rPr>
          <w:rStyle w:val="a5"/>
          <w:rtl/>
        </w:rPr>
        <w:footnoteReference w:id="7"/>
      </w:r>
      <w:r>
        <w:rPr>
          <w:rtl/>
        </w:rPr>
        <w:t xml:space="preserve"> אמר לה</w:t>
      </w:r>
      <w:r>
        <w:rPr>
          <w:rFonts w:hint="cs"/>
          <w:rtl/>
        </w:rPr>
        <w:t>:</w:t>
      </w:r>
      <w:r>
        <w:rPr>
          <w:rtl/>
        </w:rPr>
        <w:t xml:space="preserve"> מתנחמים על המתים ואין מתנחמים על החיים</w:t>
      </w:r>
      <w:r>
        <w:rPr>
          <w:rFonts w:hint="cs"/>
          <w:rtl/>
        </w:rPr>
        <w:t>.</w:t>
      </w:r>
      <w:r>
        <w:rPr>
          <w:rStyle w:val="a5"/>
          <w:rtl/>
        </w:rPr>
        <w:footnoteReference w:id="8"/>
      </w:r>
    </w:p>
    <w:p w:rsidR="00E169B6" w:rsidRDefault="00E169B6" w:rsidP="00DC20C6">
      <w:pPr>
        <w:pStyle w:val="ab"/>
        <w:rPr>
          <w:rFonts w:hint="cs"/>
          <w:rtl/>
        </w:rPr>
      </w:pPr>
      <w:r>
        <w:rPr>
          <w:rFonts w:hint="cs"/>
          <w:rtl/>
        </w:rPr>
        <w:t xml:space="preserve">המתחיל במצווה ואינו גומרה ובא אחר </w:t>
      </w:r>
      <w:r w:rsidR="00DC20C6">
        <w:rPr>
          <w:rFonts w:hint="cs"/>
          <w:rtl/>
        </w:rPr>
        <w:t>וגומרה, היא נקראת על שמו</w:t>
      </w:r>
    </w:p>
    <w:p w:rsidR="00E169B6" w:rsidRDefault="00E169B6" w:rsidP="00F702F5">
      <w:pPr>
        <w:pStyle w:val="ac"/>
        <w:rPr>
          <w:rFonts w:hint="cs"/>
          <w:rtl/>
        </w:rPr>
      </w:pPr>
      <w:r w:rsidRPr="00290F31">
        <w:rPr>
          <w:b/>
          <w:bCs/>
          <w:rtl/>
        </w:rPr>
        <w:t xml:space="preserve">בראשית רבה פה </w:t>
      </w:r>
      <w:r w:rsidRPr="00290F31">
        <w:rPr>
          <w:rFonts w:hint="cs"/>
          <w:b/>
          <w:bCs/>
          <w:rtl/>
        </w:rPr>
        <w:t>ג</w:t>
      </w:r>
      <w:r>
        <w:rPr>
          <w:rFonts w:hint="cs"/>
          <w:rtl/>
        </w:rPr>
        <w:t xml:space="preserve">: </w:t>
      </w:r>
      <w:r w:rsidRPr="00E169B6">
        <w:rPr>
          <w:rtl/>
        </w:rPr>
        <w:t>ר' יהודה בר סימון ורבי חנין בשם ר' יוחנן</w:t>
      </w:r>
      <w:r w:rsidR="00212506">
        <w:rPr>
          <w:rFonts w:hint="cs"/>
          <w:rtl/>
        </w:rPr>
        <w:t>:</w:t>
      </w:r>
      <w:r w:rsidRPr="00E169B6">
        <w:rPr>
          <w:rtl/>
        </w:rPr>
        <w:t xml:space="preserve"> כל מי שהוא מתחיל במצוה ואינו גומר</w:t>
      </w:r>
      <w:r w:rsidR="00F702F5">
        <w:rPr>
          <w:rtl/>
        </w:rPr>
        <w:t>ָ</w:t>
      </w:r>
      <w:r w:rsidRPr="00E169B6">
        <w:rPr>
          <w:rtl/>
        </w:rPr>
        <w:t>ה</w:t>
      </w:r>
      <w:r w:rsidR="00F702F5">
        <w:rPr>
          <w:rtl/>
        </w:rPr>
        <w:t>ּ</w:t>
      </w:r>
      <w:r w:rsidR="00F702F5">
        <w:rPr>
          <w:rFonts w:hint="cs"/>
          <w:rtl/>
        </w:rPr>
        <w:t>,</w:t>
      </w:r>
      <w:r w:rsidRPr="00E169B6">
        <w:rPr>
          <w:rtl/>
        </w:rPr>
        <w:t xml:space="preserve"> קובר את אשתו ואת בניו</w:t>
      </w:r>
      <w:r w:rsidR="00F702F5">
        <w:rPr>
          <w:rFonts w:hint="cs"/>
          <w:rtl/>
        </w:rPr>
        <w:t>.</w:t>
      </w:r>
      <w:r w:rsidRPr="00E169B6">
        <w:rPr>
          <w:rtl/>
        </w:rPr>
        <w:t xml:space="preserve"> ממי אתה למד מיהודה</w:t>
      </w:r>
      <w:r w:rsidR="00F702F5">
        <w:rPr>
          <w:rFonts w:hint="cs"/>
          <w:rtl/>
        </w:rPr>
        <w:t>:</w:t>
      </w:r>
      <w:r w:rsidRPr="00E169B6">
        <w:rPr>
          <w:rtl/>
        </w:rPr>
        <w:t xml:space="preserve"> </w:t>
      </w:r>
      <w:r w:rsidR="00F702F5">
        <w:rPr>
          <w:rFonts w:hint="cs"/>
          <w:rtl/>
        </w:rPr>
        <w:t>"</w:t>
      </w:r>
      <w:r w:rsidRPr="00E169B6">
        <w:rPr>
          <w:rtl/>
        </w:rPr>
        <w:t>ויאמר יהודה אל אחיו מה בצע</w:t>
      </w:r>
      <w:r w:rsidR="00F702F5">
        <w:rPr>
          <w:rFonts w:hint="cs"/>
          <w:rtl/>
        </w:rPr>
        <w:t xml:space="preserve"> כי נהרוג את אחינו" (בראשית ל זכו) - </w:t>
      </w:r>
      <w:r w:rsidRPr="00E169B6">
        <w:rPr>
          <w:rtl/>
        </w:rPr>
        <w:t>היה לו להוליכו על כתפו אצל אביו</w:t>
      </w:r>
      <w:r w:rsidR="00F702F5">
        <w:rPr>
          <w:rFonts w:hint="cs"/>
          <w:rtl/>
        </w:rPr>
        <w:t>.</w:t>
      </w:r>
      <w:r w:rsidRPr="00E169B6">
        <w:rPr>
          <w:rtl/>
        </w:rPr>
        <w:t xml:space="preserve"> מה גרם לו</w:t>
      </w:r>
      <w:r w:rsidR="00F702F5">
        <w:rPr>
          <w:rFonts w:hint="cs"/>
          <w:rtl/>
        </w:rPr>
        <w:t>?</w:t>
      </w:r>
      <w:r w:rsidRPr="00E169B6">
        <w:rPr>
          <w:rtl/>
        </w:rPr>
        <w:t xml:space="preserve"> קבר אשתו ובניו</w:t>
      </w:r>
      <w:r w:rsidR="00F702F5">
        <w:rPr>
          <w:rFonts w:hint="cs"/>
          <w:rtl/>
        </w:rPr>
        <w:t>.</w:t>
      </w:r>
      <w:r w:rsidR="00F702F5">
        <w:rPr>
          <w:rStyle w:val="a5"/>
          <w:rtl/>
        </w:rPr>
        <w:footnoteReference w:id="9"/>
      </w:r>
      <w:r w:rsidRPr="00E169B6">
        <w:rPr>
          <w:rtl/>
        </w:rPr>
        <w:t xml:space="preserve"> רבי הונא בשם רבי אליעזר בנו של רבי יוסי הגלילי</w:t>
      </w:r>
      <w:r w:rsidR="00F702F5">
        <w:rPr>
          <w:rFonts w:hint="cs"/>
          <w:rtl/>
        </w:rPr>
        <w:t>:</w:t>
      </w:r>
      <w:r w:rsidRPr="00E169B6">
        <w:rPr>
          <w:rtl/>
        </w:rPr>
        <w:t xml:space="preserve"> כל מי שמתחיל במצוה ואינו גומרה ואחר בא וגומרה</w:t>
      </w:r>
      <w:r w:rsidR="00F702F5">
        <w:rPr>
          <w:rFonts w:hint="cs"/>
          <w:rtl/>
        </w:rPr>
        <w:t>,</w:t>
      </w:r>
      <w:r w:rsidRPr="00E169B6">
        <w:rPr>
          <w:rtl/>
        </w:rPr>
        <w:t xml:space="preserve"> היא נקראת על שמו של שני</w:t>
      </w:r>
      <w:r>
        <w:rPr>
          <w:rFonts w:hint="cs"/>
          <w:rtl/>
        </w:rPr>
        <w:t>.</w:t>
      </w:r>
      <w:r>
        <w:rPr>
          <w:rStyle w:val="a5"/>
          <w:rtl/>
        </w:rPr>
        <w:footnoteReference w:id="10"/>
      </w:r>
      <w:r w:rsidRPr="00E169B6">
        <w:rPr>
          <w:rtl/>
        </w:rPr>
        <w:t xml:space="preserve"> </w:t>
      </w:r>
    </w:p>
    <w:p w:rsidR="003A40BB" w:rsidRDefault="003A40BB" w:rsidP="00E169B6">
      <w:pPr>
        <w:pStyle w:val="ab"/>
        <w:rPr>
          <w:rFonts w:hint="cs"/>
          <w:rtl/>
        </w:rPr>
      </w:pPr>
      <w:r>
        <w:rPr>
          <w:rtl/>
        </w:rPr>
        <w:t xml:space="preserve">שתיתם את היין החזירו את הקנקן למקומה </w:t>
      </w:r>
    </w:p>
    <w:p w:rsidR="00CD1699" w:rsidRDefault="003A40BB" w:rsidP="0011518D">
      <w:pPr>
        <w:pStyle w:val="ac"/>
        <w:rPr>
          <w:rFonts w:hint="cs"/>
          <w:rtl/>
        </w:rPr>
      </w:pPr>
      <w:r w:rsidRPr="00290F31">
        <w:rPr>
          <w:b/>
          <w:bCs/>
          <w:rtl/>
        </w:rPr>
        <w:t xml:space="preserve">בראשית רבה </w:t>
      </w:r>
      <w:r w:rsidR="00E169B6" w:rsidRPr="00290F31">
        <w:rPr>
          <w:rFonts w:hint="cs"/>
          <w:b/>
          <w:bCs/>
          <w:rtl/>
        </w:rPr>
        <w:t>פה ג</w:t>
      </w:r>
      <w:r w:rsidR="00E169B6">
        <w:rPr>
          <w:rFonts w:hint="cs"/>
          <w:rtl/>
        </w:rPr>
        <w:t xml:space="preserve">: </w:t>
      </w:r>
      <w:r w:rsidR="00DC20C6">
        <w:rPr>
          <w:rFonts w:hint="cs"/>
          <w:rtl/>
        </w:rPr>
        <w:t xml:space="preserve">זהו שכתוב: </w:t>
      </w:r>
      <w:r>
        <w:rPr>
          <w:rtl/>
        </w:rPr>
        <w:t>"ואת עצמות יוסף אשר העלו בני ישראל</w:t>
      </w:r>
      <w:r w:rsidR="00DC20C6">
        <w:rPr>
          <w:rFonts w:hint="cs"/>
          <w:rtl/>
        </w:rPr>
        <w:t xml:space="preserve">" </w:t>
      </w:r>
      <w:r w:rsidR="00DC20C6">
        <w:rPr>
          <w:rtl/>
        </w:rPr>
        <w:t>(יהושע כד</w:t>
      </w:r>
      <w:r w:rsidR="00DC20C6">
        <w:rPr>
          <w:rFonts w:hint="cs"/>
          <w:rtl/>
        </w:rPr>
        <w:t xml:space="preserve"> לב</w:t>
      </w:r>
      <w:r w:rsidR="00DC20C6">
        <w:rPr>
          <w:rtl/>
        </w:rPr>
        <w:t>)</w:t>
      </w:r>
      <w:r>
        <w:rPr>
          <w:rtl/>
        </w:rPr>
        <w:t>, ולא משה ה</w:t>
      </w:r>
      <w:r w:rsidR="00DC20C6">
        <w:rPr>
          <w:rtl/>
        </w:rPr>
        <w:t>ֶ</w:t>
      </w:r>
      <w:r>
        <w:rPr>
          <w:rtl/>
        </w:rPr>
        <w:t>ע</w:t>
      </w:r>
      <w:r w:rsidR="00DC20C6">
        <w:rPr>
          <w:rtl/>
        </w:rPr>
        <w:t>ֱ</w:t>
      </w:r>
      <w:r>
        <w:rPr>
          <w:rtl/>
        </w:rPr>
        <w:t>ל</w:t>
      </w:r>
      <w:r w:rsidR="00DC20C6">
        <w:rPr>
          <w:rtl/>
        </w:rPr>
        <w:t>ָ</w:t>
      </w:r>
      <w:r>
        <w:rPr>
          <w:rtl/>
        </w:rPr>
        <w:t>ם</w:t>
      </w:r>
      <w:r w:rsidR="00DC20C6">
        <w:rPr>
          <w:rFonts w:hint="cs"/>
          <w:rtl/>
        </w:rPr>
        <w:t>?</w:t>
      </w:r>
      <w:r>
        <w:rPr>
          <w:rtl/>
        </w:rPr>
        <w:t xml:space="preserve"> שנאמר</w:t>
      </w:r>
      <w:r w:rsidR="00DC20C6">
        <w:rPr>
          <w:rFonts w:hint="cs"/>
          <w:rtl/>
        </w:rPr>
        <w:t>: "</w:t>
      </w:r>
      <w:r>
        <w:rPr>
          <w:rtl/>
        </w:rPr>
        <w:t>ויקח משה את עצמות יוסף עמו</w:t>
      </w:r>
      <w:r w:rsidR="00DC20C6">
        <w:rPr>
          <w:rFonts w:hint="cs"/>
          <w:rtl/>
        </w:rPr>
        <w:t xml:space="preserve">" </w:t>
      </w:r>
      <w:r w:rsidR="00DC20C6">
        <w:rPr>
          <w:rtl/>
        </w:rPr>
        <w:t>(שמות יג</w:t>
      </w:r>
      <w:r w:rsidR="00DC20C6">
        <w:rPr>
          <w:rFonts w:hint="cs"/>
          <w:rtl/>
        </w:rPr>
        <w:t xml:space="preserve"> יט</w:t>
      </w:r>
      <w:r w:rsidR="00DC20C6">
        <w:rPr>
          <w:rtl/>
        </w:rPr>
        <w:t>)</w:t>
      </w:r>
      <w:r w:rsidR="00DC20C6">
        <w:rPr>
          <w:rFonts w:hint="cs"/>
          <w:rtl/>
        </w:rPr>
        <w:t>!</w:t>
      </w:r>
      <w:r>
        <w:rPr>
          <w:rtl/>
        </w:rPr>
        <w:t xml:space="preserve"> אלא לפי שנגזר עליו שלא יכנס לארץ ואלו נטפלו בהם</w:t>
      </w:r>
      <w:r w:rsidR="00002FB4">
        <w:rPr>
          <w:rFonts w:hint="cs"/>
          <w:rtl/>
        </w:rPr>
        <w:t>,</w:t>
      </w:r>
      <w:r>
        <w:rPr>
          <w:rtl/>
        </w:rPr>
        <w:t xml:space="preserve"> לפיכך נקראת על שמם</w:t>
      </w:r>
      <w:r w:rsidR="0011518D">
        <w:rPr>
          <w:rFonts w:hint="cs"/>
          <w:rtl/>
        </w:rPr>
        <w:t xml:space="preserve">: " ... </w:t>
      </w:r>
      <w:r w:rsidR="0011518D">
        <w:rPr>
          <w:rtl/>
        </w:rPr>
        <w:t>אשר העלו בני ישראל</w:t>
      </w:r>
      <w:r w:rsidR="0011518D">
        <w:rPr>
          <w:rFonts w:hint="cs"/>
          <w:rtl/>
        </w:rPr>
        <w:t>".</w:t>
      </w:r>
      <w:r w:rsidR="0011518D">
        <w:rPr>
          <w:rtl/>
        </w:rPr>
        <w:t xml:space="preserve"> </w:t>
      </w:r>
      <w:r>
        <w:rPr>
          <w:rtl/>
        </w:rPr>
        <w:t>מושלים אותו למה הדבר דומה</w:t>
      </w:r>
      <w:r w:rsidR="0011518D">
        <w:rPr>
          <w:rFonts w:hint="cs"/>
          <w:rtl/>
        </w:rPr>
        <w:t>?</w:t>
      </w:r>
      <w:r>
        <w:rPr>
          <w:rtl/>
        </w:rPr>
        <w:t xml:space="preserve"> לליסטים שנכנסו </w:t>
      </w:r>
      <w:r>
        <w:rPr>
          <w:rtl/>
        </w:rPr>
        <w:lastRenderedPageBreak/>
        <w:t>למרתף אחד של יין</w:t>
      </w:r>
      <w:r w:rsidR="0011518D">
        <w:rPr>
          <w:rFonts w:hint="cs"/>
          <w:rtl/>
        </w:rPr>
        <w:t>.</w:t>
      </w:r>
      <w:r>
        <w:rPr>
          <w:rtl/>
        </w:rPr>
        <w:t xml:space="preserve"> נטלו קנקן אחד ושתו</w:t>
      </w:r>
      <w:r w:rsidR="0011518D">
        <w:rPr>
          <w:rFonts w:hint="cs"/>
          <w:rtl/>
        </w:rPr>
        <w:t>.</w:t>
      </w:r>
      <w:r>
        <w:rPr>
          <w:rtl/>
        </w:rPr>
        <w:t xml:space="preserve"> הציץ עליהם בעל המרתף</w:t>
      </w:r>
      <w:r w:rsidR="0011518D">
        <w:rPr>
          <w:rFonts w:hint="cs"/>
          <w:rtl/>
        </w:rPr>
        <w:t>,</w:t>
      </w:r>
      <w:r>
        <w:rPr>
          <w:rtl/>
        </w:rPr>
        <w:t xml:space="preserve"> אמר להם</w:t>
      </w:r>
      <w:r w:rsidR="0011518D">
        <w:rPr>
          <w:rFonts w:hint="cs"/>
          <w:rtl/>
        </w:rPr>
        <w:t>:</w:t>
      </w:r>
      <w:r>
        <w:rPr>
          <w:rtl/>
        </w:rPr>
        <w:t xml:space="preserve"> יערב לכם</w:t>
      </w:r>
      <w:r w:rsidR="0011518D">
        <w:rPr>
          <w:rFonts w:hint="cs"/>
          <w:rtl/>
        </w:rPr>
        <w:t>,</w:t>
      </w:r>
      <w:r>
        <w:rPr>
          <w:rtl/>
        </w:rPr>
        <w:t xml:space="preserve"> יבושם לכם</w:t>
      </w:r>
      <w:r w:rsidR="0011518D">
        <w:rPr>
          <w:rFonts w:hint="cs"/>
          <w:rtl/>
        </w:rPr>
        <w:t>,</w:t>
      </w:r>
      <w:r>
        <w:rPr>
          <w:rtl/>
        </w:rPr>
        <w:t xml:space="preserve"> ימתק לכם</w:t>
      </w:r>
      <w:r w:rsidR="0011518D">
        <w:rPr>
          <w:rFonts w:hint="cs"/>
          <w:rtl/>
        </w:rPr>
        <w:t>!</w:t>
      </w:r>
      <w:r>
        <w:rPr>
          <w:rtl/>
        </w:rPr>
        <w:t xml:space="preserve"> שתיתם את היין</w:t>
      </w:r>
      <w:r w:rsidR="0011518D">
        <w:rPr>
          <w:rFonts w:hint="cs"/>
          <w:rtl/>
        </w:rPr>
        <w:t>,</w:t>
      </w:r>
      <w:r>
        <w:rPr>
          <w:rtl/>
        </w:rPr>
        <w:t xml:space="preserve"> החזירו את הקנקן למקומה</w:t>
      </w:r>
      <w:r w:rsidR="0011518D">
        <w:rPr>
          <w:rFonts w:hint="cs"/>
          <w:rtl/>
        </w:rPr>
        <w:t>.</w:t>
      </w:r>
      <w:r>
        <w:rPr>
          <w:rtl/>
        </w:rPr>
        <w:t xml:space="preserve"> כך אמר </w:t>
      </w:r>
      <w:r w:rsidR="001B200A">
        <w:rPr>
          <w:rtl/>
        </w:rPr>
        <w:t>הקב"ה</w:t>
      </w:r>
      <w:r>
        <w:rPr>
          <w:rtl/>
        </w:rPr>
        <w:t xml:space="preserve"> לשבטים</w:t>
      </w:r>
      <w:r w:rsidR="0011518D">
        <w:rPr>
          <w:rFonts w:hint="cs"/>
          <w:rtl/>
        </w:rPr>
        <w:t>:</w:t>
      </w:r>
      <w:r>
        <w:rPr>
          <w:rtl/>
        </w:rPr>
        <w:t xml:space="preserve"> מכרתם את יוסף</w:t>
      </w:r>
      <w:r w:rsidR="0011518D">
        <w:rPr>
          <w:rFonts w:hint="cs"/>
          <w:rtl/>
        </w:rPr>
        <w:t>,</w:t>
      </w:r>
      <w:r>
        <w:rPr>
          <w:rtl/>
        </w:rPr>
        <w:t xml:space="preserve"> החזירו עצמותיו למקומן</w:t>
      </w:r>
      <w:r w:rsidR="00CD1699">
        <w:rPr>
          <w:rFonts w:hint="cs"/>
          <w:rtl/>
        </w:rPr>
        <w:t>.</w:t>
      </w:r>
      <w:r w:rsidR="003B6349">
        <w:rPr>
          <w:rStyle w:val="a5"/>
          <w:rtl/>
        </w:rPr>
        <w:footnoteReference w:id="11"/>
      </w:r>
    </w:p>
    <w:p w:rsidR="00672F15" w:rsidRDefault="00672F15" w:rsidP="00672F15">
      <w:pPr>
        <w:pStyle w:val="ab"/>
        <w:rPr>
          <w:rFonts w:hint="cs"/>
          <w:rtl/>
        </w:rPr>
      </w:pPr>
      <w:r>
        <w:rPr>
          <w:rFonts w:hint="cs"/>
          <w:rtl/>
        </w:rPr>
        <w:t xml:space="preserve">מצא בעל חוב מקום לגבות את שטרו </w:t>
      </w:r>
      <w:r>
        <w:rPr>
          <w:rtl/>
        </w:rPr>
        <w:t>–</w:t>
      </w:r>
      <w:r>
        <w:rPr>
          <w:rFonts w:hint="cs"/>
          <w:rtl/>
        </w:rPr>
        <w:t xml:space="preserve"> ממצה את החבית ומעמידה על שמריה</w:t>
      </w:r>
    </w:p>
    <w:p w:rsidR="00672F15" w:rsidRDefault="00672F15" w:rsidP="008C6089">
      <w:pPr>
        <w:pStyle w:val="ac"/>
        <w:rPr>
          <w:rFonts w:hint="cs"/>
          <w:rtl/>
        </w:rPr>
      </w:pPr>
      <w:r w:rsidRPr="00B316A1">
        <w:rPr>
          <w:b/>
          <w:bCs/>
          <w:rtl/>
        </w:rPr>
        <w:t>בראשית רבה</w:t>
      </w:r>
      <w:r w:rsidRPr="00B316A1">
        <w:rPr>
          <w:rFonts w:hint="cs"/>
          <w:b/>
          <w:bCs/>
          <w:rtl/>
        </w:rPr>
        <w:t xml:space="preserve"> </w:t>
      </w:r>
      <w:r w:rsidRPr="00B316A1">
        <w:rPr>
          <w:b/>
          <w:bCs/>
          <w:rtl/>
        </w:rPr>
        <w:t>פה</w:t>
      </w:r>
      <w:r w:rsidRPr="00B316A1">
        <w:rPr>
          <w:rFonts w:hint="cs"/>
          <w:b/>
          <w:bCs/>
          <w:rtl/>
        </w:rPr>
        <w:t xml:space="preserve"> ב</w:t>
      </w:r>
      <w:r>
        <w:rPr>
          <w:rFonts w:hint="cs"/>
          <w:rtl/>
        </w:rPr>
        <w:t>: "</w:t>
      </w:r>
      <w:r>
        <w:rPr>
          <w:rtl/>
        </w:rPr>
        <w:t>וירד יהודה מאת אחיו</w:t>
      </w:r>
      <w:r>
        <w:rPr>
          <w:rFonts w:hint="cs"/>
          <w:rtl/>
        </w:rPr>
        <w:t>".</w:t>
      </w:r>
      <w:r>
        <w:rPr>
          <w:rtl/>
        </w:rPr>
        <w:t xml:space="preserve"> אמר</w:t>
      </w:r>
      <w:r>
        <w:rPr>
          <w:rFonts w:hint="cs"/>
          <w:rtl/>
        </w:rPr>
        <w:t>:</w:t>
      </w:r>
      <w:r>
        <w:rPr>
          <w:rtl/>
        </w:rPr>
        <w:t xml:space="preserve"> בואו ונפזר עצמנו</w:t>
      </w:r>
      <w:r>
        <w:rPr>
          <w:rFonts w:hint="cs"/>
          <w:rtl/>
        </w:rPr>
        <w:t>,</w:t>
      </w:r>
      <w:r>
        <w:rPr>
          <w:rtl/>
        </w:rPr>
        <w:t xml:space="preserve"> שכל זמן שאנו מכונסין השטר מצוי לה</w:t>
      </w:r>
      <w:r>
        <w:rPr>
          <w:rFonts w:hint="cs"/>
          <w:rtl/>
        </w:rPr>
        <w:t>י</w:t>
      </w:r>
      <w:r>
        <w:rPr>
          <w:rtl/>
        </w:rPr>
        <w:t>גבות</w:t>
      </w:r>
      <w:r>
        <w:rPr>
          <w:rFonts w:hint="cs"/>
          <w:rtl/>
        </w:rPr>
        <w:t>.</w:t>
      </w:r>
      <w:r>
        <w:rPr>
          <w:rtl/>
        </w:rPr>
        <w:t xml:space="preserve"> אמר להם הק</w:t>
      </w:r>
      <w:r>
        <w:rPr>
          <w:rFonts w:hint="cs"/>
          <w:rtl/>
        </w:rPr>
        <w:t xml:space="preserve">ב"ה: </w:t>
      </w:r>
      <w:r>
        <w:rPr>
          <w:rtl/>
        </w:rPr>
        <w:t>עשרה בני אדם שנמצאו בגניבה אין אחד נתפס ע"י כולם</w:t>
      </w:r>
      <w:r>
        <w:rPr>
          <w:rFonts w:hint="cs"/>
          <w:rtl/>
        </w:rPr>
        <w:t>?</w:t>
      </w:r>
      <w:r>
        <w:rPr>
          <w:rtl/>
        </w:rPr>
        <w:t xml:space="preserve"> וכיון שנמצאו בגביע אמרו</w:t>
      </w:r>
      <w:r w:rsidR="008C6089">
        <w:rPr>
          <w:rFonts w:hint="cs"/>
          <w:rtl/>
        </w:rPr>
        <w:t>: "</w:t>
      </w:r>
      <w:r>
        <w:rPr>
          <w:rtl/>
        </w:rPr>
        <w:t>האלהים מצא את עון עבדיך</w:t>
      </w:r>
      <w:r w:rsidR="008C6089">
        <w:rPr>
          <w:rFonts w:hint="cs"/>
          <w:rtl/>
        </w:rPr>
        <w:t>".</w:t>
      </w:r>
      <w:r>
        <w:rPr>
          <w:rtl/>
        </w:rPr>
        <w:t xml:space="preserve"> א"ר יצחק</w:t>
      </w:r>
      <w:r w:rsidR="008C6089">
        <w:rPr>
          <w:rFonts w:hint="cs"/>
          <w:rtl/>
        </w:rPr>
        <w:t>:</w:t>
      </w:r>
      <w:r>
        <w:rPr>
          <w:rtl/>
        </w:rPr>
        <w:t xml:space="preserve"> מצא בעל חוב מקום לגבות שטר חובו, א"ר לוי</w:t>
      </w:r>
      <w:r>
        <w:rPr>
          <w:rFonts w:hint="cs"/>
          <w:rtl/>
        </w:rPr>
        <w:t>:</w:t>
      </w:r>
      <w:r>
        <w:rPr>
          <w:rtl/>
        </w:rPr>
        <w:t xml:space="preserve"> כזה שהוא ממצה את החבית ומעמיד אותה על שמריה</w:t>
      </w:r>
      <w:r>
        <w:rPr>
          <w:rFonts w:hint="cs"/>
          <w:rtl/>
        </w:rPr>
        <w:t>".</w:t>
      </w:r>
      <w:r w:rsidR="00B316A1">
        <w:rPr>
          <w:rStyle w:val="a5"/>
          <w:rtl/>
        </w:rPr>
        <w:footnoteReference w:id="12"/>
      </w:r>
    </w:p>
    <w:p w:rsidR="00380BD1" w:rsidRDefault="008C6089" w:rsidP="008C6089">
      <w:pPr>
        <w:pStyle w:val="ab"/>
        <w:rPr>
          <w:rFonts w:hint="cs"/>
          <w:rtl/>
        </w:rPr>
      </w:pPr>
      <w:r>
        <w:rPr>
          <w:rFonts w:hint="cs"/>
          <w:rtl/>
        </w:rPr>
        <w:t xml:space="preserve">מיצוי היום, </w:t>
      </w:r>
      <w:r w:rsidR="00380BD1">
        <w:rPr>
          <w:rFonts w:hint="cs"/>
          <w:rtl/>
        </w:rPr>
        <w:t>מיצוי הדין</w:t>
      </w:r>
      <w:r w:rsidR="000B37A3">
        <w:rPr>
          <w:rFonts w:hint="cs"/>
          <w:rtl/>
        </w:rPr>
        <w:t>, מיצוי הנפש, מיצוי החשבון</w:t>
      </w:r>
    </w:p>
    <w:p w:rsidR="00380BD1" w:rsidRDefault="00380BD1" w:rsidP="000B37A3">
      <w:pPr>
        <w:pStyle w:val="ac"/>
        <w:rPr>
          <w:rFonts w:hint="cs"/>
          <w:rtl/>
        </w:rPr>
      </w:pPr>
      <w:r w:rsidRPr="008C6089">
        <w:rPr>
          <w:b/>
          <w:bCs/>
          <w:rtl/>
        </w:rPr>
        <w:t>בראשית רבה פרשת מקץ</w:t>
      </w:r>
      <w:r w:rsidRPr="008C6089">
        <w:rPr>
          <w:rFonts w:hint="cs"/>
          <w:b/>
          <w:bCs/>
          <w:rtl/>
        </w:rPr>
        <w:t xml:space="preserve">, </w:t>
      </w:r>
      <w:r w:rsidRPr="008C6089">
        <w:rPr>
          <w:b/>
          <w:bCs/>
          <w:rtl/>
        </w:rPr>
        <w:t>צב</w:t>
      </w:r>
      <w:r w:rsidRPr="008C6089">
        <w:rPr>
          <w:rFonts w:hint="cs"/>
          <w:b/>
          <w:bCs/>
          <w:rtl/>
        </w:rPr>
        <w:t xml:space="preserve"> ב</w:t>
      </w:r>
      <w:r>
        <w:rPr>
          <w:rFonts w:hint="cs"/>
          <w:rtl/>
        </w:rPr>
        <w:t xml:space="preserve">: </w:t>
      </w:r>
      <w:r w:rsidR="000B37A3">
        <w:rPr>
          <w:rFonts w:hint="cs"/>
          <w:rtl/>
        </w:rPr>
        <w:t>"</w:t>
      </w:r>
      <w:r>
        <w:rPr>
          <w:rtl/>
        </w:rPr>
        <w:t>ואל שדי יתן לכם רחמים</w:t>
      </w:r>
      <w:r w:rsidR="000B37A3">
        <w:rPr>
          <w:rFonts w:hint="cs"/>
          <w:rtl/>
        </w:rPr>
        <w:t xml:space="preserve"> לפני האיש" (בראשית מג יד). </w:t>
      </w:r>
      <w:r>
        <w:rPr>
          <w:rtl/>
        </w:rPr>
        <w:t xml:space="preserve"> </w:t>
      </w:r>
      <w:r w:rsidR="000B37A3">
        <w:rPr>
          <w:rFonts w:hint="cs"/>
          <w:rtl/>
        </w:rPr>
        <w:t>"</w:t>
      </w:r>
      <w:r w:rsidR="000B37A3">
        <w:rPr>
          <w:rtl/>
        </w:rPr>
        <w:t>על זאת יתפלל כל חסיד</w:t>
      </w:r>
      <w:r w:rsidR="000B37A3">
        <w:rPr>
          <w:rFonts w:hint="cs"/>
          <w:rtl/>
        </w:rPr>
        <w:t xml:space="preserve"> אליך לעת מצוא" (תהלים לב ו) </w:t>
      </w:r>
      <w:r w:rsidR="000B37A3">
        <w:rPr>
          <w:rtl/>
        </w:rPr>
        <w:t>–</w:t>
      </w:r>
      <w:r w:rsidR="000B37A3">
        <w:rPr>
          <w:rFonts w:hint="cs"/>
          <w:rtl/>
        </w:rPr>
        <w:t xml:space="preserve"> "</w:t>
      </w:r>
      <w:r w:rsidR="000B37A3">
        <w:rPr>
          <w:rtl/>
        </w:rPr>
        <w:t>לעת מצוא</w:t>
      </w:r>
      <w:r w:rsidR="000B37A3">
        <w:rPr>
          <w:rFonts w:hint="cs"/>
          <w:rtl/>
        </w:rPr>
        <w:t xml:space="preserve">" - </w:t>
      </w:r>
      <w:r w:rsidR="000B37A3">
        <w:rPr>
          <w:rtl/>
        </w:rPr>
        <w:t>לעת מ</w:t>
      </w:r>
      <w:r w:rsidR="000B37A3">
        <w:rPr>
          <w:rFonts w:hint="cs"/>
          <w:rtl/>
        </w:rPr>
        <w:t>י</w:t>
      </w:r>
      <w:r w:rsidR="000B37A3">
        <w:rPr>
          <w:rtl/>
        </w:rPr>
        <w:t>צוי היום, לעת מ</w:t>
      </w:r>
      <w:r w:rsidR="000B37A3">
        <w:rPr>
          <w:rFonts w:hint="cs"/>
          <w:rtl/>
        </w:rPr>
        <w:t>י</w:t>
      </w:r>
      <w:r w:rsidR="000B37A3">
        <w:rPr>
          <w:rtl/>
        </w:rPr>
        <w:t>צוי הדין, לעת מ</w:t>
      </w:r>
      <w:r w:rsidR="000B37A3">
        <w:rPr>
          <w:rFonts w:hint="cs"/>
          <w:rtl/>
        </w:rPr>
        <w:t>י</w:t>
      </w:r>
      <w:r w:rsidR="000B37A3">
        <w:rPr>
          <w:rtl/>
        </w:rPr>
        <w:t>צוי הנפש, לעת מ</w:t>
      </w:r>
      <w:r w:rsidR="000B37A3">
        <w:rPr>
          <w:rFonts w:hint="cs"/>
          <w:rtl/>
        </w:rPr>
        <w:t>י</w:t>
      </w:r>
      <w:r w:rsidR="000B37A3">
        <w:rPr>
          <w:rtl/>
        </w:rPr>
        <w:t>צוי החשבון</w:t>
      </w:r>
      <w:r w:rsidR="000B37A3">
        <w:rPr>
          <w:rFonts w:hint="cs"/>
          <w:rtl/>
        </w:rPr>
        <w:t xml:space="preserve">. </w:t>
      </w:r>
      <w:r w:rsidR="000B37A3">
        <w:rPr>
          <w:rtl/>
        </w:rPr>
        <w:t>כיון שראה יעקב אבינו שנתמצה החשבון התחיל שופך תחנונים</w:t>
      </w:r>
      <w:r w:rsidR="000B37A3">
        <w:rPr>
          <w:rFonts w:hint="cs"/>
          <w:rtl/>
        </w:rPr>
        <w:t>: "</w:t>
      </w:r>
      <w:r w:rsidR="000B37A3">
        <w:rPr>
          <w:rtl/>
        </w:rPr>
        <w:t>ואל שדי יתן לכם רחמים</w:t>
      </w:r>
      <w:r w:rsidR="000B37A3">
        <w:rPr>
          <w:rFonts w:hint="cs"/>
          <w:rtl/>
        </w:rPr>
        <w:t>".</w:t>
      </w:r>
      <w:r w:rsidR="008C6089">
        <w:rPr>
          <w:rStyle w:val="a5"/>
          <w:rtl/>
        </w:rPr>
        <w:footnoteReference w:id="13"/>
      </w:r>
    </w:p>
    <w:p w:rsidR="00F05380" w:rsidRDefault="00F05380" w:rsidP="00D31AE1">
      <w:pPr>
        <w:pStyle w:val="ab"/>
        <w:rPr>
          <w:rFonts w:hint="cs"/>
          <w:rtl/>
        </w:rPr>
      </w:pPr>
      <w:r>
        <w:rPr>
          <w:rFonts w:hint="cs"/>
          <w:rtl/>
        </w:rPr>
        <w:t>נר המקום</w:t>
      </w:r>
    </w:p>
    <w:p w:rsidR="00F05380" w:rsidRDefault="00F05380" w:rsidP="00F05380">
      <w:pPr>
        <w:pStyle w:val="ac"/>
        <w:rPr>
          <w:rFonts w:hint="cs"/>
          <w:rtl/>
        </w:rPr>
      </w:pPr>
      <w:r w:rsidRPr="008A3E77">
        <w:rPr>
          <w:rFonts w:hint="cs"/>
          <w:b/>
          <w:bCs/>
          <w:rtl/>
        </w:rPr>
        <w:t>בראשית רבה פה ד</w:t>
      </w:r>
      <w:r>
        <w:rPr>
          <w:rFonts w:hint="cs"/>
          <w:rtl/>
        </w:rPr>
        <w:t>: "</w:t>
      </w:r>
      <w:r>
        <w:rPr>
          <w:rtl/>
        </w:rPr>
        <w:t>וַיַּרְא שָׁם יְהוּדָה בַּת אִישׁ כְּנַעֲנִי וּשְׁמוֹ שׁוּעַ</w:t>
      </w:r>
      <w:r>
        <w:rPr>
          <w:rFonts w:hint="cs"/>
          <w:rtl/>
        </w:rPr>
        <w:t xml:space="preserve">" (בראשית לח ב) </w:t>
      </w:r>
      <w:r>
        <w:rPr>
          <w:rtl/>
        </w:rPr>
        <w:t>–</w:t>
      </w:r>
      <w:r>
        <w:rPr>
          <w:rFonts w:hint="cs"/>
          <w:rtl/>
        </w:rPr>
        <w:t xml:space="preserve"> בית איש תגר, נר המקום.</w:t>
      </w:r>
      <w:r w:rsidR="008A3E77">
        <w:rPr>
          <w:rStyle w:val="a5"/>
          <w:rtl/>
        </w:rPr>
        <w:footnoteReference w:id="14"/>
      </w:r>
    </w:p>
    <w:p w:rsidR="00D31AE1" w:rsidRDefault="00D31AE1" w:rsidP="00D31AE1">
      <w:pPr>
        <w:pStyle w:val="ab"/>
        <w:rPr>
          <w:rFonts w:hint="cs"/>
          <w:rtl/>
        </w:rPr>
      </w:pPr>
      <w:r>
        <w:rPr>
          <w:rFonts w:hint="cs"/>
          <w:rtl/>
        </w:rPr>
        <w:t>תלה הגדו</w:t>
      </w:r>
      <w:r>
        <w:rPr>
          <w:rFonts w:hint="eastAsia"/>
          <w:rtl/>
        </w:rPr>
        <w:t>ּ</w:t>
      </w:r>
      <w:r>
        <w:rPr>
          <w:rFonts w:hint="cs"/>
          <w:rtl/>
        </w:rPr>
        <w:t>ל</w:t>
      </w:r>
      <w:r>
        <w:rPr>
          <w:rFonts w:hint="eastAsia"/>
          <w:rtl/>
        </w:rPr>
        <w:t>ָ</w:t>
      </w:r>
      <w:r>
        <w:rPr>
          <w:rFonts w:hint="cs"/>
          <w:rtl/>
        </w:rPr>
        <w:t>ה בבעליה</w:t>
      </w:r>
    </w:p>
    <w:p w:rsidR="00140278" w:rsidRDefault="006667D3" w:rsidP="00D31AE1">
      <w:pPr>
        <w:pStyle w:val="ac"/>
        <w:rPr>
          <w:rFonts w:hint="cs"/>
          <w:rtl/>
        </w:rPr>
      </w:pPr>
      <w:r w:rsidRPr="008A3E77">
        <w:rPr>
          <w:b/>
          <w:bCs/>
          <w:rtl/>
        </w:rPr>
        <w:t xml:space="preserve">בראשית רבה פח </w:t>
      </w:r>
      <w:r w:rsidR="00D31AE1" w:rsidRPr="008A3E77">
        <w:rPr>
          <w:rFonts w:hint="cs"/>
          <w:b/>
          <w:bCs/>
          <w:rtl/>
        </w:rPr>
        <w:t>ד</w:t>
      </w:r>
      <w:r w:rsidR="00D31AE1">
        <w:rPr>
          <w:rFonts w:hint="cs"/>
          <w:rtl/>
        </w:rPr>
        <w:t>: "</w:t>
      </w:r>
      <w:r>
        <w:rPr>
          <w:rtl/>
        </w:rPr>
        <w:t>ויאמר אליהם יוסף הלוא לאלהים פתר</w:t>
      </w:r>
      <w:r w:rsidR="00D31AE1">
        <w:rPr>
          <w:rFonts w:hint="cs"/>
          <w:rtl/>
        </w:rPr>
        <w:t>ו</w:t>
      </w:r>
      <w:r>
        <w:rPr>
          <w:rtl/>
        </w:rPr>
        <w:t>נים</w:t>
      </w:r>
      <w:r w:rsidR="00D31AE1">
        <w:rPr>
          <w:rFonts w:hint="cs"/>
          <w:rtl/>
        </w:rPr>
        <w:t xml:space="preserve">" (בראשית מ ח) - </w:t>
      </w:r>
      <w:r>
        <w:rPr>
          <w:rtl/>
        </w:rPr>
        <w:t>ר' יהושע דסיכנין בש</w:t>
      </w:r>
      <w:r w:rsidR="00D31AE1">
        <w:rPr>
          <w:rFonts w:hint="cs"/>
          <w:rtl/>
        </w:rPr>
        <w:t>ם</w:t>
      </w:r>
      <w:r>
        <w:rPr>
          <w:rtl/>
        </w:rPr>
        <w:t xml:space="preserve"> ר' לוי</w:t>
      </w:r>
      <w:r w:rsidR="00D31AE1">
        <w:rPr>
          <w:rFonts w:hint="cs"/>
          <w:rtl/>
        </w:rPr>
        <w:t>:</w:t>
      </w:r>
      <w:r>
        <w:rPr>
          <w:rtl/>
        </w:rPr>
        <w:t xml:space="preserve"> תלה הגדולה בבעליה.</w:t>
      </w:r>
      <w:r w:rsidR="00F05380">
        <w:rPr>
          <w:rStyle w:val="a5"/>
          <w:rtl/>
        </w:rPr>
        <w:footnoteReference w:id="15"/>
      </w:r>
    </w:p>
    <w:p w:rsidR="008C6089" w:rsidRDefault="008C6089" w:rsidP="00A845BB">
      <w:pPr>
        <w:pStyle w:val="ab"/>
        <w:rPr>
          <w:rFonts w:hint="cs"/>
          <w:rtl/>
        </w:rPr>
      </w:pPr>
      <w:r>
        <w:rPr>
          <w:rFonts w:hint="cs"/>
          <w:rtl/>
        </w:rPr>
        <w:lastRenderedPageBreak/>
        <w:t>ביטויים נוספים</w:t>
      </w:r>
    </w:p>
    <w:p w:rsidR="00A845BB" w:rsidRDefault="008C6089" w:rsidP="00A845BB">
      <w:pPr>
        <w:pStyle w:val="ac"/>
        <w:rPr>
          <w:rFonts w:hint="cs"/>
          <w:rtl/>
        </w:rPr>
      </w:pPr>
      <w:r>
        <w:rPr>
          <w:rFonts w:hint="cs"/>
          <w:rtl/>
        </w:rPr>
        <w:t>להלן בתמצית מכמני לשון נוספים מהפרשה שלא הספיקונו למצותם</w:t>
      </w:r>
      <w:r w:rsidR="00A845BB">
        <w:rPr>
          <w:rFonts w:hint="cs"/>
          <w:rtl/>
        </w:rPr>
        <w:t xml:space="preserve"> (בסוגריים מקורות בראשית רבה בפרשה) :</w:t>
      </w:r>
    </w:p>
    <w:p w:rsidR="00A845BB" w:rsidRPr="0001371E" w:rsidRDefault="00A845BB" w:rsidP="00A20987">
      <w:pPr>
        <w:pStyle w:val="ac"/>
        <w:spacing w:before="120"/>
        <w:rPr>
          <w:rFonts w:hint="cs"/>
          <w:rtl/>
        </w:rPr>
      </w:pPr>
      <w:r w:rsidRPr="0001371E">
        <w:rPr>
          <w:rFonts w:hint="cs"/>
          <w:b/>
          <w:bCs/>
          <w:rtl/>
        </w:rPr>
        <w:t>גץ אחד שורף קוצים הרבה</w:t>
      </w:r>
      <w:r w:rsidRPr="0001371E">
        <w:rPr>
          <w:rFonts w:hint="cs"/>
          <w:rtl/>
        </w:rPr>
        <w:t xml:space="preserve"> </w:t>
      </w:r>
      <w:r w:rsidRPr="0001371E">
        <w:rPr>
          <w:rtl/>
        </w:rPr>
        <w:t>–</w:t>
      </w:r>
      <w:r w:rsidRPr="0001371E">
        <w:rPr>
          <w:rFonts w:hint="cs"/>
          <w:rtl/>
        </w:rPr>
        <w:t xml:space="preserve"> יעקב ויוסף מול בית עשו ואלופיו (פד ה)</w:t>
      </w:r>
    </w:p>
    <w:p w:rsidR="008A3E77" w:rsidRPr="0001371E" w:rsidRDefault="008A3E77" w:rsidP="00A20987">
      <w:pPr>
        <w:pStyle w:val="ac"/>
        <w:spacing w:before="120"/>
        <w:rPr>
          <w:rFonts w:hint="cs"/>
          <w:rtl/>
        </w:rPr>
      </w:pPr>
      <w:r w:rsidRPr="0001371E">
        <w:rPr>
          <w:rFonts w:hint="cs"/>
          <w:b/>
          <w:bCs/>
          <w:rtl/>
        </w:rPr>
        <w:t>לסרוג על הספר</w:t>
      </w:r>
      <w:r w:rsidR="00A845BB" w:rsidRPr="0001371E">
        <w:rPr>
          <w:rFonts w:hint="cs"/>
          <w:rtl/>
        </w:rPr>
        <w:t xml:space="preserve"> </w:t>
      </w:r>
      <w:r w:rsidR="000B259E" w:rsidRPr="0001371E">
        <w:rPr>
          <w:rtl/>
        </w:rPr>
        <w:t>–</w:t>
      </w:r>
      <w:r w:rsidR="00A845BB" w:rsidRPr="0001371E">
        <w:rPr>
          <w:rFonts w:hint="cs"/>
          <w:rtl/>
        </w:rPr>
        <w:t xml:space="preserve"> </w:t>
      </w:r>
      <w:r w:rsidR="000B259E" w:rsidRPr="0001371E">
        <w:rPr>
          <w:rFonts w:hint="cs"/>
          <w:rtl/>
        </w:rPr>
        <w:t>קליעת פיוטים וסיפורים בתוך ספר נבואה (דניאל) ועדיין הוא ספר קודש (פה ב)</w:t>
      </w:r>
    </w:p>
    <w:p w:rsidR="008A3E77" w:rsidRPr="0001371E" w:rsidRDefault="008A3E77" w:rsidP="00A20987">
      <w:pPr>
        <w:pStyle w:val="ac"/>
        <w:spacing w:before="120"/>
        <w:rPr>
          <w:rFonts w:hint="cs"/>
          <w:rtl/>
        </w:rPr>
      </w:pPr>
      <w:r w:rsidRPr="0001371E">
        <w:rPr>
          <w:rFonts w:hint="cs"/>
          <w:b/>
          <w:bCs/>
          <w:rtl/>
        </w:rPr>
        <w:t>תבן לעפריים</w:t>
      </w:r>
      <w:r w:rsidR="000B259E" w:rsidRPr="0001371E">
        <w:rPr>
          <w:rFonts w:hint="cs"/>
          <w:rtl/>
        </w:rPr>
        <w:t xml:space="preserve"> (כשפים למצרים, גזות בדמשק וכו') </w:t>
      </w:r>
      <w:r w:rsidR="000B259E" w:rsidRPr="0001371E">
        <w:rPr>
          <w:rtl/>
        </w:rPr>
        <w:t>–</w:t>
      </w:r>
      <w:r w:rsidR="000B259E" w:rsidRPr="0001371E">
        <w:rPr>
          <w:rFonts w:hint="cs"/>
          <w:rtl/>
        </w:rPr>
        <w:t xml:space="preserve"> להביא דבר </w:t>
      </w:r>
      <w:r w:rsidR="0001371E">
        <w:rPr>
          <w:rFonts w:hint="cs"/>
          <w:rtl/>
        </w:rPr>
        <w:t xml:space="preserve">מיותר </w:t>
      </w:r>
      <w:r w:rsidR="000B259E" w:rsidRPr="0001371E">
        <w:rPr>
          <w:rFonts w:hint="cs"/>
          <w:rtl/>
        </w:rPr>
        <w:t>למקום שהוא מצוי הרבה (פו ה)</w:t>
      </w:r>
      <w:r w:rsidR="00A20987">
        <w:rPr>
          <w:rFonts w:hint="cs"/>
          <w:rtl/>
        </w:rPr>
        <w:t>.</w:t>
      </w:r>
      <w:r w:rsidR="00A20987">
        <w:rPr>
          <w:rStyle w:val="a5"/>
          <w:rtl/>
        </w:rPr>
        <w:footnoteReference w:id="16"/>
      </w:r>
      <w:r w:rsidR="000B259E" w:rsidRPr="0001371E">
        <w:rPr>
          <w:rFonts w:hint="cs"/>
          <w:rtl/>
        </w:rPr>
        <w:t xml:space="preserve"> </w:t>
      </w:r>
      <w:r w:rsidR="00A845BB" w:rsidRPr="0001371E">
        <w:rPr>
          <w:rFonts w:hint="cs"/>
          <w:rtl/>
        </w:rPr>
        <w:t xml:space="preserve"> </w:t>
      </w:r>
    </w:p>
    <w:p w:rsidR="008A3E77" w:rsidRPr="0001371E" w:rsidRDefault="008A3E77" w:rsidP="00A20987">
      <w:pPr>
        <w:pStyle w:val="ac"/>
        <w:spacing w:before="120"/>
        <w:rPr>
          <w:rFonts w:hint="cs"/>
          <w:rtl/>
        </w:rPr>
      </w:pPr>
      <w:r w:rsidRPr="0001371E">
        <w:rPr>
          <w:rFonts w:hint="cs"/>
          <w:b/>
          <w:bCs/>
          <w:rtl/>
        </w:rPr>
        <w:t>אתם מסתכלים בתכשיטיה ואני מסתכל בניביה</w:t>
      </w:r>
      <w:r w:rsidR="00A845BB" w:rsidRPr="0001371E">
        <w:rPr>
          <w:rFonts w:hint="cs"/>
          <w:rtl/>
        </w:rPr>
        <w:t xml:space="preserve"> </w:t>
      </w:r>
      <w:r w:rsidR="000B259E" w:rsidRPr="0001371E">
        <w:rPr>
          <w:rtl/>
        </w:rPr>
        <w:t>–</w:t>
      </w:r>
      <w:r w:rsidR="00A845BB" w:rsidRPr="0001371E">
        <w:rPr>
          <w:rFonts w:hint="cs"/>
          <w:rtl/>
        </w:rPr>
        <w:t xml:space="preserve"> </w:t>
      </w:r>
      <w:r w:rsidR="000B259E" w:rsidRPr="0001371E">
        <w:rPr>
          <w:rFonts w:hint="cs"/>
          <w:rtl/>
        </w:rPr>
        <w:t>קישוטיה של אשת פוטיפר מול סכנותיה (</w:t>
      </w:r>
      <w:r w:rsidR="00172239" w:rsidRPr="0001371E">
        <w:rPr>
          <w:rFonts w:hint="cs"/>
          <w:rtl/>
        </w:rPr>
        <w:t>פו ד)</w:t>
      </w:r>
      <w:r w:rsidR="00A20987">
        <w:rPr>
          <w:rFonts w:hint="cs"/>
          <w:rtl/>
        </w:rPr>
        <w:t>.</w:t>
      </w:r>
      <w:r w:rsidR="00A20987">
        <w:rPr>
          <w:rStyle w:val="a5"/>
          <w:rtl/>
        </w:rPr>
        <w:footnoteReference w:id="17"/>
      </w:r>
    </w:p>
    <w:p w:rsidR="008A3E77" w:rsidRPr="0001371E" w:rsidRDefault="008A3E77" w:rsidP="00A20987">
      <w:pPr>
        <w:pStyle w:val="ac"/>
        <w:spacing w:before="120"/>
        <w:rPr>
          <w:rFonts w:hint="cs"/>
          <w:rtl/>
        </w:rPr>
      </w:pPr>
      <w:r w:rsidRPr="0001371E">
        <w:rPr>
          <w:rFonts w:hint="cs"/>
          <w:b/>
          <w:bCs/>
          <w:rtl/>
        </w:rPr>
        <w:t>חלב עיזים שחורות וחלב עיזים לבנות אחד הוא</w:t>
      </w:r>
      <w:r w:rsidR="00A845BB" w:rsidRPr="0001371E">
        <w:rPr>
          <w:rFonts w:hint="cs"/>
          <w:rtl/>
        </w:rPr>
        <w:t xml:space="preserve"> </w:t>
      </w:r>
      <w:r w:rsidR="00A845BB" w:rsidRPr="0001371E">
        <w:rPr>
          <w:rtl/>
        </w:rPr>
        <w:t>–</w:t>
      </w:r>
      <w:r w:rsidR="00A845BB" w:rsidRPr="0001371E">
        <w:rPr>
          <w:rFonts w:hint="cs"/>
          <w:rtl/>
        </w:rPr>
        <w:t xml:space="preserve"> במעשה אשת פוטיפר</w:t>
      </w:r>
      <w:r w:rsidR="00172239" w:rsidRPr="0001371E">
        <w:rPr>
          <w:rFonts w:hint="cs"/>
          <w:rtl/>
        </w:rPr>
        <w:t xml:space="preserve"> (פז ה)</w:t>
      </w:r>
      <w:r w:rsidR="00A845BB" w:rsidRPr="0001371E">
        <w:rPr>
          <w:rFonts w:hint="cs"/>
          <w:rtl/>
        </w:rPr>
        <w:t xml:space="preserve"> </w:t>
      </w:r>
    </w:p>
    <w:p w:rsidR="00172239" w:rsidRPr="0001371E" w:rsidRDefault="00172239" w:rsidP="00A20987">
      <w:pPr>
        <w:pStyle w:val="ac"/>
        <w:spacing w:before="120"/>
        <w:rPr>
          <w:rFonts w:hint="cs"/>
          <w:rtl/>
        </w:rPr>
      </w:pPr>
      <w:r w:rsidRPr="0001371E">
        <w:rPr>
          <w:rFonts w:hint="cs"/>
          <w:b/>
          <w:bCs/>
          <w:rtl/>
        </w:rPr>
        <w:t>אף על פי שאין נחש, יש סימן</w:t>
      </w:r>
      <w:r w:rsidRPr="0001371E">
        <w:rPr>
          <w:rFonts w:hint="cs"/>
          <w:rtl/>
        </w:rPr>
        <w:t xml:space="preserve"> </w:t>
      </w:r>
      <w:r w:rsidRPr="0001371E">
        <w:rPr>
          <w:rtl/>
        </w:rPr>
        <w:t>–</w:t>
      </w:r>
      <w:r w:rsidRPr="0001371E">
        <w:rPr>
          <w:rFonts w:hint="cs"/>
          <w:rtl/>
        </w:rPr>
        <w:t xml:space="preserve"> מקרים בהם מותר לסמוך על סימן ואין זה נחשב ללחש (פה ה)</w:t>
      </w:r>
      <w:r w:rsidR="00A20987">
        <w:rPr>
          <w:rFonts w:hint="cs"/>
          <w:rtl/>
        </w:rPr>
        <w:t>.</w:t>
      </w:r>
      <w:r w:rsidR="00A20987">
        <w:rPr>
          <w:rStyle w:val="a5"/>
          <w:rtl/>
        </w:rPr>
        <w:footnoteReference w:id="18"/>
      </w:r>
    </w:p>
    <w:p w:rsidR="00B010E5" w:rsidRPr="0001371E" w:rsidRDefault="0001371E" w:rsidP="00A20987">
      <w:pPr>
        <w:pStyle w:val="ac"/>
        <w:spacing w:before="120"/>
        <w:rPr>
          <w:rFonts w:hint="cs"/>
          <w:b/>
          <w:bCs/>
          <w:rtl/>
        </w:rPr>
      </w:pPr>
      <w:r w:rsidRPr="0001371E">
        <w:rPr>
          <w:rFonts w:hint="cs"/>
          <w:b/>
          <w:bCs/>
          <w:rtl/>
        </w:rPr>
        <w:t xml:space="preserve">זרוק מקל לאויר ועל עיקרו הוא עומד </w:t>
      </w:r>
      <w:r w:rsidRPr="0001371E">
        <w:rPr>
          <w:b/>
          <w:bCs/>
          <w:rtl/>
        </w:rPr>
        <w:t>–</w:t>
      </w:r>
      <w:r w:rsidRPr="0001371E">
        <w:rPr>
          <w:rFonts w:hint="cs"/>
          <w:b/>
          <w:bCs/>
          <w:rtl/>
        </w:rPr>
        <w:t xml:space="preserve"> </w:t>
      </w:r>
      <w:r w:rsidRPr="0001371E">
        <w:rPr>
          <w:rFonts w:hint="cs"/>
          <w:rtl/>
        </w:rPr>
        <w:t>הדבר חוזר לשורשיו, הגנים עוברים בירושה, יוסף היה יפה תאר כאימו (פו ו)</w:t>
      </w:r>
    </w:p>
    <w:p w:rsidR="001B42E2" w:rsidRDefault="001B42E2" w:rsidP="001B42E2">
      <w:pPr>
        <w:pStyle w:val="ad"/>
        <w:rPr>
          <w:rFonts w:hint="cs"/>
          <w:rtl/>
        </w:rPr>
      </w:pPr>
    </w:p>
    <w:p w:rsidR="001B42E2" w:rsidRDefault="008F741A" w:rsidP="001B42E2">
      <w:pPr>
        <w:pStyle w:val="ad"/>
        <w:rPr>
          <w:rFonts w:hint="cs"/>
          <w:rtl/>
        </w:rPr>
      </w:pPr>
      <w:r w:rsidRPr="00BF5CD5">
        <w:rPr>
          <w:rtl/>
        </w:rPr>
        <w:t>שבת שלום</w:t>
      </w:r>
      <w:r w:rsidRPr="00BF5CD5">
        <w:rPr>
          <w:rFonts w:hint="cs"/>
          <w:rtl/>
        </w:rPr>
        <w:t xml:space="preserve"> </w:t>
      </w:r>
    </w:p>
    <w:p w:rsidR="008F741A" w:rsidRPr="00BF5CD5" w:rsidRDefault="008F741A" w:rsidP="001B42E2">
      <w:pPr>
        <w:pStyle w:val="ad"/>
        <w:rPr>
          <w:rFonts w:hint="cs"/>
          <w:rtl/>
        </w:rPr>
      </w:pPr>
      <w:r w:rsidRPr="00BF5CD5">
        <w:rPr>
          <w:rtl/>
        </w:rPr>
        <w:t>מחלקי המים</w:t>
      </w:r>
    </w:p>
    <w:sectPr w:rsidR="008F741A" w:rsidRPr="00BF5CD5" w:rsidSect="009C7F11">
      <w:headerReference w:type="default" r:id="rId13"/>
      <w:footerReference w:type="default" r:id="rId14"/>
      <w:head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0B" w:rsidRDefault="0024480B">
      <w:r>
        <w:separator/>
      </w:r>
    </w:p>
  </w:endnote>
  <w:endnote w:type="continuationSeparator" w:id="0">
    <w:p w:rsidR="0024480B" w:rsidRDefault="0024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2098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20987">
      <w:rPr>
        <w:rStyle w:val="af1"/>
        <w:noProof/>
        <w:rtl/>
      </w:rPr>
      <w:t>4</w:t>
    </w:r>
    <w:r w:rsidRPr="00F8747C">
      <w:rPr>
        <w:rStyle w:val="af1"/>
      </w:rPr>
      <w:fldChar w:fldCharType="end"/>
    </w:r>
  </w:p>
  <w:p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0B" w:rsidRDefault="0024480B">
      <w:r>
        <w:separator/>
      </w:r>
    </w:p>
  </w:footnote>
  <w:footnote w:type="continuationSeparator" w:id="0">
    <w:p w:rsidR="0024480B" w:rsidRDefault="0024480B">
      <w:r>
        <w:continuationSeparator/>
      </w:r>
    </w:p>
  </w:footnote>
  <w:footnote w:id="1">
    <w:p w:rsidR="002646E5" w:rsidRDefault="002646E5" w:rsidP="002646E5">
      <w:pPr>
        <w:pStyle w:val="a3"/>
        <w:rPr>
          <w:rFonts w:hint="cs"/>
        </w:rPr>
      </w:pPr>
      <w:r>
        <w:rPr>
          <w:rStyle w:val="a5"/>
        </w:rPr>
        <w:footnoteRef/>
      </w:r>
      <w:r>
        <w:rPr>
          <w:rtl/>
        </w:rPr>
        <w:t xml:space="preserve"> </w:t>
      </w:r>
      <w:r w:rsidR="00B316A1">
        <w:rPr>
          <w:rFonts w:hint="cs"/>
          <w:rtl/>
        </w:rPr>
        <w:t xml:space="preserve">העונש (הרע) מגיע מיד, השכר (הטוב) לאט לאט. </w:t>
      </w:r>
      <w:r>
        <w:rPr>
          <w:rFonts w:hint="cs"/>
          <w:rtl/>
        </w:rPr>
        <w:t>הרשינו לעצמנו לפשט את לשון המשל שבמדרש.</w:t>
      </w:r>
    </w:p>
  </w:footnote>
  <w:footnote w:id="2">
    <w:p w:rsidR="008D4334" w:rsidRDefault="008D4334" w:rsidP="009C7F11">
      <w:pPr>
        <w:pStyle w:val="a3"/>
        <w:rPr>
          <w:rFonts w:hint="cs"/>
          <w:rtl/>
        </w:rPr>
      </w:pPr>
      <w:r>
        <w:rPr>
          <w:rStyle w:val="a5"/>
        </w:rPr>
        <w:footnoteRef/>
      </w:r>
      <w:r>
        <w:rPr>
          <w:rtl/>
        </w:rPr>
        <w:t xml:space="preserve"> </w:t>
      </w:r>
      <w:r>
        <w:rPr>
          <w:rFonts w:hint="cs"/>
          <w:rtl/>
        </w:rPr>
        <w:t xml:space="preserve">והמשך הנמשל שם בהקשר לפרשת השבוע: "אמר ר' </w:t>
      </w:r>
      <w:r>
        <w:rPr>
          <w:rtl/>
        </w:rPr>
        <w:t>אחא</w:t>
      </w:r>
      <w:r>
        <w:rPr>
          <w:rFonts w:hint="cs"/>
          <w:rtl/>
        </w:rPr>
        <w:t>:</w:t>
      </w:r>
      <w:r>
        <w:rPr>
          <w:rtl/>
        </w:rPr>
        <w:t xml:space="preserve"> בשעה שהצדיקים מבקשים לישב בשלוה בעולם הזה</w:t>
      </w:r>
      <w:r>
        <w:rPr>
          <w:rFonts w:hint="cs"/>
          <w:rtl/>
        </w:rPr>
        <w:t>,</w:t>
      </w:r>
      <w:r>
        <w:rPr>
          <w:rtl/>
        </w:rPr>
        <w:t xml:space="preserve"> השטן בא ומקטרג </w:t>
      </w:r>
      <w:r>
        <w:rPr>
          <w:rFonts w:hint="cs"/>
          <w:rtl/>
        </w:rPr>
        <w:t>ו</w:t>
      </w:r>
      <w:r>
        <w:rPr>
          <w:rtl/>
        </w:rPr>
        <w:t>א</w:t>
      </w:r>
      <w:r>
        <w:rPr>
          <w:rFonts w:hint="cs"/>
          <w:rtl/>
        </w:rPr>
        <w:t>ו</w:t>
      </w:r>
      <w:r>
        <w:rPr>
          <w:rtl/>
        </w:rPr>
        <w:t>מר</w:t>
      </w:r>
      <w:r>
        <w:rPr>
          <w:rFonts w:hint="cs"/>
          <w:rtl/>
        </w:rPr>
        <w:t>:</w:t>
      </w:r>
      <w:r>
        <w:rPr>
          <w:rtl/>
        </w:rPr>
        <w:t xml:space="preserve"> לא ד</w:t>
      </w:r>
      <w:r w:rsidR="00A9359A">
        <w:rPr>
          <w:rtl/>
        </w:rPr>
        <w:t>ָ</w:t>
      </w:r>
      <w:r>
        <w:rPr>
          <w:rtl/>
        </w:rPr>
        <w:t>י</w:t>
      </w:r>
      <w:r w:rsidR="00A9359A">
        <w:rPr>
          <w:rtl/>
        </w:rPr>
        <w:t>ָ</w:t>
      </w:r>
      <w:r>
        <w:rPr>
          <w:rFonts w:hint="cs"/>
          <w:rtl/>
        </w:rPr>
        <w:t xml:space="preserve">ם </w:t>
      </w:r>
      <w:r>
        <w:rPr>
          <w:rtl/>
        </w:rPr>
        <w:t>שהוא מתוקן להם לעולם הבא</w:t>
      </w:r>
      <w:r>
        <w:rPr>
          <w:rFonts w:hint="cs"/>
          <w:rtl/>
        </w:rPr>
        <w:t>,</w:t>
      </w:r>
      <w:r>
        <w:rPr>
          <w:rtl/>
        </w:rPr>
        <w:t xml:space="preserve"> אלא שהם מבקשים לישב בשלוה בעולם הזה</w:t>
      </w:r>
      <w:r>
        <w:rPr>
          <w:rFonts w:hint="cs"/>
          <w:rtl/>
        </w:rPr>
        <w:t xml:space="preserve">". הקשר בין המשל לנמשל הוא אולי קצת מורכב, אבל </w:t>
      </w:r>
      <w:r w:rsidR="00A9359A">
        <w:rPr>
          <w:rFonts w:hint="cs"/>
          <w:rtl/>
        </w:rPr>
        <w:t xml:space="preserve">כוונת </w:t>
      </w:r>
      <w:r>
        <w:rPr>
          <w:rFonts w:hint="cs"/>
          <w:rtl/>
        </w:rPr>
        <w:t xml:space="preserve">המשל לומר שיש הבדל בין גזר דין לחובה ובין גזר דין לזכות. גזר דין לחובה\לעונש מתקיים מיד. אם בית הדין פוסק שאדם חייב מלקות </w:t>
      </w:r>
      <w:r>
        <w:rPr>
          <w:rtl/>
        </w:rPr>
        <w:t>–</w:t>
      </w:r>
      <w:r>
        <w:rPr>
          <w:rFonts w:hint="cs"/>
          <w:rtl/>
        </w:rPr>
        <w:t xml:space="preserve"> הוא סופג זאת מיד ובמקום. אך אם פסק הדין הוא לטובה, כגון שיש ליתן לאדם כסף (בפרט כסף של השלטון!), עובר הרבה זמן עד שהכסף מגיע </w:t>
      </w:r>
      <w:r>
        <w:rPr>
          <w:rtl/>
        </w:rPr>
        <w:t>–</w:t>
      </w:r>
      <w:r>
        <w:rPr>
          <w:rFonts w:hint="cs"/>
          <w:rtl/>
        </w:rPr>
        <w:t xml:space="preserve"> אם בכלל. הפקיד הזה לוקח קצת, הפקיד הזה </w:t>
      </w:r>
      <w:r w:rsidR="00A9359A">
        <w:rPr>
          <w:rFonts w:hint="cs"/>
          <w:rtl/>
        </w:rPr>
        <w:t xml:space="preserve">קצת, </w:t>
      </w:r>
      <w:r>
        <w:rPr>
          <w:rFonts w:hint="cs"/>
          <w:rtl/>
        </w:rPr>
        <w:t xml:space="preserve">צריך לכנס ועדה, המשרד הזה מפקיד את הכסף קודם כל בחשבות שלו וכו' וכו'. </w:t>
      </w:r>
      <w:r w:rsidR="00A9359A">
        <w:rPr>
          <w:rFonts w:hint="cs"/>
          <w:rtl/>
        </w:rPr>
        <w:t xml:space="preserve">אולי </w:t>
      </w:r>
      <w:r w:rsidR="001B42E2">
        <w:rPr>
          <w:rFonts w:hint="cs"/>
          <w:rtl/>
        </w:rPr>
        <w:t>רבי רומז כאן לאנטונינוס על ההתנהגות של שלטונות רומא</w:t>
      </w:r>
      <w:r w:rsidR="00A9359A">
        <w:rPr>
          <w:rFonts w:hint="cs"/>
          <w:rtl/>
        </w:rPr>
        <w:t xml:space="preserve"> (ראה דברינו </w:t>
      </w:r>
      <w:hyperlink r:id="rId1" w:history="1">
        <w:r w:rsidR="00A9359A" w:rsidRPr="009C7F11">
          <w:rPr>
            <w:rStyle w:val="Hyperlink"/>
            <w:rFonts w:hint="cs"/>
            <w:rtl/>
          </w:rPr>
          <w:t>רבי ואנטונינוס</w:t>
        </w:r>
      </w:hyperlink>
      <w:r w:rsidR="00A9359A">
        <w:rPr>
          <w:rFonts w:hint="cs"/>
          <w:rtl/>
        </w:rPr>
        <w:t xml:space="preserve"> בפרשת וישלח)</w:t>
      </w:r>
      <w:r w:rsidR="001B42E2">
        <w:rPr>
          <w:rFonts w:hint="cs"/>
          <w:rtl/>
        </w:rPr>
        <w:t xml:space="preserve">. </w:t>
      </w:r>
      <w:r>
        <w:rPr>
          <w:rFonts w:hint="cs"/>
          <w:rtl/>
        </w:rPr>
        <w:t>בקיצור</w:t>
      </w:r>
      <w:r w:rsidR="001B42E2">
        <w:rPr>
          <w:rFonts w:hint="cs"/>
          <w:rtl/>
        </w:rPr>
        <w:t xml:space="preserve"> וחזרה לנושא שלנו</w:t>
      </w:r>
      <w:r>
        <w:rPr>
          <w:rFonts w:hint="cs"/>
          <w:rtl/>
        </w:rPr>
        <w:t xml:space="preserve">, הדברים הרעים קורים מיד ובחטף </w:t>
      </w:r>
      <w:r>
        <w:rPr>
          <w:rtl/>
        </w:rPr>
        <w:t>–</w:t>
      </w:r>
      <w:r>
        <w:rPr>
          <w:rFonts w:hint="cs"/>
          <w:rtl/>
        </w:rPr>
        <w:t xml:space="preserve"> "שוט ימית פתאם" בעוד שהדברים הטובים נסחבים ונסחבים </w:t>
      </w:r>
      <w:r>
        <w:rPr>
          <w:rtl/>
        </w:rPr>
        <w:t>–</w:t>
      </w:r>
      <w:r>
        <w:rPr>
          <w:rFonts w:hint="cs"/>
          <w:rtl/>
        </w:rPr>
        <w:t xml:space="preserve"> "למסת נקיים ילעג".</w:t>
      </w:r>
      <w:r w:rsidR="009C7F11">
        <w:rPr>
          <w:rFonts w:hint="cs"/>
          <w:rtl/>
        </w:rPr>
        <w:t xml:space="preserve"> (אם כי, אולי ההבדל הוא גם בין מלקות ובין כסף).</w:t>
      </w:r>
      <w:r w:rsidR="00B316A1">
        <w:rPr>
          <w:rFonts w:hint="cs"/>
          <w:rtl/>
        </w:rPr>
        <w:t xml:space="preserve"> זה המוטו הפסימי על </w:t>
      </w:r>
      <w:hyperlink r:id="rId2" w:history="1">
        <w:r w:rsidR="00B316A1" w:rsidRPr="00B316A1">
          <w:rPr>
            <w:rStyle w:val="Hyperlink"/>
            <w:rFonts w:hint="cs"/>
            <w:rtl/>
          </w:rPr>
          <w:t>יעקב שביקש לישב בשלווה</w:t>
        </w:r>
      </w:hyperlink>
      <w:r w:rsidR="00B316A1">
        <w:rPr>
          <w:rFonts w:hint="cs"/>
          <w:rtl/>
        </w:rPr>
        <w:t>, עליו כבר הרחבנו לדון</w:t>
      </w:r>
      <w:r w:rsidR="001B42E2">
        <w:rPr>
          <w:rFonts w:hint="cs"/>
          <w:rtl/>
        </w:rPr>
        <w:t xml:space="preserve"> בפרשה זו בשנה האחרת</w:t>
      </w:r>
      <w:r w:rsidR="00B316A1">
        <w:rPr>
          <w:rFonts w:hint="cs"/>
          <w:rtl/>
        </w:rPr>
        <w:t>.</w:t>
      </w:r>
      <w:r w:rsidR="009C7F11">
        <w:rPr>
          <w:rFonts w:hint="cs"/>
          <w:rtl/>
        </w:rPr>
        <w:t xml:space="preserve"> </w:t>
      </w:r>
    </w:p>
  </w:footnote>
  <w:footnote w:id="3">
    <w:p w:rsidR="00DE1D06" w:rsidRDefault="00DE1D06" w:rsidP="009C7F11">
      <w:pPr>
        <w:pStyle w:val="a3"/>
        <w:rPr>
          <w:rFonts w:hint="cs"/>
          <w:rtl/>
        </w:rPr>
      </w:pPr>
      <w:r>
        <w:rPr>
          <w:rStyle w:val="a5"/>
        </w:rPr>
        <w:footnoteRef/>
      </w:r>
      <w:r>
        <w:rPr>
          <w:rtl/>
        </w:rPr>
        <w:t xml:space="preserve"> </w:t>
      </w:r>
      <w:r>
        <w:rPr>
          <w:rFonts w:hint="cs"/>
          <w:rtl/>
        </w:rPr>
        <w:t xml:space="preserve">ובלשון ארמית: </w:t>
      </w:r>
      <w:r w:rsidRPr="00B56603">
        <w:rPr>
          <w:rtl/>
        </w:rPr>
        <w:t xml:space="preserve">די בליביה </w:t>
      </w:r>
      <w:r>
        <w:rPr>
          <w:rFonts w:hint="cs"/>
          <w:rtl/>
        </w:rPr>
        <w:t xml:space="preserve">- </w:t>
      </w:r>
      <w:r w:rsidRPr="00B56603">
        <w:rPr>
          <w:rtl/>
        </w:rPr>
        <w:t xml:space="preserve">בליביה, די בליבהון </w:t>
      </w:r>
      <w:r>
        <w:rPr>
          <w:rtl/>
        </w:rPr>
        <w:t>–</w:t>
      </w:r>
      <w:r>
        <w:rPr>
          <w:rFonts w:hint="cs"/>
          <w:rtl/>
        </w:rPr>
        <w:t xml:space="preserve"> </w:t>
      </w:r>
      <w:r w:rsidRPr="00B56603">
        <w:rPr>
          <w:rtl/>
        </w:rPr>
        <w:t>בפומהון</w:t>
      </w:r>
      <w:r>
        <w:rPr>
          <w:rFonts w:hint="cs"/>
          <w:rtl/>
        </w:rPr>
        <w:t>. ובלשון המוכרת לנו יותר, כפי שמביא רש"י על הפסוק: "</w:t>
      </w:r>
      <w:r>
        <w:rPr>
          <w:rtl/>
        </w:rPr>
        <w:t>ולא יכלו דברו לשלום - מתוך גנותם למדנו שבחם, שלא דברו אחת בפה ואחת בלב</w:t>
      </w:r>
      <w:r>
        <w:rPr>
          <w:rFonts w:hint="cs"/>
          <w:rtl/>
        </w:rPr>
        <w:t xml:space="preserve">". וכן הוא במקומות רבים, כגון בגמרא </w:t>
      </w:r>
      <w:r>
        <w:rPr>
          <w:rtl/>
        </w:rPr>
        <w:t>פסחים קיג ב</w:t>
      </w:r>
      <w:r>
        <w:rPr>
          <w:rFonts w:hint="cs"/>
          <w:rtl/>
        </w:rPr>
        <w:t>: "</w:t>
      </w:r>
      <w:r>
        <w:rPr>
          <w:rtl/>
        </w:rPr>
        <w:t>של</w:t>
      </w:r>
      <w:r>
        <w:rPr>
          <w:rFonts w:hint="cs"/>
          <w:rtl/>
        </w:rPr>
        <w:t>ו</w:t>
      </w:r>
      <w:r>
        <w:rPr>
          <w:rtl/>
        </w:rPr>
        <w:t xml:space="preserve">שה </w:t>
      </w:r>
      <w:r w:rsidR="004022F5">
        <w:rPr>
          <w:rtl/>
        </w:rPr>
        <w:t>הקב"ה</w:t>
      </w:r>
      <w:r>
        <w:rPr>
          <w:rtl/>
        </w:rPr>
        <w:t xml:space="preserve"> שונאן, המדבר אחד בפה ואחד בלב</w:t>
      </w:r>
      <w:r>
        <w:rPr>
          <w:rFonts w:hint="cs"/>
          <w:rtl/>
        </w:rPr>
        <w:t xml:space="preserve"> וכו' ". </w:t>
      </w:r>
      <w:r w:rsidR="009C7F11">
        <w:rPr>
          <w:rFonts w:hint="cs"/>
          <w:rtl/>
        </w:rPr>
        <w:t xml:space="preserve">כך גם </w:t>
      </w:r>
      <w:r>
        <w:rPr>
          <w:rFonts w:hint="cs"/>
          <w:rtl/>
        </w:rPr>
        <w:t xml:space="preserve">שיטת אביי בגמרא </w:t>
      </w:r>
      <w:r>
        <w:rPr>
          <w:rtl/>
        </w:rPr>
        <w:t xml:space="preserve">בבא מציעא מט א </w:t>
      </w:r>
      <w:r>
        <w:rPr>
          <w:rFonts w:hint="cs"/>
          <w:rtl/>
        </w:rPr>
        <w:t>ש"הין צדק" שכתוב בתורה (הן צדק בדרשות חז"ל) הוא "</w:t>
      </w:r>
      <w:r>
        <w:rPr>
          <w:rtl/>
        </w:rPr>
        <w:t>שלא ידבר אחד בפה ואחד בלב</w:t>
      </w:r>
      <w:r>
        <w:rPr>
          <w:rFonts w:hint="cs"/>
          <w:rtl/>
        </w:rPr>
        <w:t>". ו</w:t>
      </w:r>
      <w:r>
        <w:rPr>
          <w:rtl/>
        </w:rPr>
        <w:t>מדרש תהלים (בובר) מזמור יב</w:t>
      </w:r>
      <w:r>
        <w:rPr>
          <w:rFonts w:hint="cs"/>
          <w:rtl/>
        </w:rPr>
        <w:t xml:space="preserve"> מוסיף את הביטוי "בלב ולב: ואלה דבריו: </w:t>
      </w:r>
      <w:r>
        <w:rPr>
          <w:rtl/>
        </w:rPr>
        <w:t>שוא ידברו איש אל רעהו</w:t>
      </w:r>
      <w:r w:rsidR="001B42E2">
        <w:rPr>
          <w:rFonts w:hint="cs"/>
          <w:rtl/>
        </w:rPr>
        <w:t xml:space="preserve"> -</w:t>
      </w:r>
      <w:r w:rsidR="001B42E2">
        <w:rPr>
          <w:rtl/>
        </w:rPr>
        <w:t xml:space="preserve"> שפת חלקות</w:t>
      </w:r>
      <w:r w:rsidR="001B42E2">
        <w:rPr>
          <w:rFonts w:hint="cs"/>
          <w:rtl/>
        </w:rPr>
        <w:t>,</w:t>
      </w:r>
      <w:r>
        <w:rPr>
          <w:rtl/>
        </w:rPr>
        <w:t xml:space="preserve"> שמחליקין בשפתותיהם</w:t>
      </w:r>
      <w:r w:rsidR="001B42E2">
        <w:rPr>
          <w:rFonts w:hint="cs"/>
          <w:rtl/>
        </w:rPr>
        <w:t>,</w:t>
      </w:r>
      <w:r>
        <w:rPr>
          <w:rtl/>
        </w:rPr>
        <w:t xml:space="preserve"> בלב ולב ידברו</w:t>
      </w:r>
      <w:r w:rsidR="001B42E2">
        <w:rPr>
          <w:rFonts w:hint="cs"/>
          <w:rtl/>
        </w:rPr>
        <w:t>,</w:t>
      </w:r>
      <w:r>
        <w:rPr>
          <w:rtl/>
        </w:rPr>
        <w:t xml:space="preserve"> אחד בפה ואחד בלב</w:t>
      </w:r>
      <w:r>
        <w:rPr>
          <w:rFonts w:hint="cs"/>
          <w:rtl/>
        </w:rPr>
        <w:t>"</w:t>
      </w:r>
      <w:r>
        <w:rPr>
          <w:rtl/>
        </w:rPr>
        <w:t xml:space="preserve">. </w:t>
      </w:r>
      <w:r w:rsidR="001B42E2">
        <w:rPr>
          <w:rFonts w:hint="cs"/>
          <w:rtl/>
        </w:rPr>
        <w:t xml:space="preserve">ראה דברינו </w:t>
      </w:r>
      <w:hyperlink r:id="rId3" w:history="1">
        <w:r w:rsidR="001B42E2" w:rsidRPr="000D5110">
          <w:rPr>
            <w:rStyle w:val="Hyperlink"/>
            <w:rFonts w:hint="cs"/>
            <w:rtl/>
          </w:rPr>
          <w:t>תוכו כברו</w:t>
        </w:r>
      </w:hyperlink>
      <w:r w:rsidR="001B42E2">
        <w:rPr>
          <w:rFonts w:hint="cs"/>
          <w:rtl/>
        </w:rPr>
        <w:t xml:space="preserve"> בפרשת תרומה. </w:t>
      </w:r>
      <w:r>
        <w:rPr>
          <w:rFonts w:hint="cs"/>
          <w:rtl/>
        </w:rPr>
        <w:t xml:space="preserve">אך אם נחזור אל אחי יוסף, אולי שבחם אינו כזה גדול. ראה </w:t>
      </w:r>
      <w:r>
        <w:rPr>
          <w:rtl/>
        </w:rPr>
        <w:t>מדרש אגדה (בובר) ויקרא פרק יט</w:t>
      </w:r>
      <w:r>
        <w:rPr>
          <w:rFonts w:hint="cs"/>
          <w:rtl/>
        </w:rPr>
        <w:t xml:space="preserve"> על הפסוק: "</w:t>
      </w:r>
      <w:r>
        <w:rPr>
          <w:rtl/>
        </w:rPr>
        <w:t>לא תשנא את אחיך בלבבך</w:t>
      </w:r>
      <w:r>
        <w:rPr>
          <w:rFonts w:hint="cs"/>
          <w:rtl/>
        </w:rPr>
        <w:t>" וזה לשונו: "</w:t>
      </w:r>
      <w:r>
        <w:rPr>
          <w:rtl/>
        </w:rPr>
        <w:t>אלא למוד משבטים, שמתוך גנותן למדנו שבחם, שנאמר</w:t>
      </w:r>
      <w:r>
        <w:rPr>
          <w:rFonts w:hint="cs"/>
          <w:rtl/>
        </w:rPr>
        <w:t>:</w:t>
      </w:r>
      <w:r>
        <w:rPr>
          <w:rtl/>
        </w:rPr>
        <w:t xml:space="preserve"> ולא יכלו דברו לשלום (בראשית לז ד), רצה לומר כי שונאים את יוסף היו ולא היו יכולים לדבר עמו בפה לשלום מאחר שהלב שונא, והזהירך התורה שלא תשמור השנאה בלבבך ואתה מדבר בפה רכות</w:t>
      </w:r>
      <w:r>
        <w:rPr>
          <w:rFonts w:hint="cs"/>
          <w:rtl/>
        </w:rPr>
        <w:t>.</w:t>
      </w:r>
      <w:r>
        <w:rPr>
          <w:rtl/>
        </w:rPr>
        <w:t xml:space="preserve"> אלא העבר השנאה והוי מתלמידיו של אהרן, אוהב שלום ורודף שלום</w:t>
      </w:r>
      <w:r>
        <w:rPr>
          <w:rFonts w:hint="cs"/>
          <w:rtl/>
        </w:rPr>
        <w:t>"</w:t>
      </w:r>
      <w:r w:rsidR="001B42E2">
        <w:rPr>
          <w:rFonts w:hint="cs"/>
          <w:rtl/>
        </w:rPr>
        <w:t>.</w:t>
      </w:r>
      <w:r>
        <w:rPr>
          <w:rFonts w:hint="cs"/>
          <w:rtl/>
        </w:rPr>
        <w:t xml:space="preserve"> אחד בפה אחד בלב, בפרט לשון חלקות של מי שבלבו שונא, היא אכן דרך נלוזה ומוטב כבר לשתוק. אבל יש דרך טובה יותר: להעביר את השנאה</w:t>
      </w:r>
      <w:r w:rsidR="009C7F11">
        <w:rPr>
          <w:rFonts w:hint="cs"/>
          <w:rtl/>
        </w:rPr>
        <w:t xml:space="preserve"> - </w:t>
      </w:r>
      <w:r>
        <w:rPr>
          <w:rFonts w:hint="cs"/>
          <w:rtl/>
        </w:rPr>
        <w:t>להיות מתלמידיו של אהרון.</w:t>
      </w:r>
    </w:p>
  </w:footnote>
  <w:footnote w:id="4">
    <w:p w:rsidR="00E85D65" w:rsidRDefault="00E85D65" w:rsidP="009C7F11">
      <w:pPr>
        <w:pStyle w:val="a3"/>
        <w:rPr>
          <w:rFonts w:hint="cs"/>
          <w:rtl/>
        </w:rPr>
      </w:pPr>
      <w:r>
        <w:rPr>
          <w:rStyle w:val="a5"/>
        </w:rPr>
        <w:footnoteRef/>
      </w:r>
      <w:r>
        <w:rPr>
          <w:rtl/>
        </w:rPr>
        <w:t xml:space="preserve"> </w:t>
      </w:r>
      <w:r>
        <w:rPr>
          <w:rFonts w:hint="cs"/>
          <w:rtl/>
        </w:rPr>
        <w:t xml:space="preserve">פירוש הביטוי הוא שפשפשו בפנקס בו רשומים כל מעשי האדם ונמצא שהוא בחובות, שרבים עוונותיו על זכויותיו, ולפיכך הגיעתו הצרה שהגיעה. נראה שביטוי זה הוא ייחודי למדרש בראשית רבה וממנו לקחו מדרשים מאוחרים כמו תנחומא, </w:t>
      </w:r>
      <w:r w:rsidR="000D5110">
        <w:rPr>
          <w:rFonts w:hint="cs"/>
          <w:rtl/>
        </w:rPr>
        <w:t>ילמדנו</w:t>
      </w:r>
      <w:r>
        <w:rPr>
          <w:rFonts w:hint="cs"/>
          <w:rtl/>
        </w:rPr>
        <w:t xml:space="preserve"> ואחרים. ביטוי קרוב מצאנו ברש"י על הגמרא בברכות נד ע"ב שעיון תפילה</w:t>
      </w:r>
      <w:r w:rsidR="009C7F11">
        <w:rPr>
          <w:rFonts w:hint="cs"/>
          <w:rtl/>
        </w:rPr>
        <w:t>, היינו תפילה ארוכה ו'בחוזקה',</w:t>
      </w:r>
      <w:r>
        <w:rPr>
          <w:rFonts w:hint="cs"/>
          <w:rtl/>
        </w:rPr>
        <w:t xml:space="preserve"> מזכיר את עוונותיו של האדם, אומר רש"י: "שעל ידיהן מפשפשים למעלה במעשיו לומר: זה בוטח בזכויותיו, נראה מה הם". ולגבי יעקב, </w:t>
      </w:r>
      <w:r w:rsidR="000D5110">
        <w:rPr>
          <w:rFonts w:hint="cs"/>
          <w:rtl/>
        </w:rPr>
        <w:t>"</w:t>
      </w:r>
      <w:r>
        <w:rPr>
          <w:rFonts w:hint="cs"/>
          <w:rtl/>
        </w:rPr>
        <w:t>נתבקרה פנקסו</w:t>
      </w:r>
      <w:r w:rsidR="000D5110">
        <w:rPr>
          <w:rFonts w:hint="cs"/>
          <w:rtl/>
        </w:rPr>
        <w:t>"</w:t>
      </w:r>
      <w:r>
        <w:rPr>
          <w:rFonts w:hint="cs"/>
          <w:rtl/>
        </w:rPr>
        <w:t xml:space="preserve"> עוד הרבה לפני כן, בנזיפה של</w:t>
      </w:r>
      <w:r w:rsidR="009C7F11">
        <w:rPr>
          <w:rFonts w:hint="cs"/>
          <w:rtl/>
        </w:rPr>
        <w:t xml:space="preserve"> הקב"ה</w:t>
      </w:r>
      <w:r>
        <w:rPr>
          <w:rFonts w:hint="cs"/>
          <w:rtl/>
        </w:rPr>
        <w:t xml:space="preserve">: "קום עלה בית אל", </w:t>
      </w:r>
      <w:r w:rsidR="009C7F11">
        <w:rPr>
          <w:rFonts w:hint="cs"/>
          <w:rtl/>
        </w:rPr>
        <w:t xml:space="preserve">לאחר </w:t>
      </w:r>
      <w:r>
        <w:rPr>
          <w:rFonts w:hint="cs"/>
          <w:rtl/>
        </w:rPr>
        <w:t xml:space="preserve">שחזר בשלום לארץ ישראל </w:t>
      </w:r>
      <w:r w:rsidR="000D5110">
        <w:rPr>
          <w:rFonts w:hint="cs"/>
          <w:rtl/>
        </w:rPr>
        <w:t>וקוימו</w:t>
      </w:r>
      <w:r>
        <w:rPr>
          <w:rFonts w:hint="cs"/>
          <w:rtl/>
        </w:rPr>
        <w:t xml:space="preserve"> לו כל הבטחות והוא לא מקיים את נדרו. ראה </w:t>
      </w:r>
      <w:r>
        <w:rPr>
          <w:rtl/>
        </w:rPr>
        <w:t>בראשית רבה פא</w:t>
      </w:r>
      <w:r>
        <w:rPr>
          <w:rFonts w:hint="cs"/>
          <w:rtl/>
        </w:rPr>
        <w:t xml:space="preserve"> ב: "</w:t>
      </w:r>
      <w:r>
        <w:rPr>
          <w:rtl/>
        </w:rPr>
        <w:t>ויאמר אלהים אל יעקב קום עלה וגו', (משלי כ) מוקש אדם ילע קודש ואחר נדרים לבקר</w:t>
      </w:r>
      <w:r>
        <w:rPr>
          <w:rFonts w:hint="cs"/>
          <w:rtl/>
        </w:rPr>
        <w:t xml:space="preserve"> ...</w:t>
      </w:r>
      <w:r>
        <w:rPr>
          <w:rtl/>
        </w:rPr>
        <w:t xml:space="preserve"> א"ר ינאי</w:t>
      </w:r>
      <w:r>
        <w:rPr>
          <w:rFonts w:hint="cs"/>
          <w:rtl/>
        </w:rPr>
        <w:t>:</w:t>
      </w:r>
      <w:r>
        <w:rPr>
          <w:rtl/>
        </w:rPr>
        <w:t xml:space="preserve"> איחר אדם את נדרו נתבקרה פנקסו</w:t>
      </w:r>
      <w:r>
        <w:rPr>
          <w:rFonts w:hint="cs"/>
          <w:rtl/>
        </w:rPr>
        <w:t xml:space="preserve"> ...</w:t>
      </w:r>
      <w:r>
        <w:rPr>
          <w:rtl/>
        </w:rPr>
        <w:t xml:space="preserve"> א"ר אבא בר כהנא</w:t>
      </w:r>
      <w:r>
        <w:rPr>
          <w:rFonts w:hint="cs"/>
          <w:rtl/>
        </w:rPr>
        <w:t>:</w:t>
      </w:r>
      <w:r>
        <w:rPr>
          <w:rtl/>
        </w:rPr>
        <w:t xml:space="preserve"> אם חשבת בלבך דבר מצוה לעשות ולא עשית</w:t>
      </w:r>
      <w:r>
        <w:rPr>
          <w:rFonts w:hint="cs"/>
          <w:rtl/>
        </w:rPr>
        <w:t>,</w:t>
      </w:r>
      <w:r>
        <w:rPr>
          <w:rtl/>
        </w:rPr>
        <w:t xml:space="preserve"> נוח לך ליתן זמם על פיך ולא לפסוק</w:t>
      </w:r>
      <w:r>
        <w:rPr>
          <w:rFonts w:hint="cs"/>
          <w:rtl/>
        </w:rPr>
        <w:t>.</w:t>
      </w:r>
      <w:r>
        <w:rPr>
          <w:rtl/>
        </w:rPr>
        <w:t xml:space="preserve"> א"ר יודן</w:t>
      </w:r>
      <w:r>
        <w:rPr>
          <w:rFonts w:hint="cs"/>
          <w:rtl/>
        </w:rPr>
        <w:t>:</w:t>
      </w:r>
      <w:r>
        <w:rPr>
          <w:rtl/>
        </w:rPr>
        <w:t xml:space="preserve"> מה ידך סמוכה לפיך</w:t>
      </w:r>
      <w:r>
        <w:rPr>
          <w:rFonts w:hint="cs"/>
          <w:rtl/>
        </w:rPr>
        <w:t>,</w:t>
      </w:r>
      <w:r>
        <w:rPr>
          <w:rtl/>
        </w:rPr>
        <w:t xml:space="preserve"> כן יהיה נדריך סמוך לפיך</w:t>
      </w:r>
      <w:r>
        <w:rPr>
          <w:rFonts w:hint="cs"/>
          <w:rtl/>
        </w:rPr>
        <w:t>.</w:t>
      </w:r>
      <w:r>
        <w:rPr>
          <w:rtl/>
        </w:rPr>
        <w:t xml:space="preserve"> רבנן אמרי</w:t>
      </w:r>
      <w:r>
        <w:rPr>
          <w:rFonts w:hint="cs"/>
          <w:rtl/>
        </w:rPr>
        <w:t>:</w:t>
      </w:r>
      <w:r>
        <w:rPr>
          <w:rtl/>
        </w:rPr>
        <w:t xml:space="preserve"> מה ידך קודם לפיך</w:t>
      </w:r>
      <w:r>
        <w:rPr>
          <w:rFonts w:hint="cs"/>
          <w:rtl/>
        </w:rPr>
        <w:t>,</w:t>
      </w:r>
      <w:r>
        <w:rPr>
          <w:rtl/>
        </w:rPr>
        <w:t xml:space="preserve"> כן יהיה נדריך קודם לפיך</w:t>
      </w:r>
      <w:r>
        <w:rPr>
          <w:rFonts w:hint="cs"/>
          <w:rtl/>
        </w:rPr>
        <w:t>.</w:t>
      </w:r>
      <w:r>
        <w:rPr>
          <w:rtl/>
        </w:rPr>
        <w:t xml:space="preserve"> תדע לך שכן שהרי אבינו יעקב ע"י שאיחר נדרו נתבקרה פנקסו, שנאמר (בראשית לה) ויאמר אלהים אל יעקב קום עלה בית אל ושב שם ועשה שם מזבח</w:t>
      </w:r>
      <w:r>
        <w:rPr>
          <w:rFonts w:hint="cs"/>
          <w:rtl/>
        </w:rPr>
        <w:t>".</w:t>
      </w:r>
      <w:r>
        <w:rPr>
          <w:rtl/>
        </w:rPr>
        <w:t xml:space="preserve"> </w:t>
      </w:r>
      <w:r w:rsidR="009C7F11">
        <w:rPr>
          <w:rFonts w:hint="cs"/>
          <w:rtl/>
        </w:rPr>
        <w:t xml:space="preserve">נתבקרה פנקסו שם הוא מעשה דינה. </w:t>
      </w:r>
      <w:r>
        <w:rPr>
          <w:rFonts w:hint="cs"/>
          <w:rtl/>
        </w:rPr>
        <w:t xml:space="preserve">ובהמשך המדרש שם, </w:t>
      </w:r>
      <w:r w:rsidR="009C7F11">
        <w:rPr>
          <w:rFonts w:hint="cs"/>
          <w:rtl/>
        </w:rPr>
        <w:t xml:space="preserve">נמצאים </w:t>
      </w:r>
      <w:r>
        <w:rPr>
          <w:rFonts w:hint="cs"/>
          <w:rtl/>
        </w:rPr>
        <w:t>שני מכמנים נוספים: "</w:t>
      </w:r>
      <w:r>
        <w:rPr>
          <w:rtl/>
        </w:rPr>
        <w:t>א</w:t>
      </w:r>
      <w:r>
        <w:rPr>
          <w:rFonts w:hint="cs"/>
          <w:rtl/>
        </w:rPr>
        <w:t xml:space="preserve">מר ר' </w:t>
      </w:r>
      <w:r>
        <w:rPr>
          <w:rtl/>
        </w:rPr>
        <w:t>אבא בר כהנא</w:t>
      </w:r>
      <w:r>
        <w:rPr>
          <w:rFonts w:hint="cs"/>
          <w:rtl/>
        </w:rPr>
        <w:t xml:space="preserve">: בשעת צרה </w:t>
      </w:r>
      <w:r>
        <w:rPr>
          <w:rtl/>
        </w:rPr>
        <w:t>–</w:t>
      </w:r>
      <w:r>
        <w:rPr>
          <w:rFonts w:hint="cs"/>
          <w:rtl/>
        </w:rPr>
        <w:t xml:space="preserve"> נדר, בשעת רווחה </w:t>
      </w:r>
      <w:r>
        <w:rPr>
          <w:rtl/>
        </w:rPr>
        <w:t>–</w:t>
      </w:r>
      <w:r w:rsidR="009C7F11">
        <w:rPr>
          <w:rFonts w:hint="cs"/>
          <w:rtl/>
        </w:rPr>
        <w:t xml:space="preserve"> שטף" </w:t>
      </w:r>
      <w:r w:rsidR="009C7F11">
        <w:rPr>
          <w:rtl/>
        </w:rPr>
        <w:t>–</w:t>
      </w:r>
      <w:r w:rsidR="009C7F11">
        <w:rPr>
          <w:rFonts w:hint="cs"/>
          <w:rtl/>
        </w:rPr>
        <w:t xml:space="preserve"> בשעת צרה נדרת ועכשיו שרווח לך שכחת (נשטף העניין).</w:t>
      </w:r>
      <w:r>
        <w:rPr>
          <w:rFonts w:hint="cs"/>
          <w:rtl/>
        </w:rPr>
        <w:t xml:space="preserve"> ו</w:t>
      </w:r>
      <w:r>
        <w:rPr>
          <w:rtl/>
        </w:rPr>
        <w:t>ר</w:t>
      </w:r>
      <w:r>
        <w:rPr>
          <w:rFonts w:hint="cs"/>
          <w:rtl/>
        </w:rPr>
        <w:t>'</w:t>
      </w:r>
      <w:r>
        <w:rPr>
          <w:rtl/>
        </w:rPr>
        <w:t xml:space="preserve"> לוי </w:t>
      </w:r>
      <w:r>
        <w:rPr>
          <w:rFonts w:hint="cs"/>
          <w:rtl/>
        </w:rPr>
        <w:t>מוסיף שם: "נ</w:t>
      </w:r>
      <w:r>
        <w:rPr>
          <w:rFonts w:hint="eastAsia"/>
          <w:rtl/>
        </w:rPr>
        <w:t>ָ</w:t>
      </w:r>
      <w:r>
        <w:rPr>
          <w:rFonts w:hint="cs"/>
          <w:rtl/>
        </w:rPr>
        <w:t>פ</w:t>
      </w:r>
      <w:r>
        <w:rPr>
          <w:rFonts w:hint="eastAsia"/>
          <w:rtl/>
        </w:rPr>
        <w:t>ָ</w:t>
      </w:r>
      <w:r>
        <w:rPr>
          <w:rFonts w:hint="cs"/>
          <w:rtl/>
        </w:rPr>
        <w:t>ת</w:t>
      </w:r>
      <w:r>
        <w:rPr>
          <w:rFonts w:hint="eastAsia"/>
          <w:rtl/>
        </w:rPr>
        <w:t>ְ</w:t>
      </w:r>
      <w:r>
        <w:rPr>
          <w:rFonts w:hint="cs"/>
          <w:rtl/>
        </w:rPr>
        <w:t>ך</w:t>
      </w:r>
      <w:r>
        <w:rPr>
          <w:rFonts w:hint="eastAsia"/>
          <w:rtl/>
        </w:rPr>
        <w:t>ָ</w:t>
      </w:r>
      <w:r>
        <w:rPr>
          <w:rFonts w:hint="cs"/>
          <w:rtl/>
        </w:rPr>
        <w:t xml:space="preserve"> ח</w:t>
      </w:r>
      <w:r>
        <w:rPr>
          <w:rFonts w:hint="eastAsia"/>
          <w:rtl/>
        </w:rPr>
        <w:t>ֵ</w:t>
      </w:r>
      <w:r>
        <w:rPr>
          <w:rFonts w:hint="cs"/>
          <w:rtl/>
        </w:rPr>
        <w:t>ר</w:t>
      </w:r>
      <w:r>
        <w:rPr>
          <w:rFonts w:hint="eastAsia"/>
          <w:rtl/>
        </w:rPr>
        <w:t>ֶ</w:t>
      </w:r>
      <w:r>
        <w:rPr>
          <w:rFonts w:hint="cs"/>
          <w:rtl/>
        </w:rPr>
        <w:t>ש</w:t>
      </w:r>
      <w:r>
        <w:rPr>
          <w:rFonts w:hint="eastAsia"/>
          <w:rtl/>
        </w:rPr>
        <w:t>ֶׁ</w:t>
      </w:r>
      <w:r>
        <w:rPr>
          <w:rFonts w:hint="cs"/>
          <w:rtl/>
        </w:rPr>
        <w:t xml:space="preserve">ת </w:t>
      </w:r>
      <w:r>
        <w:rPr>
          <w:rtl/>
        </w:rPr>
        <w:t>–</w:t>
      </w:r>
      <w:r>
        <w:rPr>
          <w:rFonts w:hint="cs"/>
          <w:rtl/>
        </w:rPr>
        <w:t xml:space="preserve"> הקש עליה". שהקב"ה נאלץ להקיש על נפתו של יעקב שנסתמה</w:t>
      </w:r>
      <w:r w:rsidR="000D5110">
        <w:rPr>
          <w:rFonts w:hint="cs"/>
          <w:rtl/>
        </w:rPr>
        <w:t xml:space="preserve"> ונתחרשה</w:t>
      </w:r>
      <w:r>
        <w:rPr>
          <w:rFonts w:hint="cs"/>
          <w:rtl/>
        </w:rPr>
        <w:t xml:space="preserve">. ראה ביטויים אלה שם ובמפרשים </w:t>
      </w:r>
      <w:r w:rsidR="000D5110">
        <w:rPr>
          <w:rFonts w:hint="cs"/>
          <w:rtl/>
        </w:rPr>
        <w:t xml:space="preserve">וכן דברינו </w:t>
      </w:r>
      <w:hyperlink r:id="rId4" w:history="1">
        <w:r w:rsidR="000D5110" w:rsidRPr="000D5110">
          <w:rPr>
            <w:rStyle w:val="Hyperlink"/>
            <w:rFonts w:hint="cs"/>
            <w:rtl/>
          </w:rPr>
          <w:t>קום עלה בית אל</w:t>
        </w:r>
      </w:hyperlink>
      <w:r w:rsidR="000D5110">
        <w:rPr>
          <w:rFonts w:hint="cs"/>
          <w:rtl/>
        </w:rPr>
        <w:t xml:space="preserve"> בפרשת וישלח. </w:t>
      </w:r>
      <w:r>
        <w:rPr>
          <w:rFonts w:hint="cs"/>
          <w:rtl/>
        </w:rPr>
        <w:t>ועד כאן בפנקס המתבקר או המבוקר.</w:t>
      </w:r>
    </w:p>
  </w:footnote>
  <w:footnote w:id="5">
    <w:p w:rsidR="00E85D65" w:rsidRDefault="00E85D65" w:rsidP="009C7F11">
      <w:pPr>
        <w:pStyle w:val="a3"/>
        <w:rPr>
          <w:rFonts w:hint="cs"/>
          <w:rtl/>
        </w:rPr>
      </w:pPr>
      <w:r>
        <w:rPr>
          <w:rStyle w:val="a5"/>
        </w:rPr>
        <w:footnoteRef/>
      </w:r>
      <w:r>
        <w:rPr>
          <w:rtl/>
        </w:rPr>
        <w:t xml:space="preserve"> </w:t>
      </w:r>
      <w:r>
        <w:rPr>
          <w:rFonts w:hint="cs"/>
          <w:rtl/>
        </w:rPr>
        <w:t xml:space="preserve">יצחק, שהשתתף באבלו של יעקב בנו, אבל הוא עצמו לא נהג באבלות כפי שנסביר להלן. </w:t>
      </w:r>
    </w:p>
  </w:footnote>
  <w:footnote w:id="6">
    <w:p w:rsidR="00E85D65" w:rsidRDefault="00E85D65" w:rsidP="009C7F11">
      <w:pPr>
        <w:pStyle w:val="a3"/>
        <w:rPr>
          <w:rFonts w:hint="cs"/>
          <w:rtl/>
        </w:rPr>
      </w:pPr>
      <w:r>
        <w:rPr>
          <w:rStyle w:val="a5"/>
        </w:rPr>
        <w:footnoteRef/>
      </w:r>
      <w:r>
        <w:rPr>
          <w:rtl/>
        </w:rPr>
        <w:t xml:space="preserve"> </w:t>
      </w:r>
      <w:r>
        <w:rPr>
          <w:rFonts w:hint="cs"/>
          <w:rtl/>
        </w:rPr>
        <w:t>בסדר הדורות</w:t>
      </w:r>
      <w:r w:rsidR="009C7F11">
        <w:rPr>
          <w:rFonts w:hint="cs"/>
          <w:rtl/>
        </w:rPr>
        <w:t xml:space="preserve">, </w:t>
      </w:r>
      <w:r>
        <w:rPr>
          <w:rFonts w:hint="cs"/>
          <w:rtl/>
        </w:rPr>
        <w:t>יוסף נמכר עוד בחיי יצחק הסבא שנפטר א</w:t>
      </w:r>
      <w:r w:rsidR="00A7017C">
        <w:rPr>
          <w:rFonts w:hint="cs"/>
          <w:rtl/>
        </w:rPr>
        <w:t>ר</w:t>
      </w:r>
      <w:r>
        <w:rPr>
          <w:rFonts w:hint="cs"/>
          <w:rtl/>
        </w:rPr>
        <w:t xml:space="preserve">בע </w:t>
      </w:r>
      <w:r w:rsidR="00A7017C">
        <w:rPr>
          <w:rFonts w:hint="cs"/>
          <w:rtl/>
        </w:rPr>
        <w:t xml:space="preserve">שנים לאחר מכירת יוסף </w:t>
      </w:r>
      <w:r>
        <w:rPr>
          <w:rFonts w:hint="cs"/>
          <w:rtl/>
        </w:rPr>
        <w:t>(</w:t>
      </w:r>
      <w:r w:rsidR="00A7017C">
        <w:rPr>
          <w:rFonts w:hint="cs"/>
          <w:rtl/>
        </w:rPr>
        <w:t xml:space="preserve">לפי </w:t>
      </w:r>
      <w:r>
        <w:rPr>
          <w:rFonts w:hint="cs"/>
          <w:rtl/>
        </w:rPr>
        <w:t>שיטות אחרות</w:t>
      </w:r>
      <w:r w:rsidR="00A7017C">
        <w:rPr>
          <w:rFonts w:hint="cs"/>
          <w:rtl/>
        </w:rPr>
        <w:t xml:space="preserve"> אף יותר)</w:t>
      </w:r>
      <w:r w:rsidR="009C7F11">
        <w:rPr>
          <w:rFonts w:hint="cs"/>
          <w:rtl/>
        </w:rPr>
        <w:t>,</w:t>
      </w:r>
      <w:r w:rsidR="00A7017C">
        <w:rPr>
          <w:rFonts w:hint="cs"/>
          <w:rtl/>
        </w:rPr>
        <w:t xml:space="preserve"> </w:t>
      </w:r>
      <w:r>
        <w:rPr>
          <w:rFonts w:hint="cs"/>
          <w:rtl/>
        </w:rPr>
        <w:t>ו</w:t>
      </w:r>
      <w:r w:rsidR="009C7F11">
        <w:rPr>
          <w:rFonts w:hint="cs"/>
          <w:rtl/>
        </w:rPr>
        <w:t xml:space="preserve">כאן </w:t>
      </w:r>
      <w:r>
        <w:rPr>
          <w:rFonts w:hint="cs"/>
          <w:rtl/>
        </w:rPr>
        <w:t>סבא</w:t>
      </w:r>
      <w:r w:rsidR="009C7F11">
        <w:rPr>
          <w:rFonts w:hint="cs"/>
          <w:rtl/>
        </w:rPr>
        <w:t xml:space="preserve"> יצחק</w:t>
      </w:r>
      <w:r>
        <w:rPr>
          <w:rFonts w:hint="cs"/>
          <w:rtl/>
        </w:rPr>
        <w:t xml:space="preserve"> בא לנחם את האבא</w:t>
      </w:r>
      <w:r w:rsidR="009C7F11">
        <w:rPr>
          <w:rFonts w:hint="cs"/>
          <w:rtl/>
        </w:rPr>
        <w:t xml:space="preserve"> יעקב</w:t>
      </w:r>
      <w:r>
        <w:rPr>
          <w:rFonts w:hint="cs"/>
          <w:rtl/>
        </w:rPr>
        <w:t>! לצד התיאור הסיפורי-אגדתי המרגש, משמש מדרש אגדה זה (מספר בראשית!) כסמך להלכה בדיני אבלות; הלכה הקובעת שיחסי הקרבה המשפחתיים לדין אבלות הם הדדיים. מי שמתאבלים עליו (בן על אביו, בעל על אשתו) הוא גם זה שאילו הוא היה נפטר קודם, היו מתאבלים עליו (האב על הבן, האשה על בעלה). ראה מ</w:t>
      </w:r>
      <w:r>
        <w:rPr>
          <w:rtl/>
        </w:rPr>
        <w:t xml:space="preserve">סכת שמחות פרק ד </w:t>
      </w:r>
      <w:r>
        <w:rPr>
          <w:rFonts w:hint="cs"/>
          <w:rtl/>
        </w:rPr>
        <w:t>הלכה א: "</w:t>
      </w:r>
      <w:r>
        <w:rPr>
          <w:rtl/>
        </w:rPr>
        <w:t>על כל האמור בתורה כהן מטמא, ישראל מתאבל; כהן מטמא על אביו ועל אמו, על בנו ועל בתו, על אחיו ועל אחותו ועל אשתו</w:t>
      </w:r>
      <w:r>
        <w:rPr>
          <w:rFonts w:hint="cs"/>
          <w:rtl/>
        </w:rPr>
        <w:t xml:space="preserve">". וכשמנסה שם </w:t>
      </w:r>
      <w:r>
        <w:rPr>
          <w:rtl/>
        </w:rPr>
        <w:t xml:space="preserve">רבי שמעון בן אלעזר </w:t>
      </w:r>
      <w:r>
        <w:rPr>
          <w:rFonts w:hint="cs"/>
          <w:rtl/>
        </w:rPr>
        <w:t>להוסיף סבא מצד אחד ונכדים מצד שני, עונים לו חכמים: "</w:t>
      </w:r>
      <w:r>
        <w:rPr>
          <w:rtl/>
        </w:rPr>
        <w:t>כל מי שמתאבל עליו מתאבלין עמו, וכל מי שאין מתאבל עליו אין מתאבלין עמו</w:t>
      </w:r>
      <w:r>
        <w:rPr>
          <w:rFonts w:hint="cs"/>
          <w:rtl/>
        </w:rPr>
        <w:t>"</w:t>
      </w:r>
      <w:r w:rsidR="001621F9">
        <w:rPr>
          <w:rFonts w:hint="cs"/>
          <w:rtl/>
        </w:rPr>
        <w:t xml:space="preserve"> ולכן כאשר יצא יצחק מיעקב האבל, לא נהג אבלות ורחץ וסך ואכל ושתה (ולפי הדעה הראשונה, משום שידע שיוסף באמת לא מת)</w:t>
      </w:r>
      <w:r>
        <w:rPr>
          <w:rtl/>
        </w:rPr>
        <w:t>.</w:t>
      </w:r>
      <w:r>
        <w:rPr>
          <w:rFonts w:hint="cs"/>
          <w:rtl/>
        </w:rPr>
        <w:t xml:space="preserve"> ראה עוד ב</w:t>
      </w:r>
      <w:r w:rsidR="007120F4">
        <w:rPr>
          <w:rFonts w:hint="cs"/>
          <w:rtl/>
        </w:rPr>
        <w:t xml:space="preserve">נושא זה </w:t>
      </w:r>
      <w:r>
        <w:rPr>
          <w:rFonts w:hint="cs"/>
          <w:rtl/>
        </w:rPr>
        <w:t>גמרא מועד קטן כ ע"ב</w:t>
      </w:r>
      <w:r w:rsidR="00210A5A">
        <w:rPr>
          <w:rFonts w:hint="cs"/>
          <w:rtl/>
        </w:rPr>
        <w:t>.</w:t>
      </w:r>
      <w:r>
        <w:rPr>
          <w:rFonts w:hint="cs"/>
          <w:rtl/>
        </w:rPr>
        <w:t xml:space="preserve"> ועד כאן בביטוי זה.</w:t>
      </w:r>
    </w:p>
  </w:footnote>
  <w:footnote w:id="7">
    <w:p w:rsidR="00E85D65" w:rsidRDefault="00E85D65" w:rsidP="007120F4">
      <w:pPr>
        <w:pStyle w:val="a3"/>
        <w:rPr>
          <w:rFonts w:hint="cs"/>
          <w:rtl/>
        </w:rPr>
      </w:pPr>
      <w:r>
        <w:rPr>
          <w:rStyle w:val="a5"/>
        </w:rPr>
        <w:footnoteRef/>
      </w:r>
      <w:r>
        <w:rPr>
          <w:rtl/>
        </w:rPr>
        <w:t xml:space="preserve"> </w:t>
      </w:r>
      <w:r>
        <w:rPr>
          <w:rFonts w:hint="cs"/>
          <w:rtl/>
        </w:rPr>
        <w:t>מיהודה, מקשה המטרונה, לומדים שאין מקשים על המת ויש בסופו של דבר לקבל תנחומים ולחז</w:t>
      </w:r>
      <w:r w:rsidR="00210A5A">
        <w:rPr>
          <w:rFonts w:hint="cs"/>
          <w:rtl/>
        </w:rPr>
        <w:t>ו</w:t>
      </w:r>
      <w:r>
        <w:rPr>
          <w:rFonts w:hint="cs"/>
          <w:rtl/>
        </w:rPr>
        <w:t xml:space="preserve">ר לחיי עשייה. </w:t>
      </w:r>
      <w:r w:rsidR="007120F4">
        <w:rPr>
          <w:rFonts w:hint="cs"/>
          <w:rtl/>
        </w:rPr>
        <w:t xml:space="preserve">ראה מועד קטן כז ע"ב שאין להתקשות על המת יותר מדאי והסיפור הקשה שם על שכנתו של רב הונא שהייתה בוכה בכי גדול על בנה ורב הונא מנסה לעצור בעדה ומה אירע לה. ראה כמו </w:t>
      </w:r>
      <w:r>
        <w:rPr>
          <w:rFonts w:hint="cs"/>
          <w:rtl/>
        </w:rPr>
        <w:t xml:space="preserve">כן פירוש </w:t>
      </w:r>
      <w:r>
        <w:rPr>
          <w:rtl/>
        </w:rPr>
        <w:t xml:space="preserve">רמב"ן </w:t>
      </w:r>
      <w:r>
        <w:rPr>
          <w:rFonts w:hint="cs"/>
          <w:rtl/>
        </w:rPr>
        <w:t>ב</w:t>
      </w:r>
      <w:r>
        <w:rPr>
          <w:rtl/>
        </w:rPr>
        <w:t>פרשת ראה</w:t>
      </w:r>
      <w:r>
        <w:rPr>
          <w:rFonts w:hint="cs"/>
          <w:rtl/>
        </w:rPr>
        <w:t>, דברים פרק יד פסוקים א-ב: "בנים אתה לה' אלהיכם ... כי עם קדוש אתה לה' אלהיך", שמפסוקים אלה יש "</w:t>
      </w:r>
      <w:r>
        <w:rPr>
          <w:rtl/>
        </w:rPr>
        <w:t>סמך לרבותינו באסרם להתאבל על נפש יותר מדאי</w:t>
      </w:r>
      <w:r>
        <w:rPr>
          <w:rFonts w:hint="cs"/>
          <w:rtl/>
        </w:rPr>
        <w:t xml:space="preserve">". </w:t>
      </w:r>
      <w:r w:rsidR="007120F4">
        <w:rPr>
          <w:rFonts w:hint="cs"/>
          <w:rtl/>
        </w:rPr>
        <w:t xml:space="preserve">תלמידת </w:t>
      </w:r>
      <w:r>
        <w:rPr>
          <w:rFonts w:hint="cs"/>
          <w:rtl/>
        </w:rPr>
        <w:t>חכמ</w:t>
      </w:r>
      <w:r w:rsidR="007120F4">
        <w:rPr>
          <w:rFonts w:hint="cs"/>
          <w:rtl/>
        </w:rPr>
        <w:t>ים</w:t>
      </w:r>
      <w:r>
        <w:rPr>
          <w:rFonts w:hint="cs"/>
          <w:rtl/>
        </w:rPr>
        <w:t xml:space="preserve"> היא המטרונה שלנו!</w:t>
      </w:r>
    </w:p>
  </w:footnote>
  <w:footnote w:id="8">
    <w:p w:rsidR="00E85D65" w:rsidRDefault="00E85D65" w:rsidP="00E85D65">
      <w:pPr>
        <w:pStyle w:val="a3"/>
        <w:rPr>
          <w:rFonts w:hint="cs"/>
        </w:rPr>
      </w:pPr>
      <w:r>
        <w:rPr>
          <w:rStyle w:val="a5"/>
        </w:rPr>
        <w:footnoteRef/>
      </w:r>
      <w:r>
        <w:rPr>
          <w:rtl/>
        </w:rPr>
        <w:t xml:space="preserve"> </w:t>
      </w:r>
      <w:r>
        <w:rPr>
          <w:rFonts w:hint="cs"/>
          <w:rtl/>
        </w:rPr>
        <w:t xml:space="preserve">כפי שחוו על בשרם הורי וקרובי נעדרים שמרגישים באיזה חוש שישי אם הבן \ האב \ האח חי או שמא כבר איננו בין החיים. ואין מתנחמים על החיים. ובאשר ליעקב, מה היה "החוש השישי" שלו? מדרש </w:t>
      </w:r>
      <w:r>
        <w:rPr>
          <w:rtl/>
        </w:rPr>
        <w:t>בראשית רבתי פרשת ויגש עמוד 221</w:t>
      </w:r>
      <w:r>
        <w:rPr>
          <w:rFonts w:hint="cs"/>
          <w:rtl/>
        </w:rPr>
        <w:t xml:space="preserve"> אומר בפשטות: "</w:t>
      </w:r>
      <w:r>
        <w:rPr>
          <w:rtl/>
        </w:rPr>
        <w:t>שבלבו היה חושב שהוא חי</w:t>
      </w:r>
      <w:r>
        <w:rPr>
          <w:rFonts w:hint="cs"/>
          <w:rtl/>
        </w:rPr>
        <w:t xml:space="preserve">". </w:t>
      </w:r>
      <w:r>
        <w:rPr>
          <w:rtl/>
        </w:rPr>
        <w:t>מדרש אגדה (בובר) בראשית פרק לז</w:t>
      </w:r>
      <w:r>
        <w:rPr>
          <w:rFonts w:hint="cs"/>
          <w:rtl/>
        </w:rPr>
        <w:t xml:space="preserve"> מוסיף שהקב"ה נתן לו סימן "</w:t>
      </w:r>
      <w:r>
        <w:rPr>
          <w:rtl/>
        </w:rPr>
        <w:t>שלא ימות אחד מבניך בימיך</w:t>
      </w:r>
      <w:r>
        <w:rPr>
          <w:rFonts w:hint="cs"/>
          <w:rtl/>
        </w:rPr>
        <w:t xml:space="preserve">". אך הגדיל מכולם לעשות מדרש </w:t>
      </w:r>
      <w:r>
        <w:rPr>
          <w:rtl/>
        </w:rPr>
        <w:t>מסכת סופרים הוספה א פרק א</w:t>
      </w:r>
      <w:r>
        <w:rPr>
          <w:rFonts w:hint="cs"/>
          <w:rtl/>
        </w:rPr>
        <w:t xml:space="preserve"> </w:t>
      </w:r>
      <w:r>
        <w:rPr>
          <w:rtl/>
        </w:rPr>
        <w:t>הלכה ג</w:t>
      </w:r>
      <w:r>
        <w:rPr>
          <w:rFonts w:hint="cs"/>
          <w:rtl/>
        </w:rPr>
        <w:t>: "</w:t>
      </w:r>
      <w:r>
        <w:rPr>
          <w:rtl/>
        </w:rPr>
        <w:t>תני, מה עשה יעקב אבינו כשהביאו בניו את הכתונת בדם</w:t>
      </w:r>
      <w:r>
        <w:rPr>
          <w:rFonts w:hint="cs"/>
          <w:rtl/>
        </w:rPr>
        <w:t>?</w:t>
      </w:r>
      <w:r>
        <w:rPr>
          <w:rtl/>
        </w:rPr>
        <w:t xml:space="preserve"> לא האמין להן כל עיקר</w:t>
      </w:r>
      <w:r>
        <w:rPr>
          <w:rFonts w:hint="cs"/>
          <w:rtl/>
        </w:rPr>
        <w:t xml:space="preserve"> ... </w:t>
      </w:r>
      <w:r>
        <w:rPr>
          <w:rtl/>
        </w:rPr>
        <w:t>דכתיב וימאן להתנחם</w:t>
      </w:r>
      <w:r>
        <w:rPr>
          <w:rFonts w:hint="cs"/>
          <w:rtl/>
        </w:rPr>
        <w:t xml:space="preserve"> ... </w:t>
      </w:r>
      <w:r>
        <w:rPr>
          <w:rtl/>
        </w:rPr>
        <w:t>ומה עשה</w:t>
      </w:r>
      <w:r>
        <w:rPr>
          <w:rFonts w:hint="cs"/>
          <w:rtl/>
        </w:rPr>
        <w:t>?</w:t>
      </w:r>
      <w:r>
        <w:rPr>
          <w:rtl/>
        </w:rPr>
        <w:t xml:space="preserve"> הלך בהרים וחצב שנים עשר אבנים והעמידן שורה</w:t>
      </w:r>
      <w:r>
        <w:rPr>
          <w:rFonts w:hint="cs"/>
          <w:rtl/>
        </w:rPr>
        <w:t>.</w:t>
      </w:r>
      <w:r>
        <w:rPr>
          <w:rtl/>
        </w:rPr>
        <w:t xml:space="preserve"> וכתב על כל אחת ואחת שם שבטו ושם מזלו ושם יְרֵחוֹ</w:t>
      </w:r>
      <w:r>
        <w:rPr>
          <w:rFonts w:hint="cs"/>
          <w:rtl/>
        </w:rPr>
        <w:t>.</w:t>
      </w:r>
      <w:r>
        <w:rPr>
          <w:rtl/>
        </w:rPr>
        <w:t xml:space="preserve"> היאך כתב</w:t>
      </w:r>
      <w:r>
        <w:rPr>
          <w:rFonts w:hint="cs"/>
          <w:rtl/>
        </w:rPr>
        <w:t>?</w:t>
      </w:r>
      <w:r>
        <w:rPr>
          <w:rtl/>
        </w:rPr>
        <w:t xml:space="preserve"> על אבן אחת, ראובן טלה ניסן, וכן לכל אבן ואבן</w:t>
      </w:r>
      <w:r>
        <w:rPr>
          <w:rFonts w:hint="cs"/>
          <w:rtl/>
        </w:rPr>
        <w:t>.</w:t>
      </w:r>
      <w:r>
        <w:rPr>
          <w:rtl/>
        </w:rPr>
        <w:t xml:space="preserve"> התחיל מראובן ואמר לה</w:t>
      </w:r>
      <w:r>
        <w:rPr>
          <w:rFonts w:hint="cs"/>
          <w:rtl/>
        </w:rPr>
        <w:t xml:space="preserve">ן: </w:t>
      </w:r>
      <w:r>
        <w:rPr>
          <w:rtl/>
        </w:rPr>
        <w:t>גוזרני עליכם שתעמדו</w:t>
      </w:r>
      <w:r>
        <w:rPr>
          <w:rFonts w:hint="cs"/>
          <w:rtl/>
        </w:rPr>
        <w:t>.</w:t>
      </w:r>
      <w:r>
        <w:rPr>
          <w:rtl/>
        </w:rPr>
        <w:t xml:space="preserve"> לראובן, ולא עמדו</w:t>
      </w:r>
      <w:r>
        <w:rPr>
          <w:rFonts w:hint="cs"/>
          <w:rtl/>
        </w:rPr>
        <w:t>.</w:t>
      </w:r>
      <w:r>
        <w:rPr>
          <w:rtl/>
        </w:rPr>
        <w:t xml:space="preserve"> לשמעון, ולא עמדו</w:t>
      </w:r>
      <w:r>
        <w:rPr>
          <w:rFonts w:hint="cs"/>
          <w:rtl/>
        </w:rPr>
        <w:t>.</w:t>
      </w:r>
      <w:r>
        <w:rPr>
          <w:rtl/>
        </w:rPr>
        <w:t xml:space="preserve"> וכן לכל שבט ושבט, ולא עמדו האבנים</w:t>
      </w:r>
      <w:r>
        <w:rPr>
          <w:rFonts w:hint="cs"/>
          <w:rtl/>
        </w:rPr>
        <w:t>.</w:t>
      </w:r>
      <w:r>
        <w:rPr>
          <w:rtl/>
        </w:rPr>
        <w:t xml:space="preserve"> וכיון שהזכיר להם שם יוסף, מיד עמדו וכרעו לפני אבן יוסף. ועדיין לא ברור לו הדבר שהוא חי, ועוד הלך ובחן באלומות כדעת הראשון, וכתב עליהן שמות השבטים והמזלות והחדשים ואמר להן</w:t>
      </w:r>
      <w:r>
        <w:rPr>
          <w:rFonts w:hint="cs"/>
          <w:rtl/>
        </w:rPr>
        <w:t>:</w:t>
      </w:r>
      <w:r>
        <w:rPr>
          <w:rtl/>
        </w:rPr>
        <w:t xml:space="preserve"> גוזרני עליכם שתשתחוו ללוי שהוא לבוש אורים ותומים, לא עמדו</w:t>
      </w:r>
      <w:r>
        <w:rPr>
          <w:rFonts w:hint="cs"/>
          <w:rtl/>
        </w:rPr>
        <w:t>.</w:t>
      </w:r>
      <w:r>
        <w:rPr>
          <w:rtl/>
        </w:rPr>
        <w:t xml:space="preserve"> ליהודה שהוא מלך, ולא עמדו</w:t>
      </w:r>
      <w:r>
        <w:rPr>
          <w:rFonts w:hint="cs"/>
          <w:rtl/>
        </w:rPr>
        <w:t>.</w:t>
      </w:r>
      <w:r>
        <w:rPr>
          <w:rtl/>
        </w:rPr>
        <w:t xml:space="preserve"> וכשהזכיר להן יוסף, עמדו וכרעו כולם ליוסף. ועדיין לא נתברר שהוא חי, אלא מן המשמרות, אלישיב הכהן, על שם להשיבו אל אביו, אלקנה, שקנהו פוטיפר, ויוסף הורד מצרימה ויקנהו פוטיפר</w:t>
      </w:r>
      <w:r>
        <w:rPr>
          <w:rFonts w:hint="cs"/>
          <w:rtl/>
        </w:rPr>
        <w:t>"</w:t>
      </w:r>
      <w:r>
        <w:rPr>
          <w:rtl/>
        </w:rPr>
        <w:t>.</w:t>
      </w:r>
      <w:r>
        <w:rPr>
          <w:rFonts w:hint="cs"/>
          <w:rtl/>
        </w:rPr>
        <w:t xml:space="preserve"> ונראה שהלכו הסימנים אחר הלב.</w:t>
      </w:r>
    </w:p>
  </w:footnote>
  <w:footnote w:id="9">
    <w:p w:rsidR="00F702F5" w:rsidRDefault="00F702F5" w:rsidP="00002FB4">
      <w:pPr>
        <w:pStyle w:val="a3"/>
        <w:rPr>
          <w:rFonts w:hint="cs"/>
          <w:rtl/>
        </w:rPr>
      </w:pPr>
      <w:r>
        <w:rPr>
          <w:rStyle w:val="a5"/>
        </w:rPr>
        <w:footnoteRef/>
      </w:r>
      <w:r>
        <w:rPr>
          <w:rtl/>
        </w:rPr>
        <w:t xml:space="preserve"> </w:t>
      </w:r>
      <w:r>
        <w:rPr>
          <w:rFonts w:hint="cs"/>
          <w:rtl/>
        </w:rPr>
        <w:t xml:space="preserve">שפרשת "וירד יהודה מאת אחיו", פרק לח המפסיק בסיפור מכירת יוסף, היא עונש ליהודה. </w:t>
      </w:r>
      <w:r w:rsidR="000D5110">
        <w:rPr>
          <w:rFonts w:hint="cs"/>
          <w:rtl/>
        </w:rPr>
        <w:t xml:space="preserve">ראה דברינו </w:t>
      </w:r>
      <w:hyperlink r:id="rId5" w:history="1">
        <w:r w:rsidR="000D5110" w:rsidRPr="007B060B">
          <w:rPr>
            <w:rStyle w:val="Hyperlink"/>
            <w:rFonts w:hint="cs"/>
            <w:rtl/>
          </w:rPr>
          <w:t xml:space="preserve">מעשה יהודה ותמר </w:t>
        </w:r>
        <w:r w:rsidR="007B060B" w:rsidRPr="007B060B">
          <w:rPr>
            <w:rStyle w:val="Hyperlink"/>
            <w:rFonts w:hint="cs"/>
            <w:rtl/>
          </w:rPr>
          <w:t>נקרא ומיתרגם</w:t>
        </w:r>
      </w:hyperlink>
      <w:r w:rsidR="007B060B">
        <w:rPr>
          <w:rFonts w:hint="cs"/>
          <w:rtl/>
        </w:rPr>
        <w:t xml:space="preserve"> בפרשת וישב. </w:t>
      </w:r>
      <w:r>
        <w:rPr>
          <w:rFonts w:hint="cs"/>
          <w:rtl/>
        </w:rPr>
        <w:t xml:space="preserve">ובאשר לראובן, הוא דווקא יוצא נקי מהסיפור, עפ"י המדרש, משום שהציל את יוסף מהריגה ולא הצליח להשלים את המשימה משום שהלך לשמש את אביו. וזכה ראובן לביטוי המביע </w:t>
      </w:r>
      <w:r w:rsidR="00002FB4">
        <w:rPr>
          <w:rFonts w:hint="cs"/>
          <w:rtl/>
        </w:rPr>
        <w:t xml:space="preserve">לקיחת </w:t>
      </w:r>
      <w:r>
        <w:rPr>
          <w:rFonts w:hint="cs"/>
          <w:rtl/>
        </w:rPr>
        <w:t>אחריות: "</w:t>
      </w:r>
      <w:r w:rsidRPr="00002FB4">
        <w:rPr>
          <w:rFonts w:hint="cs"/>
          <w:rtl/>
        </w:rPr>
        <w:t>אין הסרחון תלוי אלא בי</w:t>
      </w:r>
      <w:r>
        <w:rPr>
          <w:rFonts w:hint="cs"/>
          <w:rtl/>
        </w:rPr>
        <w:t>"</w:t>
      </w:r>
      <w:r w:rsidR="00002FB4">
        <w:rPr>
          <w:rFonts w:hint="cs"/>
          <w:rtl/>
        </w:rPr>
        <w:t xml:space="preserve"> ו"אתה פתחת בהצלת נפשות תחילה". ראה בראשית רבה פד טו.</w:t>
      </w:r>
    </w:p>
  </w:footnote>
  <w:footnote w:id="10">
    <w:p w:rsidR="00E169B6" w:rsidRDefault="00E169B6" w:rsidP="007120F4">
      <w:pPr>
        <w:pStyle w:val="a3"/>
        <w:rPr>
          <w:rFonts w:hint="cs"/>
        </w:rPr>
      </w:pPr>
      <w:r>
        <w:rPr>
          <w:rStyle w:val="a5"/>
        </w:rPr>
        <w:footnoteRef/>
      </w:r>
      <w:r>
        <w:rPr>
          <w:rtl/>
        </w:rPr>
        <w:t xml:space="preserve"> </w:t>
      </w:r>
      <w:r>
        <w:rPr>
          <w:rFonts w:hint="cs"/>
          <w:rtl/>
        </w:rPr>
        <w:t xml:space="preserve">ומשם ממשיך המדרש למשל </w:t>
      </w:r>
      <w:r w:rsidR="00DC20C6">
        <w:rPr>
          <w:rFonts w:hint="cs"/>
          <w:rtl/>
        </w:rPr>
        <w:t>הבא: "שתיתם את היין, החזירו את הקנקן למקומה".</w:t>
      </w:r>
      <w:r>
        <w:rPr>
          <w:rFonts w:hint="cs"/>
          <w:rtl/>
        </w:rPr>
        <w:t xml:space="preserve"> </w:t>
      </w:r>
      <w:r w:rsidR="00DC20C6">
        <w:rPr>
          <w:rFonts w:hint="cs"/>
          <w:rtl/>
        </w:rPr>
        <w:t xml:space="preserve">יש </w:t>
      </w:r>
      <w:r>
        <w:rPr>
          <w:rFonts w:hint="cs"/>
          <w:rtl/>
        </w:rPr>
        <w:t>לקרוא מדרש זה ו</w:t>
      </w:r>
      <w:r w:rsidR="00F702F5">
        <w:rPr>
          <w:rFonts w:hint="cs"/>
          <w:rtl/>
        </w:rPr>
        <w:t xml:space="preserve">הבא </w:t>
      </w:r>
      <w:r>
        <w:rPr>
          <w:rFonts w:hint="cs"/>
          <w:rtl/>
        </w:rPr>
        <w:t xml:space="preserve">אחריו </w:t>
      </w:r>
      <w:r w:rsidR="00F702F5">
        <w:rPr>
          <w:rFonts w:hint="cs"/>
          <w:rtl/>
        </w:rPr>
        <w:t xml:space="preserve">(בפתגם הסמוך) </w:t>
      </w:r>
      <w:r>
        <w:rPr>
          <w:rFonts w:hint="cs"/>
          <w:rtl/>
        </w:rPr>
        <w:t>ברצף ישיר</w:t>
      </w:r>
      <w:r w:rsidR="007120F4">
        <w:rPr>
          <w:rFonts w:hint="cs"/>
          <w:rtl/>
        </w:rPr>
        <w:t>,</w:t>
      </w:r>
      <w:r w:rsidR="00DC20C6">
        <w:rPr>
          <w:rFonts w:hint="cs"/>
          <w:rtl/>
        </w:rPr>
        <w:t xml:space="preserve"> </w:t>
      </w:r>
      <w:r>
        <w:rPr>
          <w:rFonts w:hint="cs"/>
          <w:rtl/>
        </w:rPr>
        <w:t>ואנו הפרדנו לצ</w:t>
      </w:r>
      <w:r w:rsidR="007120F4">
        <w:rPr>
          <w:rFonts w:hint="cs"/>
          <w:rtl/>
        </w:rPr>
        <w:t>ו</w:t>
      </w:r>
      <w:r>
        <w:rPr>
          <w:rFonts w:hint="cs"/>
          <w:rtl/>
        </w:rPr>
        <w:t>ר</w:t>
      </w:r>
      <w:r w:rsidR="007120F4">
        <w:rPr>
          <w:rFonts w:hint="cs"/>
          <w:rtl/>
        </w:rPr>
        <w:t>ך</w:t>
      </w:r>
      <w:r>
        <w:rPr>
          <w:rFonts w:hint="cs"/>
          <w:rtl/>
        </w:rPr>
        <w:t xml:space="preserve"> הבלטת מכמני הלשון בהם אנו עוסקים. לעצם הביטוי, מקובל</w:t>
      </w:r>
      <w:r w:rsidR="007120F4">
        <w:rPr>
          <w:rFonts w:hint="cs"/>
          <w:rtl/>
        </w:rPr>
        <w:t xml:space="preserve">ת בימינו </w:t>
      </w:r>
      <w:r>
        <w:rPr>
          <w:rFonts w:hint="cs"/>
          <w:rtl/>
        </w:rPr>
        <w:t xml:space="preserve">שגרת </w:t>
      </w:r>
      <w:r w:rsidR="007120F4">
        <w:rPr>
          <w:rFonts w:hint="cs"/>
          <w:rtl/>
        </w:rPr>
        <w:t>ה</w:t>
      </w:r>
      <w:r>
        <w:rPr>
          <w:rFonts w:hint="cs"/>
          <w:rtl/>
        </w:rPr>
        <w:t>לשון: המתחיל במצווה אומרים לו גמור</w:t>
      </w:r>
      <w:r w:rsidR="007120F4">
        <w:rPr>
          <w:rFonts w:hint="cs"/>
          <w:rtl/>
        </w:rPr>
        <w:t xml:space="preserve">, אך </w:t>
      </w:r>
      <w:r>
        <w:rPr>
          <w:rFonts w:hint="cs"/>
          <w:rtl/>
        </w:rPr>
        <w:t>לשון חכמים במקור ה</w:t>
      </w:r>
      <w:r w:rsidR="007120F4">
        <w:rPr>
          <w:rFonts w:hint="cs"/>
          <w:rtl/>
        </w:rPr>
        <w:t>י</w:t>
      </w:r>
      <w:r>
        <w:rPr>
          <w:rFonts w:hint="cs"/>
          <w:rtl/>
        </w:rPr>
        <w:t>א: "</w:t>
      </w:r>
      <w:r>
        <w:rPr>
          <w:rtl/>
        </w:rPr>
        <w:t>מי שהתחיל במצוה הוא גומר</w:t>
      </w:r>
      <w:r>
        <w:rPr>
          <w:rFonts w:hint="eastAsia"/>
          <w:rtl/>
        </w:rPr>
        <w:t>ָ</w:t>
      </w:r>
      <w:r>
        <w:rPr>
          <w:rFonts w:hint="cs"/>
          <w:rtl/>
        </w:rPr>
        <w:t>ה</w:t>
      </w:r>
      <w:r>
        <w:rPr>
          <w:rFonts w:hint="eastAsia"/>
          <w:rtl/>
        </w:rPr>
        <w:t>ּ</w:t>
      </w:r>
      <w:r>
        <w:rPr>
          <w:rFonts w:hint="cs"/>
          <w:rtl/>
        </w:rPr>
        <w:t>", או "</w:t>
      </w:r>
      <w:r w:rsidR="00C54103">
        <w:rPr>
          <w:rFonts w:hint="cs"/>
          <w:rtl/>
        </w:rPr>
        <w:t>מי שהתחיל במצווה הוא יגמור מצוותו". והקרוב ביותר ללשוננו היום הוא: "</w:t>
      </w:r>
      <w:r w:rsidR="00C54103" w:rsidRPr="00B65249">
        <w:rPr>
          <w:rFonts w:hint="eastAsia"/>
          <w:rtl/>
          <w:lang w:eastAsia="en-US"/>
        </w:rPr>
        <w:t>אם</w:t>
      </w:r>
      <w:r w:rsidR="00C54103" w:rsidRPr="00B65249">
        <w:rPr>
          <w:rtl/>
          <w:lang w:eastAsia="en-US"/>
        </w:rPr>
        <w:t xml:space="preserve"> </w:t>
      </w:r>
      <w:r w:rsidR="00C54103" w:rsidRPr="00B65249">
        <w:rPr>
          <w:rFonts w:hint="eastAsia"/>
          <w:rtl/>
          <w:lang w:eastAsia="en-US"/>
        </w:rPr>
        <w:t>התחלת</w:t>
      </w:r>
      <w:r w:rsidR="00C54103" w:rsidRPr="00B65249">
        <w:rPr>
          <w:rtl/>
          <w:lang w:eastAsia="en-US"/>
        </w:rPr>
        <w:t xml:space="preserve"> </w:t>
      </w:r>
      <w:r w:rsidR="00C54103" w:rsidRPr="00B65249">
        <w:rPr>
          <w:rFonts w:hint="eastAsia"/>
          <w:rtl/>
          <w:lang w:eastAsia="en-US"/>
        </w:rPr>
        <w:t>במצוה</w:t>
      </w:r>
      <w:r w:rsidR="00C54103" w:rsidRPr="00B65249">
        <w:rPr>
          <w:rtl/>
          <w:lang w:eastAsia="en-US"/>
        </w:rPr>
        <w:t xml:space="preserve"> </w:t>
      </w:r>
      <w:r w:rsidR="00C54103" w:rsidRPr="00B65249">
        <w:rPr>
          <w:rFonts w:hint="eastAsia"/>
          <w:rtl/>
          <w:lang w:eastAsia="en-US"/>
        </w:rPr>
        <w:t>ה</w:t>
      </w:r>
      <w:r w:rsidR="00C54103">
        <w:rPr>
          <w:rFonts w:hint="eastAsia"/>
          <w:rtl/>
          <w:lang w:eastAsia="en-US"/>
        </w:rPr>
        <w:t>ֶ</w:t>
      </w:r>
      <w:r w:rsidR="00C54103" w:rsidRPr="00B65249">
        <w:rPr>
          <w:rFonts w:hint="eastAsia"/>
          <w:rtl/>
          <w:lang w:eastAsia="en-US"/>
        </w:rPr>
        <w:t>ו</w:t>
      </w:r>
      <w:r w:rsidR="00C54103">
        <w:rPr>
          <w:rFonts w:hint="eastAsia"/>
          <w:rtl/>
          <w:lang w:eastAsia="en-US"/>
        </w:rPr>
        <w:t>ֵ</w:t>
      </w:r>
      <w:r w:rsidR="00C54103" w:rsidRPr="00B65249">
        <w:rPr>
          <w:rFonts w:hint="eastAsia"/>
          <w:rtl/>
          <w:lang w:eastAsia="en-US"/>
        </w:rPr>
        <w:t>י</w:t>
      </w:r>
      <w:r w:rsidR="00C54103" w:rsidRPr="00B65249">
        <w:rPr>
          <w:rtl/>
          <w:lang w:eastAsia="en-US"/>
        </w:rPr>
        <w:t xml:space="preserve"> </w:t>
      </w:r>
      <w:r w:rsidR="00C54103" w:rsidRPr="00B65249">
        <w:rPr>
          <w:rFonts w:hint="eastAsia"/>
          <w:rtl/>
          <w:lang w:eastAsia="en-US"/>
        </w:rPr>
        <w:t>גומר</w:t>
      </w:r>
      <w:r w:rsidR="00C54103" w:rsidRPr="00B65249">
        <w:rPr>
          <w:rtl/>
          <w:lang w:eastAsia="en-US"/>
        </w:rPr>
        <w:t xml:space="preserve"> </w:t>
      </w:r>
      <w:r w:rsidR="00C54103" w:rsidRPr="00B65249">
        <w:rPr>
          <w:rFonts w:hint="eastAsia"/>
          <w:rtl/>
          <w:lang w:eastAsia="en-US"/>
        </w:rPr>
        <w:t>את</w:t>
      </w:r>
      <w:r w:rsidR="00C54103" w:rsidRPr="00B65249">
        <w:rPr>
          <w:rtl/>
          <w:lang w:eastAsia="en-US"/>
        </w:rPr>
        <w:t xml:space="preserve"> </w:t>
      </w:r>
      <w:r w:rsidR="00C54103" w:rsidRPr="00B65249">
        <w:rPr>
          <w:rFonts w:hint="eastAsia"/>
          <w:rtl/>
          <w:lang w:eastAsia="en-US"/>
        </w:rPr>
        <w:t>כ</w:t>
      </w:r>
      <w:r w:rsidR="00C54103">
        <w:rPr>
          <w:rFonts w:hint="cs"/>
          <w:rtl/>
          <w:lang w:eastAsia="en-US"/>
        </w:rPr>
        <w:t>ו</w:t>
      </w:r>
      <w:r w:rsidR="00C54103" w:rsidRPr="00B65249">
        <w:rPr>
          <w:rFonts w:hint="eastAsia"/>
          <w:rtl/>
          <w:lang w:eastAsia="en-US"/>
        </w:rPr>
        <w:t>לה</w:t>
      </w:r>
      <w:r w:rsidR="00C54103">
        <w:rPr>
          <w:rFonts w:hint="cs"/>
          <w:rtl/>
        </w:rPr>
        <w:t xml:space="preserve">". </w:t>
      </w:r>
      <w:r w:rsidR="000D5110">
        <w:rPr>
          <w:rFonts w:hint="cs"/>
          <w:rtl/>
        </w:rPr>
        <w:t xml:space="preserve">ראה דברינו </w:t>
      </w:r>
      <w:hyperlink r:id="rId6" w:history="1">
        <w:r w:rsidR="000D5110" w:rsidRPr="000D5110">
          <w:rPr>
            <w:rStyle w:val="Hyperlink"/>
            <w:rFonts w:hint="cs"/>
            <w:rtl/>
          </w:rPr>
          <w:t>המתחיל במצווה הוא גומרה</w:t>
        </w:r>
      </w:hyperlink>
      <w:r w:rsidR="000D5110">
        <w:rPr>
          <w:rFonts w:hint="cs"/>
          <w:rtl/>
        </w:rPr>
        <w:t xml:space="preserve"> </w:t>
      </w:r>
      <w:r w:rsidR="00C54103">
        <w:rPr>
          <w:rFonts w:hint="cs"/>
          <w:rtl/>
        </w:rPr>
        <w:t xml:space="preserve">בפרשת מטות (במלחמת מדין שפנחס נקרא להשלים). </w:t>
      </w:r>
      <w:r w:rsidR="007120F4">
        <w:rPr>
          <w:rFonts w:hint="cs"/>
          <w:rtl/>
        </w:rPr>
        <w:t xml:space="preserve">אך </w:t>
      </w:r>
      <w:r w:rsidR="00C54103">
        <w:rPr>
          <w:rFonts w:hint="cs"/>
          <w:rtl/>
        </w:rPr>
        <w:t xml:space="preserve">נראה שהמקור </w:t>
      </w:r>
      <w:r w:rsidR="00DC20C6">
        <w:rPr>
          <w:rFonts w:hint="cs"/>
          <w:rtl/>
        </w:rPr>
        <w:t xml:space="preserve">הוא </w:t>
      </w:r>
      <w:r w:rsidR="00C54103">
        <w:rPr>
          <w:rFonts w:hint="cs"/>
          <w:rtl/>
        </w:rPr>
        <w:t xml:space="preserve">בפרשתנו </w:t>
      </w:r>
      <w:r w:rsidR="00DC20C6">
        <w:rPr>
          <w:rFonts w:hint="cs"/>
          <w:rtl/>
        </w:rPr>
        <w:t xml:space="preserve">במעשה יהודה שהתחיל בהצלת יוסף ולא סיימה. </w:t>
      </w:r>
    </w:p>
  </w:footnote>
  <w:footnote w:id="11">
    <w:p w:rsidR="003B6349" w:rsidRDefault="003B6349" w:rsidP="00A20987">
      <w:pPr>
        <w:pStyle w:val="a3"/>
        <w:rPr>
          <w:rFonts w:hint="cs"/>
          <w:rtl/>
        </w:rPr>
      </w:pPr>
      <w:r>
        <w:rPr>
          <w:rStyle w:val="a5"/>
        </w:rPr>
        <w:footnoteRef/>
      </w:r>
      <w:r>
        <w:rPr>
          <w:rtl/>
        </w:rPr>
        <w:t xml:space="preserve"> </w:t>
      </w:r>
      <w:r>
        <w:rPr>
          <w:rFonts w:hint="cs"/>
          <w:rtl/>
        </w:rPr>
        <w:t>ב</w:t>
      </w:r>
      <w:r w:rsidR="0011518D">
        <w:rPr>
          <w:rFonts w:hint="cs"/>
          <w:rtl/>
        </w:rPr>
        <w:t xml:space="preserve">המשך המדרש שם </w:t>
      </w:r>
      <w:r>
        <w:rPr>
          <w:rFonts w:hint="cs"/>
          <w:rtl/>
        </w:rPr>
        <w:t>הלשון חריפה יותר. לא הקב"ה אומר את זה לבני ישראל, אלא יוסף לאחיו (אחרי שלכאורה התפייסו לגמרי אחרי מות יעקב): "</w:t>
      </w:r>
      <w:r w:rsidR="0011518D">
        <w:rPr>
          <w:rFonts w:hint="cs"/>
          <w:rtl/>
        </w:rPr>
        <w:t>מ</w:t>
      </w:r>
      <w:r>
        <w:rPr>
          <w:rtl/>
        </w:rPr>
        <w:t>מקום שגנבתוני לשם החזירוני</w:t>
      </w:r>
      <w:r>
        <w:rPr>
          <w:rFonts w:hint="cs"/>
          <w:rtl/>
        </w:rPr>
        <w:t>".</w:t>
      </w:r>
      <w:r>
        <w:rPr>
          <w:rtl/>
        </w:rPr>
        <w:t xml:space="preserve"> </w:t>
      </w:r>
      <w:r w:rsidR="0011518D">
        <w:rPr>
          <w:rFonts w:hint="cs"/>
          <w:rtl/>
        </w:rPr>
        <w:t xml:space="preserve">(ולכן הוא גם צריך להשביע אותם). </w:t>
      </w:r>
      <w:r>
        <w:rPr>
          <w:rFonts w:hint="cs"/>
          <w:rtl/>
        </w:rPr>
        <w:t xml:space="preserve">מדרש זה הוא כאמור המשך למדרש הקודם וממנו יוצא שגם משה לא השלים את המצווה שהתחיל בה. ראה </w:t>
      </w:r>
      <w:r>
        <w:rPr>
          <w:rtl/>
        </w:rPr>
        <w:t xml:space="preserve">שמות רבה כ </w:t>
      </w:r>
      <w:r>
        <w:rPr>
          <w:rFonts w:hint="cs"/>
          <w:rtl/>
        </w:rPr>
        <w:t>יט, תנחומא בשלח ב וכן פסיקתא דרב כהנא פיסקא יא</w:t>
      </w:r>
      <w:r w:rsidR="0011518D">
        <w:rPr>
          <w:rFonts w:hint="cs"/>
          <w:rtl/>
        </w:rPr>
        <w:t>, שכולם עוסקים</w:t>
      </w:r>
      <w:r>
        <w:rPr>
          <w:rFonts w:hint="cs"/>
          <w:rtl/>
        </w:rPr>
        <w:t xml:space="preserve"> בסיפור שהמצרים ניסו להעלים את ארונו של יוסף והכניסוהו בארון ברזל ושקעוהו בנילוס ובשעה שכל בני ישראל היו עסוקים בשאילת כסף וזהב מהמצרים, משה הלך לבדו לנילוס, השתיק את כל הכשפים שהמצרים שמו סביב הארון וקרא: "</w:t>
      </w:r>
      <w:r>
        <w:rPr>
          <w:rtl/>
        </w:rPr>
        <w:t>יוסף יוסף</w:t>
      </w:r>
      <w:r>
        <w:rPr>
          <w:rFonts w:hint="cs"/>
          <w:rtl/>
        </w:rPr>
        <w:t>,</w:t>
      </w:r>
      <w:r>
        <w:rPr>
          <w:rtl/>
        </w:rPr>
        <w:t xml:space="preserve"> הגיעה השעה שהקב"ה גואל את בניו, השכינה מעוכבת לך, ישר</w:t>
      </w:r>
      <w:r>
        <w:rPr>
          <w:rFonts w:hint="cs"/>
          <w:rtl/>
        </w:rPr>
        <w:t>אל</w:t>
      </w:r>
      <w:r>
        <w:rPr>
          <w:rtl/>
        </w:rPr>
        <w:t xml:space="preserve"> מעוכבי</w:t>
      </w:r>
      <w:r>
        <w:rPr>
          <w:rFonts w:hint="cs"/>
          <w:rtl/>
        </w:rPr>
        <w:t>ם</w:t>
      </w:r>
      <w:r>
        <w:rPr>
          <w:rtl/>
        </w:rPr>
        <w:t xml:space="preserve"> לך, ענני כבוד מעוכבין לך</w:t>
      </w:r>
      <w:r>
        <w:rPr>
          <w:rFonts w:hint="cs"/>
          <w:rtl/>
        </w:rPr>
        <w:t>.</w:t>
      </w:r>
      <w:r>
        <w:rPr>
          <w:rtl/>
        </w:rPr>
        <w:t xml:space="preserve"> אם מודיע את עצמך הרי יפה, ואם לאו הרי אנו נקיים משבועה שהשבעתה את אבותינו. מיד צף ועלה ארונו של יוסף</w:t>
      </w:r>
      <w:r>
        <w:rPr>
          <w:rFonts w:hint="cs"/>
          <w:rtl/>
        </w:rPr>
        <w:t xml:space="preserve">". טרח משה בנשיאת ארונו של יוסף ארבעים שנה במדבר. והגם שלא השלים את המצווה, יש למשה צידוק של "כח עליון" </w:t>
      </w:r>
      <w:r w:rsidRPr="001B200A">
        <w:rPr>
          <w:sz w:val="18"/>
          <w:szCs w:val="18"/>
        </w:rPr>
        <w:t>(Force Majeure)</w:t>
      </w:r>
      <w:r w:rsidRPr="001B200A">
        <w:rPr>
          <w:rFonts w:hint="cs"/>
          <w:sz w:val="18"/>
          <w:szCs w:val="18"/>
          <w:rtl/>
        </w:rPr>
        <w:t xml:space="preserve"> </w:t>
      </w:r>
      <w:r>
        <w:rPr>
          <w:rFonts w:hint="cs"/>
          <w:rtl/>
        </w:rPr>
        <w:t>שמנע ממנו לעשות כן וגמל לו הקב"ה על כך: "</w:t>
      </w:r>
      <w:r>
        <w:rPr>
          <w:rtl/>
        </w:rPr>
        <w:t>אמר הקב"ה למשה</w:t>
      </w:r>
      <w:r>
        <w:rPr>
          <w:rFonts w:hint="cs"/>
          <w:rtl/>
        </w:rPr>
        <w:t>:</w:t>
      </w:r>
      <w:r>
        <w:rPr>
          <w:rtl/>
        </w:rPr>
        <w:t xml:space="preserve"> עליך נתקיים חכם לב יקח מצות, יוסף היה חייב לאביו לקברו מפני שהוא בנו ואתה לא בנו ולא בן בנו ולא היית חייב לעסוק בו וקברת אותו</w:t>
      </w:r>
      <w:r>
        <w:rPr>
          <w:rFonts w:hint="cs"/>
          <w:rtl/>
        </w:rPr>
        <w:t>.</w:t>
      </w:r>
      <w:r>
        <w:rPr>
          <w:rtl/>
        </w:rPr>
        <w:t xml:space="preserve"> וכן אני שאיני חייב לבריה אני מטפל בך ואקברך שנאמר (דברים לד) ויקבור אותו בגי</w:t>
      </w:r>
      <w:r>
        <w:rPr>
          <w:rFonts w:hint="cs"/>
          <w:rtl/>
        </w:rPr>
        <w:t>א".</w:t>
      </w:r>
    </w:p>
  </w:footnote>
  <w:footnote w:id="12">
    <w:p w:rsidR="00B316A1" w:rsidRDefault="00B316A1" w:rsidP="00210A5A">
      <w:pPr>
        <w:pStyle w:val="a3"/>
        <w:rPr>
          <w:rFonts w:hint="cs"/>
        </w:rPr>
      </w:pPr>
      <w:r>
        <w:rPr>
          <w:rStyle w:val="a5"/>
        </w:rPr>
        <w:footnoteRef/>
      </w:r>
      <w:r>
        <w:rPr>
          <w:rtl/>
        </w:rPr>
        <w:t xml:space="preserve"> </w:t>
      </w:r>
      <w:r>
        <w:rPr>
          <w:rFonts w:hint="cs"/>
          <w:rtl/>
        </w:rPr>
        <w:t>מה שנקרא מיצוי הדין או העונש עד תום, בדומה לריקון החבית (היין) עד תחתיתה בה מצויים השמרים (יין המשומר, ראה הפועל ש</w:t>
      </w:r>
      <w:r>
        <w:rPr>
          <w:rFonts w:hint="eastAsia"/>
          <w:rtl/>
        </w:rPr>
        <w:t>ִׁ</w:t>
      </w:r>
      <w:r>
        <w:rPr>
          <w:rFonts w:hint="cs"/>
          <w:rtl/>
        </w:rPr>
        <w:t>מ</w:t>
      </w:r>
      <w:r>
        <w:rPr>
          <w:rFonts w:hint="eastAsia"/>
          <w:rtl/>
        </w:rPr>
        <w:t>ֵ</w:t>
      </w:r>
      <w:r>
        <w:rPr>
          <w:rFonts w:hint="cs"/>
          <w:rtl/>
        </w:rPr>
        <w:t xml:space="preserve">ר במילונים שהוא סינן היין מהשמרים). </w:t>
      </w:r>
      <w:r w:rsidR="008C6089">
        <w:rPr>
          <w:rFonts w:hint="cs"/>
          <w:rtl/>
        </w:rPr>
        <w:t xml:space="preserve">שים לב לחילוף ה"א ואל"ף וניקוד המ"ם בשתי הדרשות של ר' יצחק ושל ר' לוי: האלהים מצא או מיצה את עוון עבדיך. </w:t>
      </w:r>
      <w:r>
        <w:rPr>
          <w:rFonts w:hint="cs"/>
          <w:rtl/>
        </w:rPr>
        <w:t xml:space="preserve">האחים מנסים למנוע את מיצוי </w:t>
      </w:r>
      <w:r w:rsidR="008C6089">
        <w:rPr>
          <w:rFonts w:hint="cs"/>
          <w:rtl/>
        </w:rPr>
        <w:t xml:space="preserve">(ומציאת) </w:t>
      </w:r>
      <w:r>
        <w:rPr>
          <w:rFonts w:hint="cs"/>
          <w:rtl/>
        </w:rPr>
        <w:t xml:space="preserve">הדין בכך שהם מתפזרים. שהרי עשו מה שעשו בחבורה וכינוס (ראה דברינו </w:t>
      </w:r>
      <w:hyperlink r:id="rId7" w:history="1">
        <w:r w:rsidRPr="008C6089">
          <w:rPr>
            <w:rStyle w:val="Hyperlink"/>
            <w:rFonts w:hint="cs"/>
            <w:rtl/>
          </w:rPr>
          <w:t>הקולר תלוי בצואר כולם</w:t>
        </w:r>
      </w:hyperlink>
      <w:r w:rsidR="008C6089">
        <w:rPr>
          <w:rFonts w:hint="cs"/>
          <w:rtl/>
        </w:rPr>
        <w:t xml:space="preserve"> בפרשת מקץ</w:t>
      </w:r>
      <w:r>
        <w:rPr>
          <w:rFonts w:hint="cs"/>
          <w:rtl/>
        </w:rPr>
        <w:t xml:space="preserve">) ואולי הפיזור ימנע את העונש המתבקש. ירידת יהודה מאת אחיו מתפרשת כאן לא </w:t>
      </w:r>
      <w:r w:rsidR="008C6089">
        <w:rPr>
          <w:rFonts w:hint="cs"/>
          <w:rtl/>
        </w:rPr>
        <w:t>כהידרדרו</w:t>
      </w:r>
      <w:r w:rsidR="008C6089">
        <w:rPr>
          <w:rFonts w:hint="eastAsia"/>
          <w:rtl/>
        </w:rPr>
        <w:t>ת</w:t>
      </w:r>
      <w:r>
        <w:rPr>
          <w:rFonts w:hint="cs"/>
          <w:rtl/>
        </w:rPr>
        <w:t xml:space="preserve"> אישית שלו (כמי שהתחיל במצווה ולא גמר, כמי שעתיד להיות מלך ולא יודע לקחת אחריות ומנהיגות), אלא כדוגמא לפיזור האחים ופירוק החבורה. כפי שעשה יהודה, עשו כל השאר, כל אחד הלך למקום אחר ואין התורה מספרת על כ</w:t>
      </w:r>
      <w:r w:rsidR="008C6089">
        <w:rPr>
          <w:rFonts w:hint="cs"/>
          <w:rtl/>
        </w:rPr>
        <w:t>ך</w:t>
      </w:r>
      <w:r>
        <w:rPr>
          <w:rFonts w:hint="cs"/>
          <w:rtl/>
        </w:rPr>
        <w:t>. אך דא עקא, שאת מיצוי הדין אי אפשר למנוע ובעל השטר כבר ימצא דרכים לגבות את חובו. האחים חוזרים ומתאחדים בעל כורחם לצורך הירידה למצרים לשבור אוכל בשנות הרעב</w:t>
      </w:r>
      <w:r w:rsidR="00210A5A">
        <w:rPr>
          <w:rFonts w:hint="cs"/>
          <w:rtl/>
        </w:rPr>
        <w:t>,</w:t>
      </w:r>
      <w:r>
        <w:rPr>
          <w:rFonts w:hint="cs"/>
          <w:rtl/>
        </w:rPr>
        <w:t xml:space="preserve"> והחבורה, כחבורה, כשמרים בחבית, </w:t>
      </w:r>
      <w:r w:rsidR="00A20987">
        <w:rPr>
          <w:rFonts w:hint="cs"/>
          <w:rtl/>
        </w:rPr>
        <w:t>חוזרת ומתכנסת ו</w:t>
      </w:r>
      <w:r w:rsidR="00210A5A">
        <w:rPr>
          <w:rFonts w:hint="cs"/>
          <w:rtl/>
        </w:rPr>
        <w:t xml:space="preserve">דינה </w:t>
      </w:r>
      <w:r>
        <w:rPr>
          <w:rFonts w:hint="cs"/>
          <w:rtl/>
        </w:rPr>
        <w:t>מתמצ</w:t>
      </w:r>
      <w:r w:rsidR="00210A5A">
        <w:rPr>
          <w:rFonts w:hint="cs"/>
          <w:rtl/>
        </w:rPr>
        <w:t>ה</w:t>
      </w:r>
      <w:r>
        <w:rPr>
          <w:rFonts w:hint="cs"/>
          <w:rtl/>
        </w:rPr>
        <w:t>. מכמני לשון אלה חוזרים גם ב</w:t>
      </w:r>
      <w:r w:rsidRPr="00152EB8">
        <w:rPr>
          <w:rtl/>
        </w:rPr>
        <w:t>בראשית רבה צב</w:t>
      </w:r>
      <w:r w:rsidRPr="00152EB8">
        <w:rPr>
          <w:rFonts w:hint="cs"/>
          <w:rtl/>
        </w:rPr>
        <w:t xml:space="preserve"> ח</w:t>
      </w:r>
      <w:r>
        <w:rPr>
          <w:rFonts w:hint="cs"/>
          <w:rtl/>
        </w:rPr>
        <w:t>, פרשת מקץ: "</w:t>
      </w:r>
      <w:r w:rsidRPr="003A40BB">
        <w:rPr>
          <w:rtl/>
        </w:rPr>
        <w:t>האלהים מצא את עון עבדיך, אמר רבי יצחק</w:t>
      </w:r>
      <w:r>
        <w:rPr>
          <w:rFonts w:hint="cs"/>
          <w:rtl/>
        </w:rPr>
        <w:t>:</w:t>
      </w:r>
      <w:r w:rsidRPr="003A40BB">
        <w:rPr>
          <w:rtl/>
        </w:rPr>
        <w:t xml:space="preserve"> מצא בעל חוב מקום לגבות שטרו, אמר רבי יצחק</w:t>
      </w:r>
      <w:r>
        <w:rPr>
          <w:rFonts w:hint="cs"/>
          <w:rtl/>
        </w:rPr>
        <w:t>:</w:t>
      </w:r>
      <w:r w:rsidRPr="003A40BB">
        <w:rPr>
          <w:rtl/>
        </w:rPr>
        <w:t xml:space="preserve"> כזה שהוא ממצה את החבית ומעמידה על שמריה</w:t>
      </w:r>
      <w:r>
        <w:rPr>
          <w:rFonts w:hint="cs"/>
          <w:rtl/>
        </w:rPr>
        <w:t>". האחים שישבו לאכול לחם לאחר שזרקו את יוסף לבור, מתייצבים כעת לפני מי "שמאכיל לחם לכל באי עולם"</w:t>
      </w:r>
      <w:r w:rsidR="00210A5A">
        <w:rPr>
          <w:rFonts w:hint="cs"/>
          <w:rtl/>
        </w:rPr>
        <w:t>,</w:t>
      </w:r>
      <w:r>
        <w:rPr>
          <w:rFonts w:hint="cs"/>
          <w:rtl/>
        </w:rPr>
        <w:t xml:space="preserve"> כפי שמתאר המדרש בפרשתנו (בראשית רבה פד טז) שהוא כפל משמעות הקב"ה או יוסף.</w:t>
      </w:r>
    </w:p>
  </w:footnote>
  <w:footnote w:id="13">
    <w:p w:rsidR="008C6089" w:rsidRDefault="008C6089" w:rsidP="00A20987">
      <w:pPr>
        <w:pStyle w:val="a3"/>
        <w:rPr>
          <w:rFonts w:hint="cs"/>
          <w:rtl/>
        </w:rPr>
      </w:pPr>
      <w:r>
        <w:rPr>
          <w:rStyle w:val="a5"/>
        </w:rPr>
        <w:footnoteRef/>
      </w:r>
      <w:r>
        <w:rPr>
          <w:rtl/>
        </w:rPr>
        <w:t xml:space="preserve"> </w:t>
      </w:r>
      <w:r>
        <w:rPr>
          <w:rFonts w:hint="cs"/>
          <w:rtl/>
        </w:rPr>
        <w:t>אחרי המדרש הקודם, לא יכולנו שלא להביא מדרש זה, הלקוח מהפרשה הבאה, הממצה עד תום את מיצוי הנפש ומיצוי הדין שעוברים יעקב בייסוריו בשל מכירת יוסף, ברגע הנורא שבנימין נלקח למסע שאין לדעת את תוצאותיו. מהמעט שבדקנו נראה שהביטוי מיצוי הדין, למצות את הדין, השגור בלשוננו היום, החל מתפילותינו ("אם תמצה עומק הדין") וכלה בשיח התקשורתי היום-יומי, מקורו בבראשית רבה</w:t>
      </w:r>
      <w:r w:rsidR="00210A5A">
        <w:rPr>
          <w:rFonts w:hint="cs"/>
          <w:rtl/>
        </w:rPr>
        <w:t>,</w:t>
      </w:r>
      <w:r>
        <w:rPr>
          <w:rFonts w:hint="cs"/>
          <w:rtl/>
        </w:rPr>
        <w:t xml:space="preserve"> ועכ"פ לא מצאנו רבים כמותו בספרות חז"ל: משנה, גמרא, תוספתא ומדרשים קדומים. והמאיר עינינו והממצה מקורות, תולדות והשתלשלות ביטוי זה </w:t>
      </w:r>
      <w:r>
        <w:rPr>
          <w:rtl/>
        </w:rPr>
        <w:t>–</w:t>
      </w:r>
      <w:r>
        <w:rPr>
          <w:rFonts w:hint="cs"/>
          <w:rtl/>
        </w:rPr>
        <w:t xml:space="preserve"> ימהר תשובתו ויחיש </w:t>
      </w:r>
      <w:r w:rsidR="00A20987">
        <w:rPr>
          <w:rFonts w:hint="cs"/>
          <w:rtl/>
        </w:rPr>
        <w:t xml:space="preserve">תשדורתו אלינו </w:t>
      </w:r>
      <w:r>
        <w:rPr>
          <w:rFonts w:hint="cs"/>
          <w:rtl/>
        </w:rPr>
        <w:t>ויבורך בכל מילי דמיטב.</w:t>
      </w:r>
    </w:p>
  </w:footnote>
  <w:footnote w:id="14">
    <w:p w:rsidR="008A3E77" w:rsidRDefault="008A3E77" w:rsidP="00210A5A">
      <w:pPr>
        <w:pStyle w:val="a3"/>
        <w:rPr>
          <w:rFonts w:hint="cs"/>
          <w:rtl/>
        </w:rPr>
      </w:pPr>
      <w:r>
        <w:rPr>
          <w:rStyle w:val="a5"/>
        </w:rPr>
        <w:footnoteRef/>
      </w:r>
      <w:r>
        <w:rPr>
          <w:rtl/>
        </w:rPr>
        <w:t xml:space="preserve"> </w:t>
      </w:r>
      <w:r>
        <w:rPr>
          <w:rFonts w:hint="cs"/>
          <w:rtl/>
        </w:rPr>
        <w:t>עניין התגר, שפירושו שהיה סוחר ולאו דווקא כנעני במוצאו</w:t>
      </w:r>
      <w:r w:rsidR="00A20987">
        <w:rPr>
          <w:rFonts w:hint="cs"/>
          <w:rtl/>
        </w:rPr>
        <w:t xml:space="preserve"> ("וחגור נתנה לכנעני")</w:t>
      </w:r>
      <w:r>
        <w:rPr>
          <w:rFonts w:hint="cs"/>
          <w:rtl/>
        </w:rPr>
        <w:t xml:space="preserve">, קשור לנשיאת בני ישראל נשים כנעניות, נושא בו דנו בדברינו </w:t>
      </w:r>
      <w:hyperlink r:id="rId8" w:history="1">
        <w:r w:rsidRPr="001B42E2">
          <w:rPr>
            <w:rStyle w:val="Hyperlink"/>
            <w:rFonts w:hint="cs"/>
            <w:rtl/>
          </w:rPr>
          <w:t>בני קטו</w:t>
        </w:r>
        <w:r w:rsidRPr="001B42E2">
          <w:rPr>
            <w:rStyle w:val="Hyperlink"/>
            <w:rFonts w:hint="cs"/>
            <w:rtl/>
          </w:rPr>
          <w:t>ר</w:t>
        </w:r>
        <w:r w:rsidRPr="001B42E2">
          <w:rPr>
            <w:rStyle w:val="Hyperlink"/>
            <w:rFonts w:hint="cs"/>
            <w:rtl/>
          </w:rPr>
          <w:t>ה</w:t>
        </w:r>
      </w:hyperlink>
      <w:r>
        <w:rPr>
          <w:rFonts w:hint="cs"/>
          <w:rtl/>
        </w:rPr>
        <w:t xml:space="preserve"> בפרשת חיי שרה. המדרש רוצה להגן על יהודה </w:t>
      </w:r>
      <w:r w:rsidR="00A20987">
        <w:rPr>
          <w:rFonts w:hint="cs"/>
          <w:rtl/>
        </w:rPr>
        <w:t xml:space="preserve">ולציין </w:t>
      </w:r>
      <w:r>
        <w:rPr>
          <w:rFonts w:hint="cs"/>
          <w:rtl/>
        </w:rPr>
        <w:t>שלא נשא אישה כנענית. אך הביט</w:t>
      </w:r>
      <w:r w:rsidR="00A20987">
        <w:rPr>
          <w:rFonts w:hint="cs"/>
          <w:rtl/>
        </w:rPr>
        <w:t>ו</w:t>
      </w:r>
      <w:r>
        <w:rPr>
          <w:rFonts w:hint="cs"/>
          <w:rtl/>
        </w:rPr>
        <w:t xml:space="preserve">י שמעניין אותנו כאן הוא "נר המקום" </w:t>
      </w:r>
      <w:r>
        <w:rPr>
          <w:rtl/>
        </w:rPr>
        <w:t>–</w:t>
      </w:r>
      <w:r>
        <w:rPr>
          <w:rFonts w:hint="cs"/>
          <w:rtl/>
        </w:rPr>
        <w:t xml:space="preserve"> איש חשוב, אציל, עשיר מנכבדי המקום. והמדרש אומר: אל תקרא </w:t>
      </w:r>
      <w:r w:rsidRPr="00A20987">
        <w:rPr>
          <w:rtl/>
        </w:rPr>
        <w:t>שׁוּעַ</w:t>
      </w:r>
      <w:r w:rsidRPr="00A20987">
        <w:rPr>
          <w:rFonts w:hint="cs"/>
          <w:rtl/>
        </w:rPr>
        <w:t xml:space="preserve"> אלא </w:t>
      </w:r>
      <w:r w:rsidRPr="00A20987">
        <w:rPr>
          <w:rtl/>
        </w:rPr>
        <w:t>שׁוֹעַ</w:t>
      </w:r>
      <w:r>
        <w:rPr>
          <w:rFonts w:hint="cs"/>
          <w:rtl/>
        </w:rPr>
        <w:t>. מה יכול להיות המקביל לביטוי זה בימינו? בשפות אחרות? ראה עוד ביטוי הפוך שם על ער שהיה רע בעיני ה' "שהו</w:t>
      </w:r>
      <w:r>
        <w:rPr>
          <w:rFonts w:hint="eastAsia"/>
          <w:rtl/>
        </w:rPr>
        <w:t>ֹ</w:t>
      </w:r>
      <w:r>
        <w:rPr>
          <w:rFonts w:hint="cs"/>
          <w:rtl/>
        </w:rPr>
        <w:t>ע</w:t>
      </w:r>
      <w:r>
        <w:rPr>
          <w:rFonts w:hint="eastAsia"/>
          <w:rtl/>
        </w:rPr>
        <w:t>ָ</w:t>
      </w:r>
      <w:r>
        <w:rPr>
          <w:rFonts w:hint="cs"/>
          <w:rtl/>
        </w:rPr>
        <w:t>ר</w:t>
      </w:r>
      <w:r>
        <w:rPr>
          <w:rFonts w:hint="eastAsia"/>
          <w:rtl/>
        </w:rPr>
        <w:t>ָ</w:t>
      </w:r>
      <w:r>
        <w:rPr>
          <w:rFonts w:hint="cs"/>
          <w:rtl/>
        </w:rPr>
        <w:t>ה מן העולם". היינו שהתרוקן והסתלק.</w:t>
      </w:r>
    </w:p>
  </w:footnote>
  <w:footnote w:id="15">
    <w:p w:rsidR="00F05380" w:rsidRDefault="00F05380" w:rsidP="00210A5A">
      <w:pPr>
        <w:pStyle w:val="a3"/>
        <w:rPr>
          <w:rFonts w:hint="cs"/>
          <w:rtl/>
        </w:rPr>
      </w:pPr>
      <w:r>
        <w:rPr>
          <w:rStyle w:val="a5"/>
        </w:rPr>
        <w:footnoteRef/>
      </w:r>
      <w:r>
        <w:rPr>
          <w:rtl/>
        </w:rPr>
        <w:t xml:space="preserve"> </w:t>
      </w:r>
      <w:r>
        <w:rPr>
          <w:rFonts w:hint="cs"/>
          <w:rtl/>
        </w:rPr>
        <w:t xml:space="preserve">בפתרון החלום של שר המשקים ושר האופים מדגיש יוסף "לאלהים פתרונים" (עוד ביטוי שנכנס לשגרת הלשון?) ונתן את הקרדיט למי שהקרדיט באמת שלו, לקב"ה שהוא ייתן לו את פתרון החלום. </w:t>
      </w:r>
      <w:r w:rsidR="00210A5A">
        <w:rPr>
          <w:rFonts w:hint="cs"/>
          <w:rtl/>
        </w:rPr>
        <w:t xml:space="preserve">כך גם </w:t>
      </w:r>
      <w:r>
        <w:rPr>
          <w:rFonts w:hint="cs"/>
          <w:rtl/>
        </w:rPr>
        <w:t>בפתרון החלום לפרעה בפרשת מקץ הסמוכה: "</w:t>
      </w:r>
      <w:r>
        <w:rPr>
          <w:rtl/>
        </w:rPr>
        <w:t>ויען יוסף את פרעה לאמר בלעדי אלהים</w:t>
      </w:r>
      <w:r>
        <w:rPr>
          <w:rFonts w:hint="cs"/>
          <w:rtl/>
        </w:rPr>
        <w:t xml:space="preserve"> יענה את שלום פרעה - </w:t>
      </w:r>
      <w:r>
        <w:rPr>
          <w:rtl/>
        </w:rPr>
        <w:t>תלה הגדולה בבעליה</w:t>
      </w:r>
      <w:r>
        <w:rPr>
          <w:rFonts w:hint="cs"/>
          <w:rtl/>
        </w:rPr>
        <w:t>"</w:t>
      </w:r>
      <w:r>
        <w:rPr>
          <w:rtl/>
        </w:rPr>
        <w:t xml:space="preserve">. </w:t>
      </w:r>
      <w:r>
        <w:rPr>
          <w:rFonts w:hint="cs"/>
          <w:rtl/>
        </w:rPr>
        <w:t>(</w:t>
      </w:r>
      <w:r>
        <w:rPr>
          <w:rtl/>
        </w:rPr>
        <w:t xml:space="preserve">בראשית רבה מקץ פט </w:t>
      </w:r>
      <w:r>
        <w:rPr>
          <w:rFonts w:hint="cs"/>
          <w:rtl/>
        </w:rPr>
        <w:t>ט). אבל ב</w:t>
      </w:r>
      <w:r>
        <w:rPr>
          <w:rtl/>
        </w:rPr>
        <w:t>פסיקתא זוטרתא (לקח טוב) בראשית פרק מא</w:t>
      </w:r>
      <w:r>
        <w:rPr>
          <w:rFonts w:hint="cs"/>
          <w:rtl/>
        </w:rPr>
        <w:t xml:space="preserve"> נראה שהוא מתייחס (גם) לפרעה: "</w:t>
      </w:r>
      <w:r>
        <w:rPr>
          <w:rtl/>
        </w:rPr>
        <w:t>ויען יוסף את פרעה לאמר בלעדי אלהים יענה את שלום פרעה. תלה הגדולה בגדול, מכאן שצריך אדם להתפלל בשלומה של מלכות</w:t>
      </w:r>
      <w:r>
        <w:rPr>
          <w:rFonts w:hint="cs"/>
          <w:rtl/>
        </w:rPr>
        <w:t xml:space="preserve">". ראה דברינו </w:t>
      </w:r>
      <w:hyperlink r:id="rId9" w:history="1">
        <w:r w:rsidRPr="00F05380">
          <w:rPr>
            <w:rStyle w:val="Hyperlink"/>
            <w:rFonts w:hint="cs"/>
            <w:rtl/>
          </w:rPr>
          <w:t xml:space="preserve">תשמע חלום </w:t>
        </w:r>
        <w:r w:rsidRPr="00F05380">
          <w:rPr>
            <w:rStyle w:val="Hyperlink"/>
            <w:rFonts w:hint="cs"/>
            <w:rtl/>
          </w:rPr>
          <w:t>ל</w:t>
        </w:r>
        <w:r w:rsidRPr="00F05380">
          <w:rPr>
            <w:rStyle w:val="Hyperlink"/>
            <w:rFonts w:hint="cs"/>
            <w:rtl/>
          </w:rPr>
          <w:t>פתור אותו</w:t>
        </w:r>
      </w:hyperlink>
      <w:r>
        <w:rPr>
          <w:rFonts w:hint="cs"/>
          <w:rtl/>
        </w:rPr>
        <w:t xml:space="preserve"> בפרשת מקץ.</w:t>
      </w:r>
    </w:p>
  </w:footnote>
  <w:footnote w:id="16">
    <w:p w:rsidR="00A20987" w:rsidRDefault="00A20987">
      <w:pPr>
        <w:pStyle w:val="a3"/>
        <w:rPr>
          <w:rFonts w:hint="cs"/>
        </w:rPr>
      </w:pPr>
      <w:r>
        <w:rPr>
          <w:rStyle w:val="a5"/>
        </w:rPr>
        <w:footnoteRef/>
      </w:r>
      <w:r>
        <w:rPr>
          <w:rtl/>
        </w:rPr>
        <w:t xml:space="preserve"> </w:t>
      </w:r>
      <w:r>
        <w:rPr>
          <w:rFonts w:hint="cs"/>
          <w:rtl/>
        </w:rPr>
        <w:t xml:space="preserve">ראה דברינו </w:t>
      </w:r>
      <w:hyperlink r:id="rId10" w:history="1">
        <w:r w:rsidRPr="00A20987">
          <w:rPr>
            <w:rStyle w:val="Hyperlink"/>
            <w:rFonts w:hint="cs"/>
            <w:rtl/>
          </w:rPr>
          <w:t>תנו לכם מופת</w:t>
        </w:r>
      </w:hyperlink>
      <w:r>
        <w:rPr>
          <w:rFonts w:hint="cs"/>
          <w:rtl/>
        </w:rPr>
        <w:t xml:space="preserve"> בפרשת וארא.</w:t>
      </w:r>
    </w:p>
  </w:footnote>
  <w:footnote w:id="17">
    <w:p w:rsidR="00A20987" w:rsidRDefault="00A20987">
      <w:pPr>
        <w:pStyle w:val="a3"/>
        <w:rPr>
          <w:rFonts w:hint="cs"/>
          <w:rtl/>
        </w:rPr>
      </w:pPr>
      <w:r>
        <w:rPr>
          <w:rStyle w:val="a5"/>
        </w:rPr>
        <w:footnoteRef/>
      </w:r>
      <w:r>
        <w:rPr>
          <w:rtl/>
        </w:rPr>
        <w:t xml:space="preserve"> </w:t>
      </w:r>
      <w:r>
        <w:rPr>
          <w:rFonts w:hint="cs"/>
          <w:rtl/>
        </w:rPr>
        <w:t xml:space="preserve">ראה דברינו </w:t>
      </w:r>
      <w:hyperlink r:id="rId11" w:history="1">
        <w:r w:rsidRPr="00A20987">
          <w:rPr>
            <w:rStyle w:val="Hyperlink"/>
            <w:rFonts w:hint="cs"/>
            <w:rtl/>
          </w:rPr>
          <w:t>יוסף ואשת פוטיפר</w:t>
        </w:r>
      </w:hyperlink>
      <w:r>
        <w:rPr>
          <w:rFonts w:hint="cs"/>
          <w:rtl/>
        </w:rPr>
        <w:t xml:space="preserve"> בפרשה זו. כך גם לגבי הביטוי הבא.</w:t>
      </w:r>
    </w:p>
  </w:footnote>
  <w:footnote w:id="18">
    <w:p w:rsidR="00A20987" w:rsidRDefault="00A20987">
      <w:pPr>
        <w:pStyle w:val="a3"/>
        <w:rPr>
          <w:rFonts w:hint="cs"/>
          <w:rtl/>
        </w:rPr>
      </w:pPr>
      <w:r>
        <w:rPr>
          <w:rStyle w:val="a5"/>
        </w:rPr>
        <w:footnoteRef/>
      </w:r>
      <w:r>
        <w:rPr>
          <w:rtl/>
        </w:rPr>
        <w:t xml:space="preserve"> </w:t>
      </w:r>
      <w:r>
        <w:rPr>
          <w:rFonts w:hint="cs"/>
          <w:rtl/>
        </w:rPr>
        <w:t xml:space="preserve">ראה דברינו </w:t>
      </w:r>
      <w:hyperlink r:id="rId12" w:history="1">
        <w:r w:rsidRPr="00A20987">
          <w:rPr>
            <w:rStyle w:val="Hyperlink"/>
            <w:rFonts w:hint="cs"/>
            <w:rtl/>
          </w:rPr>
          <w:t>נחש אליעזר</w:t>
        </w:r>
      </w:hyperlink>
      <w:r>
        <w:rPr>
          <w:rFonts w:hint="cs"/>
          <w:rtl/>
        </w:rPr>
        <w:t xml:space="preserve"> בפרשת חיי 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rsidP="000D5110">
    <w:pPr>
      <w:pStyle w:val="1"/>
      <w:tabs>
        <w:tab w:val="clear" w:pos="9469"/>
        <w:tab w:val="right" w:pos="9185"/>
      </w:tabs>
      <w:rPr>
        <w:rFonts w:hint="cs"/>
        <w:rtl/>
      </w:rPr>
    </w:pPr>
    <w:r>
      <w:rPr>
        <w:rtl/>
      </w:rPr>
      <w:t xml:space="preserve">פרשת </w:t>
    </w:r>
    <w:fldSimple w:instr=" SUBJECT  \* MERGEFORMAT ">
      <w:r w:rsidR="00CC1B50">
        <w:rPr>
          <w:rtl/>
        </w:rPr>
        <w:t>וישב</w:t>
      </w:r>
    </w:fldSimple>
    <w:r w:rsidR="008206AC">
      <w:rPr>
        <w:rFonts w:hint="cs"/>
        <w:rtl/>
      </w:rPr>
      <w:t>, מכמני הפרשה</w:t>
    </w:r>
    <w:r>
      <w:rPr>
        <w:rtl/>
      </w:rPr>
      <w:tab/>
    </w:r>
    <w:r>
      <w:rPr>
        <w:rFonts w:hint="cs"/>
        <w:rtl/>
      </w:rPr>
      <w:t>תשע"</w:t>
    </w:r>
    <w:r w:rsidR="00672F15">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1B50">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C4B2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02FB4"/>
    <w:rsid w:val="0001371E"/>
    <w:rsid w:val="00013BEE"/>
    <w:rsid w:val="00024321"/>
    <w:rsid w:val="0003704F"/>
    <w:rsid w:val="000463B5"/>
    <w:rsid w:val="000549B0"/>
    <w:rsid w:val="0006234F"/>
    <w:rsid w:val="00065112"/>
    <w:rsid w:val="00066FF2"/>
    <w:rsid w:val="00072976"/>
    <w:rsid w:val="000801CC"/>
    <w:rsid w:val="000807C7"/>
    <w:rsid w:val="0008330B"/>
    <w:rsid w:val="00094E5D"/>
    <w:rsid w:val="000A147B"/>
    <w:rsid w:val="000A6E7E"/>
    <w:rsid w:val="000B259E"/>
    <w:rsid w:val="000B37A3"/>
    <w:rsid w:val="000B675D"/>
    <w:rsid w:val="000C2CF4"/>
    <w:rsid w:val="000C7C31"/>
    <w:rsid w:val="000D372E"/>
    <w:rsid w:val="000D5110"/>
    <w:rsid w:val="000E7CBB"/>
    <w:rsid w:val="000F16CB"/>
    <w:rsid w:val="000F5168"/>
    <w:rsid w:val="00100B01"/>
    <w:rsid w:val="001067F5"/>
    <w:rsid w:val="001108BE"/>
    <w:rsid w:val="00113B67"/>
    <w:rsid w:val="00114B40"/>
    <w:rsid w:val="0011518D"/>
    <w:rsid w:val="00115C72"/>
    <w:rsid w:val="0012384E"/>
    <w:rsid w:val="00125B54"/>
    <w:rsid w:val="001317C9"/>
    <w:rsid w:val="001344FD"/>
    <w:rsid w:val="001362D0"/>
    <w:rsid w:val="00140278"/>
    <w:rsid w:val="00151568"/>
    <w:rsid w:val="00152EB8"/>
    <w:rsid w:val="0015320C"/>
    <w:rsid w:val="001621F9"/>
    <w:rsid w:val="00172239"/>
    <w:rsid w:val="00181579"/>
    <w:rsid w:val="001966D9"/>
    <w:rsid w:val="001A34FF"/>
    <w:rsid w:val="001B1881"/>
    <w:rsid w:val="001B1AEB"/>
    <w:rsid w:val="001B200A"/>
    <w:rsid w:val="001B42E2"/>
    <w:rsid w:val="001B6276"/>
    <w:rsid w:val="001C06B8"/>
    <w:rsid w:val="001C2E9D"/>
    <w:rsid w:val="001D035F"/>
    <w:rsid w:val="001D3E07"/>
    <w:rsid w:val="001E1E99"/>
    <w:rsid w:val="001F03F1"/>
    <w:rsid w:val="00204DEC"/>
    <w:rsid w:val="00205DE5"/>
    <w:rsid w:val="00206D0D"/>
    <w:rsid w:val="00207A84"/>
    <w:rsid w:val="00210A5A"/>
    <w:rsid w:val="00212138"/>
    <w:rsid w:val="00212506"/>
    <w:rsid w:val="002211D1"/>
    <w:rsid w:val="00230094"/>
    <w:rsid w:val="00233267"/>
    <w:rsid w:val="002347E4"/>
    <w:rsid w:val="00234D1A"/>
    <w:rsid w:val="00240E67"/>
    <w:rsid w:val="0024480B"/>
    <w:rsid w:val="00255F48"/>
    <w:rsid w:val="002577C8"/>
    <w:rsid w:val="002646E5"/>
    <w:rsid w:val="00277D8E"/>
    <w:rsid w:val="00281E56"/>
    <w:rsid w:val="00282916"/>
    <w:rsid w:val="00284596"/>
    <w:rsid w:val="00284D29"/>
    <w:rsid w:val="00290F31"/>
    <w:rsid w:val="002A1BD7"/>
    <w:rsid w:val="002C1DA6"/>
    <w:rsid w:val="002C50E6"/>
    <w:rsid w:val="002D3E50"/>
    <w:rsid w:val="002F28C8"/>
    <w:rsid w:val="00302B72"/>
    <w:rsid w:val="00306288"/>
    <w:rsid w:val="00307FDA"/>
    <w:rsid w:val="0031205B"/>
    <w:rsid w:val="003128D2"/>
    <w:rsid w:val="00337AEE"/>
    <w:rsid w:val="00337DF3"/>
    <w:rsid w:val="0035163D"/>
    <w:rsid w:val="003531A6"/>
    <w:rsid w:val="00361DE9"/>
    <w:rsid w:val="00362AB8"/>
    <w:rsid w:val="00366FC8"/>
    <w:rsid w:val="003739D5"/>
    <w:rsid w:val="00380BD1"/>
    <w:rsid w:val="00381C9C"/>
    <w:rsid w:val="0038474C"/>
    <w:rsid w:val="00392715"/>
    <w:rsid w:val="00397B69"/>
    <w:rsid w:val="003A40BB"/>
    <w:rsid w:val="003A7247"/>
    <w:rsid w:val="003B3CE5"/>
    <w:rsid w:val="003B451E"/>
    <w:rsid w:val="003B46B5"/>
    <w:rsid w:val="003B4F36"/>
    <w:rsid w:val="003B6349"/>
    <w:rsid w:val="003C4C8A"/>
    <w:rsid w:val="003D2FDB"/>
    <w:rsid w:val="003D6922"/>
    <w:rsid w:val="003E34C4"/>
    <w:rsid w:val="003E3927"/>
    <w:rsid w:val="003F0B25"/>
    <w:rsid w:val="003F282F"/>
    <w:rsid w:val="004022F5"/>
    <w:rsid w:val="00411452"/>
    <w:rsid w:val="004245BD"/>
    <w:rsid w:val="004371C5"/>
    <w:rsid w:val="0044793D"/>
    <w:rsid w:val="00451166"/>
    <w:rsid w:val="004538B2"/>
    <w:rsid w:val="00455D9B"/>
    <w:rsid w:val="004566AF"/>
    <w:rsid w:val="004658C2"/>
    <w:rsid w:val="0047494D"/>
    <w:rsid w:val="0047583A"/>
    <w:rsid w:val="00476130"/>
    <w:rsid w:val="004822C7"/>
    <w:rsid w:val="00486A12"/>
    <w:rsid w:val="00494F36"/>
    <w:rsid w:val="004A7ABE"/>
    <w:rsid w:val="004B05B0"/>
    <w:rsid w:val="004B262E"/>
    <w:rsid w:val="004B5E52"/>
    <w:rsid w:val="004C28DB"/>
    <w:rsid w:val="004C4CAF"/>
    <w:rsid w:val="004C5200"/>
    <w:rsid w:val="004C6521"/>
    <w:rsid w:val="004C7A62"/>
    <w:rsid w:val="004E40D6"/>
    <w:rsid w:val="004F119E"/>
    <w:rsid w:val="00501925"/>
    <w:rsid w:val="00501D22"/>
    <w:rsid w:val="005079D2"/>
    <w:rsid w:val="00510CC4"/>
    <w:rsid w:val="00511DAF"/>
    <w:rsid w:val="00524741"/>
    <w:rsid w:val="0052576D"/>
    <w:rsid w:val="00525797"/>
    <w:rsid w:val="00525F39"/>
    <w:rsid w:val="00541611"/>
    <w:rsid w:val="005440BC"/>
    <w:rsid w:val="005656C0"/>
    <w:rsid w:val="005761F8"/>
    <w:rsid w:val="00582E13"/>
    <w:rsid w:val="0058507B"/>
    <w:rsid w:val="00586414"/>
    <w:rsid w:val="005864B3"/>
    <w:rsid w:val="00591E5A"/>
    <w:rsid w:val="00592D2F"/>
    <w:rsid w:val="00593580"/>
    <w:rsid w:val="005A177C"/>
    <w:rsid w:val="005B75A3"/>
    <w:rsid w:val="005E30DC"/>
    <w:rsid w:val="005F0E63"/>
    <w:rsid w:val="005F24F6"/>
    <w:rsid w:val="00603070"/>
    <w:rsid w:val="0062306D"/>
    <w:rsid w:val="0062465F"/>
    <w:rsid w:val="0064375F"/>
    <w:rsid w:val="006547B7"/>
    <w:rsid w:val="0066386C"/>
    <w:rsid w:val="006667D3"/>
    <w:rsid w:val="00671933"/>
    <w:rsid w:val="00672F15"/>
    <w:rsid w:val="0068712C"/>
    <w:rsid w:val="00693EDC"/>
    <w:rsid w:val="006C024F"/>
    <w:rsid w:val="006C46C2"/>
    <w:rsid w:val="006C7108"/>
    <w:rsid w:val="006E60E4"/>
    <w:rsid w:val="006E6E9C"/>
    <w:rsid w:val="006F28A4"/>
    <w:rsid w:val="006F6D16"/>
    <w:rsid w:val="00700518"/>
    <w:rsid w:val="007035C7"/>
    <w:rsid w:val="007120F4"/>
    <w:rsid w:val="00722D97"/>
    <w:rsid w:val="00724A1A"/>
    <w:rsid w:val="00741319"/>
    <w:rsid w:val="0075120D"/>
    <w:rsid w:val="007531F6"/>
    <w:rsid w:val="007547F0"/>
    <w:rsid w:val="007645F5"/>
    <w:rsid w:val="00767D0E"/>
    <w:rsid w:val="00775C3A"/>
    <w:rsid w:val="007853E2"/>
    <w:rsid w:val="00792440"/>
    <w:rsid w:val="007928FB"/>
    <w:rsid w:val="00796E22"/>
    <w:rsid w:val="007B060B"/>
    <w:rsid w:val="007B3B8B"/>
    <w:rsid w:val="007C0323"/>
    <w:rsid w:val="007C1578"/>
    <w:rsid w:val="007C646B"/>
    <w:rsid w:val="007D77B8"/>
    <w:rsid w:val="007E26C3"/>
    <w:rsid w:val="007E3006"/>
    <w:rsid w:val="007F2EE6"/>
    <w:rsid w:val="00800C03"/>
    <w:rsid w:val="00813708"/>
    <w:rsid w:val="00815A0D"/>
    <w:rsid w:val="008163BA"/>
    <w:rsid w:val="008206AC"/>
    <w:rsid w:val="00821C5A"/>
    <w:rsid w:val="0084334E"/>
    <w:rsid w:val="0086056D"/>
    <w:rsid w:val="00866130"/>
    <w:rsid w:val="0086794A"/>
    <w:rsid w:val="008800FC"/>
    <w:rsid w:val="00895608"/>
    <w:rsid w:val="00897533"/>
    <w:rsid w:val="00897623"/>
    <w:rsid w:val="008A3E77"/>
    <w:rsid w:val="008A4CDF"/>
    <w:rsid w:val="008A6FB1"/>
    <w:rsid w:val="008A7F18"/>
    <w:rsid w:val="008C6089"/>
    <w:rsid w:val="008D2464"/>
    <w:rsid w:val="008D341D"/>
    <w:rsid w:val="008D4334"/>
    <w:rsid w:val="008F0582"/>
    <w:rsid w:val="008F0CFB"/>
    <w:rsid w:val="008F741A"/>
    <w:rsid w:val="009070A1"/>
    <w:rsid w:val="00921852"/>
    <w:rsid w:val="009226AA"/>
    <w:rsid w:val="00940289"/>
    <w:rsid w:val="0094303D"/>
    <w:rsid w:val="00944A7A"/>
    <w:rsid w:val="0094699E"/>
    <w:rsid w:val="00984341"/>
    <w:rsid w:val="00992439"/>
    <w:rsid w:val="009A72C4"/>
    <w:rsid w:val="009A7FC5"/>
    <w:rsid w:val="009B5FDB"/>
    <w:rsid w:val="009C7F11"/>
    <w:rsid w:val="009D61DC"/>
    <w:rsid w:val="009E4ECF"/>
    <w:rsid w:val="009E5154"/>
    <w:rsid w:val="009E5D49"/>
    <w:rsid w:val="009E6220"/>
    <w:rsid w:val="009F21D2"/>
    <w:rsid w:val="00A00DD8"/>
    <w:rsid w:val="00A03F78"/>
    <w:rsid w:val="00A15B03"/>
    <w:rsid w:val="00A20987"/>
    <w:rsid w:val="00A20B3C"/>
    <w:rsid w:val="00A20C23"/>
    <w:rsid w:val="00A279DA"/>
    <w:rsid w:val="00A31276"/>
    <w:rsid w:val="00A3557C"/>
    <w:rsid w:val="00A51955"/>
    <w:rsid w:val="00A55255"/>
    <w:rsid w:val="00A57870"/>
    <w:rsid w:val="00A609B9"/>
    <w:rsid w:val="00A7017C"/>
    <w:rsid w:val="00A76E3F"/>
    <w:rsid w:val="00A845BB"/>
    <w:rsid w:val="00A9359A"/>
    <w:rsid w:val="00AA2178"/>
    <w:rsid w:val="00AB2C0E"/>
    <w:rsid w:val="00AB2D62"/>
    <w:rsid w:val="00AB5508"/>
    <w:rsid w:val="00AB5871"/>
    <w:rsid w:val="00AC4B25"/>
    <w:rsid w:val="00AC533F"/>
    <w:rsid w:val="00AC7AB2"/>
    <w:rsid w:val="00AD2C63"/>
    <w:rsid w:val="00AE02B9"/>
    <w:rsid w:val="00AE2DF3"/>
    <w:rsid w:val="00AE3F2F"/>
    <w:rsid w:val="00AE49E3"/>
    <w:rsid w:val="00AE6862"/>
    <w:rsid w:val="00AE72E7"/>
    <w:rsid w:val="00AF09D4"/>
    <w:rsid w:val="00AF4127"/>
    <w:rsid w:val="00AF662B"/>
    <w:rsid w:val="00AF7968"/>
    <w:rsid w:val="00B010E5"/>
    <w:rsid w:val="00B01314"/>
    <w:rsid w:val="00B03F04"/>
    <w:rsid w:val="00B13359"/>
    <w:rsid w:val="00B257C0"/>
    <w:rsid w:val="00B258A5"/>
    <w:rsid w:val="00B316A1"/>
    <w:rsid w:val="00B32ED7"/>
    <w:rsid w:val="00B33719"/>
    <w:rsid w:val="00B40231"/>
    <w:rsid w:val="00B4487E"/>
    <w:rsid w:val="00B5296C"/>
    <w:rsid w:val="00B53697"/>
    <w:rsid w:val="00B56603"/>
    <w:rsid w:val="00B65249"/>
    <w:rsid w:val="00B731E4"/>
    <w:rsid w:val="00B84528"/>
    <w:rsid w:val="00B93F81"/>
    <w:rsid w:val="00BA0C8F"/>
    <w:rsid w:val="00BA2C7A"/>
    <w:rsid w:val="00BA7352"/>
    <w:rsid w:val="00BB1939"/>
    <w:rsid w:val="00BD0A45"/>
    <w:rsid w:val="00BD6060"/>
    <w:rsid w:val="00BE1120"/>
    <w:rsid w:val="00BE2F57"/>
    <w:rsid w:val="00BE46E1"/>
    <w:rsid w:val="00BE6070"/>
    <w:rsid w:val="00BE7EBA"/>
    <w:rsid w:val="00BF35A1"/>
    <w:rsid w:val="00BF3669"/>
    <w:rsid w:val="00BF53E4"/>
    <w:rsid w:val="00BF5CD5"/>
    <w:rsid w:val="00C03155"/>
    <w:rsid w:val="00C17018"/>
    <w:rsid w:val="00C32C0C"/>
    <w:rsid w:val="00C426CF"/>
    <w:rsid w:val="00C51EF9"/>
    <w:rsid w:val="00C52F66"/>
    <w:rsid w:val="00C54103"/>
    <w:rsid w:val="00C636AB"/>
    <w:rsid w:val="00C6541C"/>
    <w:rsid w:val="00C65578"/>
    <w:rsid w:val="00C65CC9"/>
    <w:rsid w:val="00C66825"/>
    <w:rsid w:val="00C74180"/>
    <w:rsid w:val="00C75C46"/>
    <w:rsid w:val="00C95A2B"/>
    <w:rsid w:val="00C9673E"/>
    <w:rsid w:val="00C9716E"/>
    <w:rsid w:val="00CA4869"/>
    <w:rsid w:val="00CA791A"/>
    <w:rsid w:val="00CB2041"/>
    <w:rsid w:val="00CB3197"/>
    <w:rsid w:val="00CB3C8B"/>
    <w:rsid w:val="00CB75FF"/>
    <w:rsid w:val="00CC1B50"/>
    <w:rsid w:val="00CC33F7"/>
    <w:rsid w:val="00CC48D6"/>
    <w:rsid w:val="00CC70E1"/>
    <w:rsid w:val="00CD1699"/>
    <w:rsid w:val="00CE3BCB"/>
    <w:rsid w:val="00D05F4A"/>
    <w:rsid w:val="00D07FB5"/>
    <w:rsid w:val="00D10D41"/>
    <w:rsid w:val="00D11B3E"/>
    <w:rsid w:val="00D160B5"/>
    <w:rsid w:val="00D17594"/>
    <w:rsid w:val="00D27FE1"/>
    <w:rsid w:val="00D31AE1"/>
    <w:rsid w:val="00D475DF"/>
    <w:rsid w:val="00D47953"/>
    <w:rsid w:val="00D53552"/>
    <w:rsid w:val="00D57235"/>
    <w:rsid w:val="00D61FC3"/>
    <w:rsid w:val="00D625AD"/>
    <w:rsid w:val="00D648FB"/>
    <w:rsid w:val="00D663FD"/>
    <w:rsid w:val="00D707D2"/>
    <w:rsid w:val="00D81B06"/>
    <w:rsid w:val="00DA3C19"/>
    <w:rsid w:val="00DB74B1"/>
    <w:rsid w:val="00DC20C6"/>
    <w:rsid w:val="00DC3379"/>
    <w:rsid w:val="00DC3981"/>
    <w:rsid w:val="00DD087A"/>
    <w:rsid w:val="00DD5A26"/>
    <w:rsid w:val="00DD78F0"/>
    <w:rsid w:val="00DE045E"/>
    <w:rsid w:val="00DE1D06"/>
    <w:rsid w:val="00DE57AF"/>
    <w:rsid w:val="00DE596A"/>
    <w:rsid w:val="00DE5F2B"/>
    <w:rsid w:val="00DF38CA"/>
    <w:rsid w:val="00DF6CC1"/>
    <w:rsid w:val="00E06446"/>
    <w:rsid w:val="00E169B6"/>
    <w:rsid w:val="00E21D2F"/>
    <w:rsid w:val="00E24CD3"/>
    <w:rsid w:val="00E24E52"/>
    <w:rsid w:val="00E26048"/>
    <w:rsid w:val="00E278BB"/>
    <w:rsid w:val="00E379B0"/>
    <w:rsid w:val="00E439EF"/>
    <w:rsid w:val="00E45624"/>
    <w:rsid w:val="00E501C1"/>
    <w:rsid w:val="00E53399"/>
    <w:rsid w:val="00E536C5"/>
    <w:rsid w:val="00E62364"/>
    <w:rsid w:val="00E6240F"/>
    <w:rsid w:val="00E651AC"/>
    <w:rsid w:val="00E72FFF"/>
    <w:rsid w:val="00E7367A"/>
    <w:rsid w:val="00E7404A"/>
    <w:rsid w:val="00E74C02"/>
    <w:rsid w:val="00E76282"/>
    <w:rsid w:val="00E85C02"/>
    <w:rsid w:val="00E85D65"/>
    <w:rsid w:val="00E91973"/>
    <w:rsid w:val="00E9481A"/>
    <w:rsid w:val="00E94863"/>
    <w:rsid w:val="00EA03F7"/>
    <w:rsid w:val="00EA2BED"/>
    <w:rsid w:val="00EA7FAC"/>
    <w:rsid w:val="00EB2688"/>
    <w:rsid w:val="00EB7495"/>
    <w:rsid w:val="00EC3B29"/>
    <w:rsid w:val="00ED1D1A"/>
    <w:rsid w:val="00EE174B"/>
    <w:rsid w:val="00EE662F"/>
    <w:rsid w:val="00EE6D49"/>
    <w:rsid w:val="00EF1530"/>
    <w:rsid w:val="00EF5CB7"/>
    <w:rsid w:val="00F05380"/>
    <w:rsid w:val="00F128D5"/>
    <w:rsid w:val="00F31BC0"/>
    <w:rsid w:val="00F33B59"/>
    <w:rsid w:val="00F37A7E"/>
    <w:rsid w:val="00F41236"/>
    <w:rsid w:val="00F51173"/>
    <w:rsid w:val="00F60203"/>
    <w:rsid w:val="00F62A51"/>
    <w:rsid w:val="00F66F8A"/>
    <w:rsid w:val="00F6710D"/>
    <w:rsid w:val="00F702F5"/>
    <w:rsid w:val="00F7252A"/>
    <w:rsid w:val="00F761D8"/>
    <w:rsid w:val="00F844AD"/>
    <w:rsid w:val="00F86FC2"/>
    <w:rsid w:val="00F91216"/>
    <w:rsid w:val="00F953FD"/>
    <w:rsid w:val="00FA18CE"/>
    <w:rsid w:val="00FA5A5A"/>
    <w:rsid w:val="00FB0C67"/>
    <w:rsid w:val="00FB1A08"/>
    <w:rsid w:val="00FC1024"/>
    <w:rsid w:val="00FC2646"/>
    <w:rsid w:val="00FD0E02"/>
    <w:rsid w:val="00FD18E2"/>
    <w:rsid w:val="00FD2B5E"/>
    <w:rsid w:val="00FD64BF"/>
    <w:rsid w:val="00FD6EBB"/>
    <w:rsid w:val="00FE001A"/>
    <w:rsid w:val="00FE1170"/>
    <w:rsid w:val="00FE2D38"/>
    <w:rsid w:val="00FF33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2A8D9A-2C5F-4C28-9E69-5DD89CC0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4B25"/>
    <w:pPr>
      <w:bidi/>
    </w:pPr>
    <w:rPr>
      <w:rFonts w:cs="Narkisim"/>
      <w:sz w:val="22"/>
      <w:szCs w:val="22"/>
      <w:lang w:eastAsia="he-IL"/>
    </w:rPr>
  </w:style>
  <w:style w:type="paragraph" w:styleId="1">
    <w:name w:val="heading 1"/>
    <w:basedOn w:val="a"/>
    <w:next w:val="a"/>
    <w:link w:val="10"/>
    <w:qFormat/>
    <w:rsid w:val="00AC4B25"/>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AC4B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C4B25"/>
  </w:style>
  <w:style w:type="paragraph" w:styleId="a3">
    <w:name w:val="footnote text"/>
    <w:basedOn w:val="a"/>
    <w:link w:val="a4"/>
    <w:semiHidden/>
    <w:rsid w:val="00AC4B25"/>
    <w:pPr>
      <w:ind w:left="170" w:hanging="170"/>
      <w:jc w:val="both"/>
    </w:pPr>
    <w:rPr>
      <w:sz w:val="20"/>
      <w:szCs w:val="20"/>
    </w:rPr>
  </w:style>
  <w:style w:type="character" w:styleId="a5">
    <w:name w:val="footnote reference"/>
    <w:semiHidden/>
    <w:rsid w:val="00AC4B25"/>
    <w:rPr>
      <w:vertAlign w:val="superscript"/>
    </w:rPr>
  </w:style>
  <w:style w:type="paragraph" w:styleId="a6">
    <w:name w:val="header"/>
    <w:basedOn w:val="a"/>
    <w:link w:val="a7"/>
    <w:rsid w:val="00AC4B25"/>
    <w:pPr>
      <w:tabs>
        <w:tab w:val="center" w:pos="4153"/>
        <w:tab w:val="right" w:pos="8306"/>
      </w:tabs>
    </w:pPr>
  </w:style>
  <w:style w:type="paragraph" w:styleId="a8">
    <w:name w:val="footer"/>
    <w:basedOn w:val="a"/>
    <w:link w:val="a9"/>
    <w:rsid w:val="00AC4B25"/>
    <w:pPr>
      <w:tabs>
        <w:tab w:val="center" w:pos="4153"/>
        <w:tab w:val="right" w:pos="8306"/>
      </w:tabs>
    </w:pPr>
  </w:style>
  <w:style w:type="paragraph" w:customStyle="1" w:styleId="aa">
    <w:name w:val="כותרת"/>
    <w:basedOn w:val="a"/>
    <w:rsid w:val="00AC4B25"/>
    <w:pPr>
      <w:spacing w:before="240" w:line="320" w:lineRule="atLeast"/>
      <w:jc w:val="center"/>
    </w:pPr>
    <w:rPr>
      <w:rFonts w:cs="David"/>
      <w:b/>
      <w:bCs/>
      <w:spacing w:val="20"/>
      <w:szCs w:val="32"/>
    </w:rPr>
  </w:style>
  <w:style w:type="paragraph" w:customStyle="1" w:styleId="ab">
    <w:name w:val="כותרת קטע"/>
    <w:basedOn w:val="a"/>
    <w:rsid w:val="00AC4B25"/>
    <w:pPr>
      <w:spacing w:before="240" w:line="300" w:lineRule="atLeast"/>
    </w:pPr>
    <w:rPr>
      <w:rFonts w:cs="Arial"/>
      <w:b/>
      <w:bCs/>
      <w:szCs w:val="24"/>
    </w:rPr>
  </w:style>
  <w:style w:type="paragraph" w:customStyle="1" w:styleId="ac">
    <w:name w:val="מקור"/>
    <w:basedOn w:val="a"/>
    <w:rsid w:val="00AC4B25"/>
    <w:pPr>
      <w:spacing w:line="320" w:lineRule="atLeast"/>
      <w:jc w:val="both"/>
    </w:pPr>
    <w:rPr>
      <w:rFonts w:cs="David"/>
      <w:szCs w:val="24"/>
    </w:rPr>
  </w:style>
  <w:style w:type="paragraph" w:customStyle="1" w:styleId="ad">
    <w:name w:val="מחלקי המים"/>
    <w:basedOn w:val="a"/>
    <w:rsid w:val="00AC4B25"/>
    <w:pPr>
      <w:spacing w:line="320" w:lineRule="atLeast"/>
      <w:jc w:val="both"/>
    </w:pPr>
    <w:rPr>
      <w:b/>
      <w:bCs/>
      <w:szCs w:val="24"/>
    </w:rPr>
  </w:style>
  <w:style w:type="character" w:styleId="Hyperlink">
    <w:name w:val="Hyperlink"/>
    <w:rsid w:val="00AC4B25"/>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AC4B25"/>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AC4B25"/>
    <w:rPr>
      <w:rFonts w:cs="Narkisim"/>
      <w:lang w:eastAsia="he-IL"/>
    </w:rPr>
  </w:style>
  <w:style w:type="character" w:customStyle="1" w:styleId="10">
    <w:name w:val="כותרת 1 תו"/>
    <w:link w:val="1"/>
    <w:rsid w:val="00AC4B25"/>
    <w:rPr>
      <w:rFonts w:cs="David"/>
      <w:b/>
      <w:bCs/>
      <w:sz w:val="22"/>
      <w:szCs w:val="28"/>
      <w:lang w:eastAsia="he-IL"/>
    </w:rPr>
  </w:style>
  <w:style w:type="character" w:customStyle="1" w:styleId="a7">
    <w:name w:val="כותרת עליונה תו"/>
    <w:link w:val="a6"/>
    <w:rsid w:val="00AC4B25"/>
    <w:rPr>
      <w:rFonts w:cs="Narkisim"/>
      <w:sz w:val="22"/>
      <w:szCs w:val="22"/>
      <w:lang w:eastAsia="he-IL"/>
    </w:rPr>
  </w:style>
  <w:style w:type="character" w:customStyle="1" w:styleId="a9">
    <w:name w:val="כותרת תחתונה תו"/>
    <w:link w:val="a8"/>
    <w:rsid w:val="00AC4B25"/>
    <w:rPr>
      <w:rFonts w:cs="Narkisim"/>
      <w:sz w:val="22"/>
      <w:szCs w:val="22"/>
      <w:lang w:eastAsia="he-IL"/>
    </w:rPr>
  </w:style>
  <w:style w:type="character" w:customStyle="1" w:styleId="af0">
    <w:name w:val="טקסט בלונים תו"/>
    <w:link w:val="af"/>
    <w:uiPriority w:val="99"/>
    <w:semiHidden/>
    <w:rsid w:val="00AC4B2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9b%d7%9e%d7%a0%d7%99-%d7%95%d7%99%d7%a7%d7%a8%d7%90-%d7%a8%d7%91%d7%941-%d7%91%d7%a4%d7%a8%d7%a9%d7%aa-%d7%95%d7%99%d7%a7%d7%a8%d7%9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ublications/%d7%9e%d7%93%d7%a8%d7%a9-%d7%91%d7%a8%d7%90%d7%a9%d7%99%d7%aa-%d7%a8%d7%91%d7%94/" TargetMode="External"/><Relationship Id="rId12" Type="http://schemas.openxmlformats.org/officeDocument/2006/relationships/hyperlink" Target="http://www.mayim.org.il/pub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9e%d7%9b%d7%9e%d7%a0%d7%99-%d7%95%d7%99%d7%a7%d7%a8%d7%90-%d7%a8%d7%91%d7%94-%d7%9c%d7%a4%d7%a8%d7%a9%d7%aa-%d7%9e%d7%a6%d7%95%d7%a8%d7%a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yim.org.il/?parasha=%d7%9e%d7%9b%d7%9e%d7%a0%d7%99-%d7%95%d7%99%d7%a7%d7%a8%d7%90-%d7%a8%d7%91%d7%94-%d7%9c%d7%a4%d7%a8%d7%a9%d7%aa-%d7%aa%d7%96%d7%a8%d7%99%d7%a21" TargetMode="External"/><Relationship Id="rId4" Type="http://schemas.openxmlformats.org/officeDocument/2006/relationships/webSettings" Target="webSettings.xml"/><Relationship Id="rId9" Type="http://schemas.openxmlformats.org/officeDocument/2006/relationships/hyperlink" Target="https://www.mayim.org.il/?parasha=%D7%9E%D7%9B%D7%9E%D7%A0%D7%99-%D7%95%D7%99%D7%A7%D7%A8%D7%90-%D7%A8%D7%91%D7%94-%D7%9C%D7%A4%D7%A8%D7%A9%D7%AA-%D7%A6%D7%9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0%d7%99-%d7%a7%d7%98%d7%95%d7%a8%d7%94" TargetMode="External"/><Relationship Id="rId3" Type="http://schemas.openxmlformats.org/officeDocument/2006/relationships/hyperlink" Target="https://www.mayim.org.il/?parasha=%D7%AA%D7%95%D6%B9%D7%9B%D7%95%D6%B9-%D7%9B%D6%BC%D6%B0%D7%91%D6%B8%D7%A8%D7%95%D6%B9" TargetMode="External"/><Relationship Id="rId7" Type="http://schemas.openxmlformats.org/officeDocument/2006/relationships/hyperlink" Target="http://www.mayim.org.il/?parasha=%d7%94%d7%a7%d7%95%d7%9c%d7%a8-%d7%aa%d7%9c%d7%95%d7%99-%d7%91%d7%a6%d7%95%d7%95%d7%90%d7%a8-%d7%9b%d7%95%d7%9c%d7%9d" TargetMode="External"/><Relationship Id="rId12" Type="http://schemas.openxmlformats.org/officeDocument/2006/relationships/hyperlink" Target="https://www.mayim.org.il/?parasha=%D7%A0%D7%97%D7%A9-%D7%90%D7%9C%D7%99%D7%A2%D7%96%D7%A81" TargetMode="External"/><Relationship Id="rId2" Type="http://schemas.openxmlformats.org/officeDocument/2006/relationships/hyperlink" Target="http://www.mayim.org.il/?parasha=%d7%91%d7%99%d7%a7%d7%a9-%d7%99%d7%a2%d7%a7%d7%91-%d7%9c%d7%99%d7%a9%d7%91-%d7%91%d7%a9%d7%9c%d7%95%d7%95%d7%94" TargetMode="External"/><Relationship Id="rId1" Type="http://schemas.openxmlformats.org/officeDocument/2006/relationships/hyperlink" Target="https://www.mayim.org.il/?parasha=%D7%90%D7%A0%D7%98%D7%95%D7%A0%D7%99%D7%A0%D7%95%D7%A1-%D7%95%D7%A8%D7%91%D7%991" TargetMode="External"/><Relationship Id="rId6" Type="http://schemas.openxmlformats.org/officeDocument/2006/relationships/hyperlink" Target="https://www.mayim.org.il/?parasha=%D7%94%D7%9E%D7%AA%D7%97%D7%99%D7%9C-%D7%91%D7%9E%D7%A6%D7%95%D7%95%D7%94-%D7%94%D7%95%D7%90-%D7%92%D7%95%D7%9E%D7%A8%D7%94" TargetMode="External"/><Relationship Id="rId11" Type="http://schemas.openxmlformats.org/officeDocument/2006/relationships/hyperlink" Target="https://www.mayim.org.il/?parasha=%D7%99%D7%95%D7%A1%D7%A3-%D7%95%D7%90%D7%A9%D7%AA-%D7%A4%D7%95%D7%98%D7%99%D7%A4%D7%A8" TargetMode="External"/><Relationship Id="rId5" Type="http://schemas.openxmlformats.org/officeDocument/2006/relationships/hyperlink" Target="https://www.mayim.org.il/?parasha=%D7%9E%D7%A2%D7%A9%D7%94-%D7%99%D7%94%D7%95%D7%93%D7%94-%D7%95%D7%AA%D7%9E%D7%A8-%D7%A0%D7%A7%D7%A8%D7%90-%D7%95%D7%9E%D6%B4%D7%AA%D6%BC%D6%B7%D7%A8%D6%B0%D7%92%D6%B5%D7%9D1" TargetMode="External"/><Relationship Id="rId10" Type="http://schemas.openxmlformats.org/officeDocument/2006/relationships/hyperlink" Target="https://www.mayim.org.il/?parasha=%D7%AA%D7%A0%D7%95-%D7%9C%D7%9B%D7%9D-%D7%9E%D7%95%D7%A4%D7%AA-2" TargetMode="External"/><Relationship Id="rId4" Type="http://schemas.openxmlformats.org/officeDocument/2006/relationships/hyperlink" Target="https://www.mayim.org.il/?parasha=%D7%A7%D7%95%D7%9D-%D7%A2%D7%9C%D7%94-%D7%91%D7%99%D7%AA-%D7%90%D7%9C" TargetMode="External"/><Relationship Id="rId9" Type="http://schemas.openxmlformats.org/officeDocument/2006/relationships/hyperlink" Target="http://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3AAEE-E44A-4190-9173-19C6A508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913</Words>
  <Characters>4565</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5468</CharactersWithSpaces>
  <SharedDoc>false</SharedDoc>
  <HLinks>
    <vt:vector size="108" baseType="variant">
      <vt:variant>
        <vt:i4>917595</vt:i4>
      </vt:variant>
      <vt:variant>
        <vt:i4>15</vt:i4>
      </vt:variant>
      <vt:variant>
        <vt:i4>0</vt:i4>
      </vt:variant>
      <vt:variant>
        <vt:i4>5</vt:i4>
      </vt:variant>
      <vt:variant>
        <vt:lpwstr>http://www.mayim.org.il/publications/</vt:lpwstr>
      </vt:variant>
      <vt:variant>
        <vt:lpwstr/>
      </vt:variant>
      <vt:variant>
        <vt:i4>4849751</vt:i4>
      </vt:variant>
      <vt:variant>
        <vt:i4>12</vt:i4>
      </vt:variant>
      <vt:variant>
        <vt:i4>0</vt:i4>
      </vt:variant>
      <vt:variant>
        <vt:i4>5</vt:i4>
      </vt:variant>
      <vt:variant>
        <vt:lpwstr>http://www.mayim.org.il/?parasha=%d7%9e%d7%9b%d7%9e%d7%a0%d7%99-%d7%95%d7%99%d7%a7%d7%a8%d7%90-%d7%a8%d7%91%d7%94-%d7%9c%d7%a4%d7%a8%d7%a9%d7%aa-%d7%9e%d7%a6%d7%95%d7%a8%d7%a21</vt:lpwstr>
      </vt:variant>
      <vt:variant>
        <vt:lpwstr/>
      </vt:variant>
      <vt:variant>
        <vt:i4>4849759</vt:i4>
      </vt:variant>
      <vt:variant>
        <vt:i4>9</vt:i4>
      </vt:variant>
      <vt:variant>
        <vt:i4>0</vt:i4>
      </vt:variant>
      <vt:variant>
        <vt:i4>5</vt:i4>
      </vt:variant>
      <vt:variant>
        <vt:lpwstr>http://www.mayim.org.il/?parasha=%d7%9e%d7%9b%d7%9e%d7%a0%d7%99-%d7%95%d7%99%d7%a7%d7%a8%d7%90-%d7%a8%d7%91%d7%94-%d7%9c%d7%a4%d7%a8%d7%a9%d7%aa-%d7%aa%d7%96%d7%a8%d7%99%d7%a21</vt:lpwstr>
      </vt:variant>
      <vt:variant>
        <vt:lpwstr/>
      </vt:variant>
      <vt:variant>
        <vt:i4>6357051</vt:i4>
      </vt:variant>
      <vt:variant>
        <vt:i4>6</vt:i4>
      </vt:variant>
      <vt:variant>
        <vt:i4>0</vt:i4>
      </vt:variant>
      <vt:variant>
        <vt:i4>5</vt:i4>
      </vt:variant>
      <vt:variant>
        <vt:lpwstr>https://www.mayim.org.il/?parasha=%D7%9E%D7%9B%D7%9E%D7%A0%D7%99-%D7%95%D7%99%D7%A7%D7%A8%D7%90-%D7%A8%D7%91%D7%94-%D7%9C%D7%A4%D7%A8%D7%A9%D7%AA-%D7%A6%D7%95</vt:lpwstr>
      </vt:variant>
      <vt:variant>
        <vt:lpwstr/>
      </vt:variant>
      <vt:variant>
        <vt:i4>1441886</vt:i4>
      </vt:variant>
      <vt:variant>
        <vt:i4>3</vt:i4>
      </vt:variant>
      <vt:variant>
        <vt:i4>0</vt:i4>
      </vt:variant>
      <vt:variant>
        <vt:i4>5</vt:i4>
      </vt:variant>
      <vt:variant>
        <vt:lpwstr>http://www.mayim.org.il/?parasha=%d7%9e%d7%9b%d7%9e%d7%a0%d7%99-%d7%95%d7%99%d7%a7%d7%a8%d7%90-%d7%a8%d7%91%d7%941-%d7%91%d7%a4%d7%a8%d7%a9%d7%aa-%d7%95%d7%99%d7%a7%d7%a8%d7%902</vt:lpwstr>
      </vt:variant>
      <vt:variant>
        <vt:lpwstr/>
      </vt:variant>
      <vt:variant>
        <vt:i4>2555946</vt:i4>
      </vt:variant>
      <vt:variant>
        <vt:i4>0</vt:i4>
      </vt:variant>
      <vt:variant>
        <vt:i4>0</vt:i4>
      </vt:variant>
      <vt:variant>
        <vt:i4>5</vt:i4>
      </vt:variant>
      <vt:variant>
        <vt:lpwstr>http://www.mayim.org.il/publications/%d7%9e%d7%93%d7%a8%d7%a9-%d7%91%d7%a8%d7%90%d7%a9%d7%99%d7%aa-%d7%a8%d7%91%d7%94/</vt:lpwstr>
      </vt:variant>
      <vt:variant>
        <vt:lpwstr/>
      </vt:variant>
      <vt:variant>
        <vt:i4>7995447</vt:i4>
      </vt:variant>
      <vt:variant>
        <vt:i4>33</vt:i4>
      </vt:variant>
      <vt:variant>
        <vt:i4>0</vt:i4>
      </vt:variant>
      <vt:variant>
        <vt:i4>5</vt:i4>
      </vt:variant>
      <vt:variant>
        <vt:lpwstr>https://www.mayim.org.il/?parasha=%D7%A0%D7%97%D7%A9-%D7%90%D7%9C%D7%99%D7%A2%D7%96%D7%A81</vt:lpwstr>
      </vt:variant>
      <vt:variant>
        <vt:lpwstr/>
      </vt:variant>
      <vt:variant>
        <vt:i4>1769551</vt:i4>
      </vt:variant>
      <vt:variant>
        <vt:i4>30</vt:i4>
      </vt:variant>
      <vt:variant>
        <vt:i4>0</vt:i4>
      </vt:variant>
      <vt:variant>
        <vt:i4>5</vt:i4>
      </vt:variant>
      <vt:variant>
        <vt:lpwstr>https://www.mayim.org.il/?parasha=%D7%99%D7%95%D7%A1%D7%A3-%D7%95%D7%90%D7%A9%D7%AA-%D7%A4%D7%95%D7%98%D7%99%D7%A4%D7%A8</vt:lpwstr>
      </vt:variant>
      <vt:variant>
        <vt:lpwstr/>
      </vt:variant>
      <vt:variant>
        <vt:i4>2097256</vt:i4>
      </vt:variant>
      <vt:variant>
        <vt:i4>27</vt:i4>
      </vt:variant>
      <vt:variant>
        <vt:i4>0</vt:i4>
      </vt:variant>
      <vt:variant>
        <vt:i4>5</vt:i4>
      </vt:variant>
      <vt:variant>
        <vt:lpwstr>https://www.mayim.org.il/?parasha=%D7%AA%D7%A0%D7%95-%D7%9C%D7%9B%D7%9D-%D7%9E%D7%95%D7%A4%D7%AA-2</vt:lpwstr>
      </vt:variant>
      <vt:variant>
        <vt:lpwstr/>
      </vt:variant>
      <vt:variant>
        <vt:i4>7536684</vt:i4>
      </vt:variant>
      <vt:variant>
        <vt:i4>24</vt:i4>
      </vt:variant>
      <vt:variant>
        <vt:i4>0</vt:i4>
      </vt:variant>
      <vt:variant>
        <vt:i4>5</vt:i4>
      </vt:variant>
      <vt:variant>
        <vt:lpwstr>http://www.mayim.org.il/?parasha=%d7%aa%d7%a9%d7%9e%d7%a2-%d7%97%d7%9c%d7%95%d7%9d-%d7%9c%d7%a4%d7%aa%d7%95%d7%a8-%d7%90%d7%95%d7%aa%d7%951</vt:lpwstr>
      </vt:variant>
      <vt:variant>
        <vt:lpwstr/>
      </vt:variant>
      <vt:variant>
        <vt:i4>2424958</vt:i4>
      </vt:variant>
      <vt:variant>
        <vt:i4>21</vt:i4>
      </vt:variant>
      <vt:variant>
        <vt:i4>0</vt:i4>
      </vt:variant>
      <vt:variant>
        <vt:i4>5</vt:i4>
      </vt:variant>
      <vt:variant>
        <vt:lpwstr>http://www.mayim.org.il/?parasha=%d7%91%d7%a0%d7%99-%d7%a7%d7%98%d7%95%d7%a8%d7%94</vt:lpwstr>
      </vt:variant>
      <vt:variant>
        <vt:lpwstr/>
      </vt:variant>
      <vt:variant>
        <vt:i4>7929978</vt:i4>
      </vt:variant>
      <vt:variant>
        <vt:i4>18</vt:i4>
      </vt:variant>
      <vt:variant>
        <vt:i4>0</vt:i4>
      </vt:variant>
      <vt:variant>
        <vt:i4>5</vt:i4>
      </vt:variant>
      <vt:variant>
        <vt:lpwstr>http://www.mayim.org.il/?parasha=%d7%94%d7%a7%d7%95%d7%9c%d7%a8-%d7%aa%d7%9c%d7%95%d7%99-%d7%91%d7%a6%d7%95%d7%95%d7%90%d7%a8-%d7%9b%d7%95%d7%9c%d7%9d</vt:lpwstr>
      </vt:variant>
      <vt:variant>
        <vt:lpwstr/>
      </vt:variant>
      <vt:variant>
        <vt:i4>2031705</vt:i4>
      </vt:variant>
      <vt:variant>
        <vt:i4>15</vt:i4>
      </vt:variant>
      <vt:variant>
        <vt:i4>0</vt:i4>
      </vt:variant>
      <vt:variant>
        <vt:i4>5</vt:i4>
      </vt:variant>
      <vt:variant>
        <vt:lpwstr>https://www.mayim.org.il/?parasha=%D7%94%D7%9E%D7%AA%D7%97%D7%99%D7%9C-%D7%91%D7%9E%D7%A6%D7%95%D7%95%D7%94-%D7%94%D7%95%D7%90-%D7%92%D7%95%D7%9E%D7%A8%D7%94</vt:lpwstr>
      </vt:variant>
      <vt:variant>
        <vt:lpwstr/>
      </vt:variant>
      <vt:variant>
        <vt:i4>7274599</vt:i4>
      </vt:variant>
      <vt:variant>
        <vt:i4>12</vt:i4>
      </vt:variant>
      <vt:variant>
        <vt:i4>0</vt:i4>
      </vt:variant>
      <vt:variant>
        <vt:i4>5</vt:i4>
      </vt:variant>
      <vt:variant>
        <vt:lpwstr>https://www.mayim.org.il/?parasha=%D7%9E%D7%A2%D7%A9%D7%94-%D7%99%D7%94%D7%95%D7%93%D7%94-%D7%95%D7%AA%D7%9E%D7%A8-%D7%A0%D7%A7%D7%A8%D7%90-%D7%95%D7%9E%D6%B4%D7%AA%D6%BC%D6%B7%D7%A8%D6%B0%D7%92%D6%B5%D7%9D1</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7274535</vt:i4>
      </vt:variant>
      <vt:variant>
        <vt:i4>6</vt:i4>
      </vt:variant>
      <vt:variant>
        <vt:i4>0</vt:i4>
      </vt:variant>
      <vt:variant>
        <vt:i4>5</vt:i4>
      </vt:variant>
      <vt:variant>
        <vt:lpwstr>https://www.mayim.org.il/?parasha=%D7%AA%D7%95%D6%B9%D7%9B%D7%95%D6%B9-%D7%9B%D6%BC%D6%B0%D7%91%D6%B8%D7%A8%D7%95%D6%B9</vt:lpwstr>
      </vt:variant>
      <vt:variant>
        <vt:lpwstr/>
      </vt:variant>
      <vt:variant>
        <vt:i4>393229</vt:i4>
      </vt:variant>
      <vt:variant>
        <vt:i4>3</vt:i4>
      </vt:variant>
      <vt:variant>
        <vt:i4>0</vt:i4>
      </vt:variant>
      <vt:variant>
        <vt:i4>5</vt:i4>
      </vt:variant>
      <vt:variant>
        <vt:lpwstr>http://www.mayim.org.il/?parasha=%d7%91%d7%99%d7%a7%d7%a9-%d7%99%d7%a2%d7%a7%d7%91-%d7%9c%d7%99%d7%a9%d7%91-%d7%91%d7%a9%d7%9c%d7%95%d7%95%d7%94</vt:lpwstr>
      </vt:variant>
      <vt:variant>
        <vt:lpwstr/>
      </vt:variant>
      <vt:variant>
        <vt:i4>2883684</vt:i4>
      </vt:variant>
      <vt:variant>
        <vt:i4>0</vt:i4>
      </vt:variant>
      <vt:variant>
        <vt:i4>0</vt:i4>
      </vt:variant>
      <vt:variant>
        <vt:i4>5</vt:i4>
      </vt:variant>
      <vt:variant>
        <vt:lpwstr>https://www.mayim.org.il/?parasha=%D7%90%D7%A0%D7%98%D7%95%D7%A0%D7%99%D7%A0%D7%95%D7%A1-%D7%95%D7%A8%D7%91%D7%991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cp:lastModifiedBy>שמעון אפק</cp:lastModifiedBy>
  <cp:revision>2</cp:revision>
  <cp:lastPrinted>2011-12-16T07:43:00Z</cp:lastPrinted>
  <dcterms:created xsi:type="dcterms:W3CDTF">2018-11-26T14:44:00Z</dcterms:created>
  <dcterms:modified xsi:type="dcterms:W3CDTF">2018-11-26T14:44:00Z</dcterms:modified>
</cp:coreProperties>
</file>