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E5CD2" w:rsidRDefault="00DE5CD2">
      <w:pPr>
        <w:pStyle w:val="aa"/>
        <w:outlineLvl w:val="0"/>
        <w:rPr>
          <w:rFonts w:hint="cs"/>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לע</w:t>
      </w:r>
      <w:r w:rsidR="001A28BD">
        <w:rPr>
          <w:rFonts w:hint="cs"/>
          <w:szCs w:val="36"/>
          <w:rtl/>
        </w:rPr>
        <w:t>ו</w:t>
      </w:r>
      <w:r>
        <w:rPr>
          <w:szCs w:val="36"/>
          <w:rtl/>
        </w:rPr>
        <w:t>בדה ולשומרה</w:t>
      </w:r>
      <w:r>
        <w:rPr>
          <w:szCs w:val="36"/>
          <w:rtl/>
        </w:rPr>
        <w:fldChar w:fldCharType="end"/>
      </w:r>
    </w:p>
    <w:p w:rsidR="009521B2" w:rsidRDefault="009521B2" w:rsidP="001A28BD">
      <w:pPr>
        <w:pStyle w:val="ac"/>
        <w:spacing w:before="240"/>
        <w:rPr>
          <w:rtl/>
          <w:lang w:eastAsia="en-US"/>
        </w:rPr>
      </w:pPr>
      <w:r w:rsidRPr="009521B2">
        <w:rPr>
          <w:rFonts w:hint="eastAsia"/>
          <w:b/>
          <w:bCs/>
          <w:rtl/>
          <w:lang w:eastAsia="en-US"/>
        </w:rPr>
        <w:t>וַיִּקַּח</w:t>
      </w:r>
      <w:r w:rsidRPr="009521B2">
        <w:rPr>
          <w:b/>
          <w:bCs/>
          <w:rtl/>
          <w:lang w:eastAsia="en-US"/>
        </w:rPr>
        <w:t xml:space="preserve"> </w:t>
      </w:r>
      <w:r w:rsidRPr="009521B2">
        <w:rPr>
          <w:rFonts w:hint="cs"/>
          <w:b/>
          <w:bCs/>
          <w:rtl/>
          <w:lang w:eastAsia="en-US"/>
        </w:rPr>
        <w:t>ה'</w:t>
      </w:r>
      <w:r w:rsidRPr="009521B2">
        <w:rPr>
          <w:b/>
          <w:bCs/>
          <w:rtl/>
          <w:lang w:eastAsia="en-US"/>
        </w:rPr>
        <w:t xml:space="preserve"> </w:t>
      </w:r>
      <w:r w:rsidRPr="009521B2">
        <w:rPr>
          <w:rFonts w:hint="eastAsia"/>
          <w:b/>
          <w:bCs/>
          <w:rtl/>
          <w:lang w:eastAsia="en-US"/>
        </w:rPr>
        <w:t>אֱלֹהִים</w:t>
      </w:r>
      <w:r w:rsidRPr="009521B2">
        <w:rPr>
          <w:b/>
          <w:bCs/>
          <w:rtl/>
          <w:lang w:eastAsia="en-US"/>
        </w:rPr>
        <w:t xml:space="preserve"> </w:t>
      </w:r>
      <w:r w:rsidRPr="009521B2">
        <w:rPr>
          <w:rFonts w:hint="eastAsia"/>
          <w:b/>
          <w:bCs/>
          <w:rtl/>
          <w:lang w:eastAsia="en-US"/>
        </w:rPr>
        <w:t>אֶת</w:t>
      </w:r>
      <w:r w:rsidRPr="009521B2">
        <w:rPr>
          <w:b/>
          <w:bCs/>
          <w:rtl/>
          <w:lang w:eastAsia="en-US"/>
        </w:rPr>
        <w:t xml:space="preserve"> </w:t>
      </w:r>
      <w:r w:rsidRPr="009521B2">
        <w:rPr>
          <w:rFonts w:hint="eastAsia"/>
          <w:b/>
          <w:bCs/>
          <w:rtl/>
          <w:lang w:eastAsia="en-US"/>
        </w:rPr>
        <w:t>הָאָדָם</w:t>
      </w:r>
      <w:r w:rsidRPr="009521B2">
        <w:rPr>
          <w:b/>
          <w:bCs/>
          <w:rtl/>
          <w:lang w:eastAsia="en-US"/>
        </w:rPr>
        <w:t xml:space="preserve"> </w:t>
      </w:r>
      <w:r w:rsidRPr="009521B2">
        <w:rPr>
          <w:rFonts w:hint="eastAsia"/>
          <w:b/>
          <w:bCs/>
          <w:rtl/>
          <w:lang w:eastAsia="en-US"/>
        </w:rPr>
        <w:t>וַיַּנִּחֵהוּ</w:t>
      </w:r>
      <w:r w:rsidRPr="009521B2">
        <w:rPr>
          <w:b/>
          <w:bCs/>
          <w:rtl/>
          <w:lang w:eastAsia="en-US"/>
        </w:rPr>
        <w:t xml:space="preserve"> </w:t>
      </w:r>
      <w:r w:rsidRPr="009521B2">
        <w:rPr>
          <w:rFonts w:hint="eastAsia"/>
          <w:b/>
          <w:bCs/>
          <w:rtl/>
          <w:lang w:eastAsia="en-US"/>
        </w:rPr>
        <w:t>בְגַן</w:t>
      </w:r>
      <w:r w:rsidRPr="009521B2">
        <w:rPr>
          <w:b/>
          <w:bCs/>
          <w:rtl/>
          <w:lang w:eastAsia="en-US"/>
        </w:rPr>
        <w:t xml:space="preserve"> </w:t>
      </w:r>
      <w:r w:rsidRPr="009521B2">
        <w:rPr>
          <w:rFonts w:hint="eastAsia"/>
          <w:b/>
          <w:bCs/>
          <w:rtl/>
          <w:lang w:eastAsia="en-US"/>
        </w:rPr>
        <w:t>עֵדֶן</w:t>
      </w:r>
      <w:r w:rsidRPr="009521B2">
        <w:rPr>
          <w:b/>
          <w:bCs/>
          <w:rtl/>
          <w:lang w:eastAsia="en-US"/>
        </w:rPr>
        <w:t xml:space="preserve"> </w:t>
      </w:r>
      <w:r w:rsidRPr="009521B2">
        <w:rPr>
          <w:rFonts w:hint="eastAsia"/>
          <w:b/>
          <w:bCs/>
          <w:rtl/>
          <w:lang w:eastAsia="en-US"/>
        </w:rPr>
        <w:t>לְעָבְדָהּ</w:t>
      </w:r>
      <w:r w:rsidRPr="009521B2">
        <w:rPr>
          <w:b/>
          <w:bCs/>
          <w:rtl/>
          <w:lang w:eastAsia="en-US"/>
        </w:rPr>
        <w:t xml:space="preserve"> </w:t>
      </w:r>
      <w:r w:rsidRPr="009521B2">
        <w:rPr>
          <w:rFonts w:hint="eastAsia"/>
          <w:b/>
          <w:bCs/>
          <w:rtl/>
          <w:lang w:eastAsia="en-US"/>
        </w:rPr>
        <w:t>וּלְשָׁמְרָהּ</w:t>
      </w:r>
      <w:r w:rsidR="001A28BD">
        <w:rPr>
          <w:rFonts w:hint="cs"/>
          <w:b/>
          <w:bCs/>
          <w:rtl/>
          <w:lang w:eastAsia="en-US"/>
        </w:rPr>
        <w:t>:</w:t>
      </w:r>
      <w:r>
        <w:rPr>
          <w:rFonts w:hint="cs"/>
          <w:rtl/>
          <w:lang w:eastAsia="en-US"/>
        </w:rPr>
        <w:t xml:space="preserve"> </w:t>
      </w:r>
      <w:r w:rsidRPr="009521B2">
        <w:rPr>
          <w:rFonts w:cs="Narkisim" w:hint="cs"/>
          <w:szCs w:val="22"/>
          <w:rtl/>
          <w:lang w:eastAsia="en-US"/>
        </w:rPr>
        <w:t>(בראשית ב טו).</w:t>
      </w:r>
      <w:r>
        <w:rPr>
          <w:rStyle w:val="a5"/>
          <w:rtl/>
          <w:lang w:eastAsia="en-US"/>
        </w:rPr>
        <w:footnoteReference w:id="1"/>
      </w:r>
    </w:p>
    <w:p w:rsidR="00DE5CD2" w:rsidRDefault="00DE5CD2">
      <w:pPr>
        <w:pStyle w:val="ab"/>
        <w:outlineLvl w:val="0"/>
        <w:rPr>
          <w:rtl/>
        </w:rPr>
      </w:pPr>
      <w:r>
        <w:rPr>
          <w:rtl/>
        </w:rPr>
        <w:t xml:space="preserve">ספרי דברים פיסקא מא ד"ה ולעבדו </w:t>
      </w:r>
    </w:p>
    <w:p w:rsidR="00DE5CD2" w:rsidRDefault="00DE5CD2" w:rsidP="00A8174B">
      <w:pPr>
        <w:pStyle w:val="ac"/>
        <w:rPr>
          <w:rtl/>
        </w:rPr>
      </w:pPr>
      <w:r>
        <w:rPr>
          <w:rtl/>
        </w:rPr>
        <w:t>"ולעבדו", זה תלמוד. אתה אומר זה תלמוד, או אינו אלא עבודה? הרי הוא אומר: "ויקח ה' אלהים את האדם ויניחהו בגן עדן לעבדה ולשמרה" (בראשית ב טו) - וכי מה עבודה לשעבר ומה שמירה לשעבר? הא למדת</w:t>
      </w:r>
      <w:r w:rsidR="0076739F">
        <w:rPr>
          <w:rFonts w:hint="cs"/>
          <w:rtl/>
        </w:rPr>
        <w:t>:</w:t>
      </w:r>
      <w:r>
        <w:rPr>
          <w:rtl/>
        </w:rPr>
        <w:t xml:space="preserve"> לעבדה </w:t>
      </w:r>
      <w:r w:rsidR="0076739F">
        <w:rPr>
          <w:rFonts w:hint="cs"/>
          <w:rtl/>
        </w:rPr>
        <w:t xml:space="preserve">- </w:t>
      </w:r>
      <w:r>
        <w:rPr>
          <w:rtl/>
        </w:rPr>
        <w:t>זה תלמוד</w:t>
      </w:r>
      <w:r w:rsidR="0076739F">
        <w:rPr>
          <w:rFonts w:hint="cs"/>
          <w:rtl/>
        </w:rPr>
        <w:t>,</w:t>
      </w:r>
      <w:r>
        <w:rPr>
          <w:rtl/>
        </w:rPr>
        <w:t xml:space="preserve"> ולשמרה </w:t>
      </w:r>
      <w:r w:rsidR="0076739F">
        <w:rPr>
          <w:rFonts w:hint="cs"/>
          <w:rtl/>
        </w:rPr>
        <w:t xml:space="preserve">- </w:t>
      </w:r>
      <w:r>
        <w:rPr>
          <w:rtl/>
        </w:rPr>
        <w:t>אלו מצות.</w:t>
      </w:r>
      <w:r w:rsidR="009521B2">
        <w:rPr>
          <w:rStyle w:val="a5"/>
          <w:rtl/>
        </w:rPr>
        <w:footnoteReference w:id="2"/>
      </w:r>
    </w:p>
    <w:p w:rsidR="00DE5CD2" w:rsidRDefault="00DE5CD2" w:rsidP="009521B2">
      <w:pPr>
        <w:pStyle w:val="ab"/>
        <w:outlineLvl w:val="0"/>
        <w:rPr>
          <w:rFonts w:hint="cs"/>
          <w:rtl/>
        </w:rPr>
      </w:pPr>
      <w:r>
        <w:rPr>
          <w:rtl/>
        </w:rPr>
        <w:t xml:space="preserve">בראשית רבה טז </w:t>
      </w:r>
      <w:r w:rsidR="009521B2">
        <w:rPr>
          <w:rFonts w:hint="cs"/>
          <w:rtl/>
        </w:rPr>
        <w:t>ה</w:t>
      </w:r>
      <w:r>
        <w:rPr>
          <w:rtl/>
        </w:rPr>
        <w:t xml:space="preserve"> </w:t>
      </w:r>
    </w:p>
    <w:p w:rsidR="00F27D9A" w:rsidRDefault="00D96FFB" w:rsidP="00F27D9A">
      <w:pPr>
        <w:pStyle w:val="ac"/>
        <w:rPr>
          <w:rFonts w:hint="cs"/>
          <w:rtl/>
        </w:rPr>
      </w:pPr>
      <w:r>
        <w:rPr>
          <w:rFonts w:hint="cs"/>
          <w:rtl/>
          <w:lang w:eastAsia="en-US"/>
        </w:rPr>
        <w:t>"</w:t>
      </w:r>
      <w:r w:rsidR="009521B2">
        <w:rPr>
          <w:rFonts w:hint="eastAsia"/>
          <w:rtl/>
          <w:lang w:eastAsia="en-US"/>
        </w:rPr>
        <w:t>ויניחהו</w:t>
      </w:r>
      <w:r>
        <w:rPr>
          <w:rFonts w:hint="cs"/>
          <w:rtl/>
          <w:lang w:eastAsia="en-US"/>
        </w:rPr>
        <w:t xml:space="preserve"> בגן עדן" - </w:t>
      </w:r>
      <w:r w:rsidR="009521B2">
        <w:rPr>
          <w:rFonts w:hint="eastAsia"/>
          <w:rtl/>
          <w:lang w:eastAsia="en-US"/>
        </w:rPr>
        <w:t>ר</w:t>
      </w:r>
      <w:r w:rsidR="009521B2">
        <w:rPr>
          <w:rtl/>
          <w:lang w:eastAsia="en-US"/>
        </w:rPr>
        <w:t xml:space="preserve">' </w:t>
      </w:r>
      <w:r w:rsidR="009521B2">
        <w:rPr>
          <w:rFonts w:hint="eastAsia"/>
          <w:rtl/>
          <w:lang w:eastAsia="en-US"/>
        </w:rPr>
        <w:t>יודן</w:t>
      </w:r>
      <w:r w:rsidR="009521B2">
        <w:rPr>
          <w:rtl/>
          <w:lang w:eastAsia="en-US"/>
        </w:rPr>
        <w:t xml:space="preserve"> </w:t>
      </w:r>
      <w:r w:rsidR="009521B2">
        <w:rPr>
          <w:rFonts w:hint="eastAsia"/>
          <w:rtl/>
          <w:lang w:eastAsia="en-US"/>
        </w:rPr>
        <w:t>ור</w:t>
      </w:r>
      <w:r w:rsidR="009521B2">
        <w:rPr>
          <w:rtl/>
          <w:lang w:eastAsia="en-US"/>
        </w:rPr>
        <w:t xml:space="preserve">' </w:t>
      </w:r>
      <w:r w:rsidR="009521B2">
        <w:rPr>
          <w:rFonts w:hint="eastAsia"/>
          <w:rtl/>
          <w:lang w:eastAsia="en-US"/>
        </w:rPr>
        <w:t>ברכיה</w:t>
      </w:r>
      <w:r>
        <w:rPr>
          <w:rFonts w:hint="cs"/>
          <w:rtl/>
          <w:lang w:eastAsia="en-US"/>
        </w:rPr>
        <w:t>.</w:t>
      </w:r>
      <w:r w:rsidR="009521B2">
        <w:rPr>
          <w:rtl/>
          <w:lang w:eastAsia="en-US"/>
        </w:rPr>
        <w:t xml:space="preserve"> </w:t>
      </w:r>
      <w:r w:rsidR="009521B2">
        <w:rPr>
          <w:rFonts w:hint="eastAsia"/>
          <w:rtl/>
          <w:lang w:eastAsia="en-US"/>
        </w:rPr>
        <w:t>רבי</w:t>
      </w:r>
      <w:r w:rsidR="009521B2">
        <w:rPr>
          <w:rtl/>
          <w:lang w:eastAsia="en-US"/>
        </w:rPr>
        <w:t xml:space="preserve"> </w:t>
      </w:r>
      <w:r w:rsidR="009521B2">
        <w:rPr>
          <w:rFonts w:hint="eastAsia"/>
          <w:rtl/>
          <w:lang w:eastAsia="en-US"/>
        </w:rPr>
        <w:t>יודן</w:t>
      </w:r>
      <w:r w:rsidR="009521B2">
        <w:rPr>
          <w:rtl/>
          <w:lang w:eastAsia="en-US"/>
        </w:rPr>
        <w:t xml:space="preserve"> </w:t>
      </w:r>
      <w:r w:rsidR="009521B2">
        <w:rPr>
          <w:rFonts w:hint="eastAsia"/>
          <w:rtl/>
          <w:lang w:eastAsia="en-US"/>
        </w:rPr>
        <w:t>אמר</w:t>
      </w:r>
      <w:r>
        <w:rPr>
          <w:rFonts w:hint="cs"/>
          <w:rtl/>
          <w:lang w:eastAsia="en-US"/>
        </w:rPr>
        <w:t>:</w:t>
      </w:r>
      <w:r w:rsidR="009521B2">
        <w:rPr>
          <w:rtl/>
          <w:lang w:eastAsia="en-US"/>
        </w:rPr>
        <w:t xml:space="preserve"> </w:t>
      </w:r>
      <w:r w:rsidR="009521B2">
        <w:rPr>
          <w:rFonts w:hint="eastAsia"/>
          <w:rtl/>
          <w:lang w:eastAsia="en-US"/>
        </w:rPr>
        <w:t>הניח</w:t>
      </w:r>
      <w:r w:rsidR="009521B2">
        <w:rPr>
          <w:rtl/>
          <w:lang w:eastAsia="en-US"/>
        </w:rPr>
        <w:t xml:space="preserve"> </w:t>
      </w:r>
      <w:r w:rsidR="009521B2">
        <w:rPr>
          <w:rFonts w:hint="eastAsia"/>
          <w:rtl/>
          <w:lang w:eastAsia="en-US"/>
        </w:rPr>
        <w:t>לו</w:t>
      </w:r>
      <w:r w:rsidR="009521B2">
        <w:rPr>
          <w:rtl/>
          <w:lang w:eastAsia="en-US"/>
        </w:rPr>
        <w:t xml:space="preserve"> </w:t>
      </w:r>
      <w:r w:rsidR="009521B2">
        <w:rPr>
          <w:rFonts w:hint="eastAsia"/>
          <w:rtl/>
          <w:lang w:eastAsia="en-US"/>
        </w:rPr>
        <w:t>והגן</w:t>
      </w:r>
      <w:r w:rsidR="009521B2">
        <w:rPr>
          <w:rtl/>
          <w:lang w:eastAsia="en-US"/>
        </w:rPr>
        <w:t xml:space="preserve"> </w:t>
      </w:r>
      <w:r w:rsidR="009521B2">
        <w:rPr>
          <w:rFonts w:hint="eastAsia"/>
          <w:rtl/>
          <w:lang w:eastAsia="en-US"/>
        </w:rPr>
        <w:t>עליו</w:t>
      </w:r>
      <w:r w:rsidR="009521B2">
        <w:rPr>
          <w:rtl/>
          <w:lang w:eastAsia="en-US"/>
        </w:rPr>
        <w:t xml:space="preserve"> </w:t>
      </w:r>
      <w:r w:rsidR="009521B2">
        <w:rPr>
          <w:rFonts w:hint="eastAsia"/>
          <w:rtl/>
          <w:lang w:eastAsia="en-US"/>
        </w:rPr>
        <w:t>ועדנו</w:t>
      </w:r>
      <w:r w:rsidR="009521B2">
        <w:rPr>
          <w:rtl/>
          <w:lang w:eastAsia="en-US"/>
        </w:rPr>
        <w:t xml:space="preserve"> </w:t>
      </w:r>
      <w:r w:rsidR="009521B2">
        <w:rPr>
          <w:rFonts w:hint="eastAsia"/>
          <w:rtl/>
          <w:lang w:eastAsia="en-US"/>
        </w:rPr>
        <w:t>מכל</w:t>
      </w:r>
      <w:r w:rsidR="009521B2">
        <w:rPr>
          <w:rtl/>
          <w:lang w:eastAsia="en-US"/>
        </w:rPr>
        <w:t xml:space="preserve"> </w:t>
      </w:r>
      <w:r w:rsidR="009521B2">
        <w:rPr>
          <w:rFonts w:hint="eastAsia"/>
          <w:rtl/>
          <w:lang w:eastAsia="en-US"/>
        </w:rPr>
        <w:t>אילני</w:t>
      </w:r>
      <w:r w:rsidR="009521B2">
        <w:rPr>
          <w:rtl/>
          <w:lang w:eastAsia="en-US"/>
        </w:rPr>
        <w:t xml:space="preserve"> </w:t>
      </w:r>
      <w:r w:rsidR="009521B2">
        <w:rPr>
          <w:rFonts w:hint="eastAsia"/>
          <w:rtl/>
          <w:lang w:eastAsia="en-US"/>
        </w:rPr>
        <w:t>גן</w:t>
      </w:r>
      <w:r w:rsidR="009521B2">
        <w:rPr>
          <w:rtl/>
          <w:lang w:eastAsia="en-US"/>
        </w:rPr>
        <w:t xml:space="preserve"> </w:t>
      </w:r>
      <w:r w:rsidR="009521B2">
        <w:rPr>
          <w:rFonts w:hint="eastAsia"/>
          <w:rtl/>
          <w:lang w:eastAsia="en-US"/>
        </w:rPr>
        <w:t>עדן</w:t>
      </w:r>
      <w:r>
        <w:rPr>
          <w:rFonts w:hint="cs"/>
          <w:rtl/>
          <w:lang w:eastAsia="en-US"/>
        </w:rPr>
        <w:t>.</w:t>
      </w:r>
      <w:r w:rsidR="009521B2">
        <w:rPr>
          <w:rtl/>
          <w:lang w:eastAsia="en-US"/>
        </w:rPr>
        <w:t xml:space="preserve"> </w:t>
      </w:r>
      <w:r w:rsidR="009521B2">
        <w:rPr>
          <w:rFonts w:hint="eastAsia"/>
          <w:rtl/>
          <w:lang w:eastAsia="en-US"/>
        </w:rPr>
        <w:t>רבי</w:t>
      </w:r>
      <w:r w:rsidR="009521B2">
        <w:rPr>
          <w:rtl/>
          <w:lang w:eastAsia="en-US"/>
        </w:rPr>
        <w:t xml:space="preserve"> </w:t>
      </w:r>
      <w:r w:rsidR="009521B2">
        <w:rPr>
          <w:rFonts w:hint="eastAsia"/>
          <w:rtl/>
          <w:lang w:eastAsia="en-US"/>
        </w:rPr>
        <w:t>ברכיה</w:t>
      </w:r>
      <w:r w:rsidR="009521B2">
        <w:rPr>
          <w:rtl/>
          <w:lang w:eastAsia="en-US"/>
        </w:rPr>
        <w:t xml:space="preserve"> </w:t>
      </w:r>
      <w:r w:rsidR="009521B2">
        <w:rPr>
          <w:rFonts w:hint="eastAsia"/>
          <w:rtl/>
          <w:lang w:eastAsia="en-US"/>
        </w:rPr>
        <w:t>אמר</w:t>
      </w:r>
      <w:r>
        <w:rPr>
          <w:rFonts w:hint="cs"/>
          <w:rtl/>
          <w:lang w:eastAsia="en-US"/>
        </w:rPr>
        <w:t>:</w:t>
      </w:r>
      <w:r w:rsidR="009521B2">
        <w:rPr>
          <w:rtl/>
          <w:lang w:eastAsia="en-US"/>
        </w:rPr>
        <w:t xml:space="preserve"> </w:t>
      </w:r>
      <w:r w:rsidR="009521B2">
        <w:rPr>
          <w:rFonts w:hint="eastAsia"/>
          <w:rtl/>
          <w:lang w:eastAsia="en-US"/>
        </w:rPr>
        <w:t>להניחו</w:t>
      </w:r>
      <w:r w:rsidR="009521B2">
        <w:rPr>
          <w:rtl/>
          <w:lang w:eastAsia="en-US"/>
        </w:rPr>
        <w:t xml:space="preserve"> </w:t>
      </w:r>
      <w:r w:rsidR="009521B2">
        <w:rPr>
          <w:rFonts w:hint="eastAsia"/>
          <w:rtl/>
          <w:lang w:eastAsia="en-US"/>
        </w:rPr>
        <w:t>ולהגן</w:t>
      </w:r>
      <w:r w:rsidR="009521B2">
        <w:rPr>
          <w:rtl/>
          <w:lang w:eastAsia="en-US"/>
        </w:rPr>
        <w:t xml:space="preserve"> </w:t>
      </w:r>
      <w:r w:rsidR="009521B2" w:rsidRPr="00D96FFB">
        <w:rPr>
          <w:rFonts w:hint="eastAsia"/>
          <w:rtl/>
          <w:lang w:eastAsia="en-US"/>
        </w:rPr>
        <w:t>עליו</w:t>
      </w:r>
      <w:r w:rsidR="009521B2" w:rsidRPr="00D96FFB">
        <w:rPr>
          <w:rtl/>
          <w:lang w:eastAsia="en-US"/>
        </w:rPr>
        <w:t xml:space="preserve"> </w:t>
      </w:r>
      <w:r w:rsidR="009521B2" w:rsidRPr="00D96FFB">
        <w:rPr>
          <w:rFonts w:hint="eastAsia"/>
          <w:rtl/>
          <w:lang w:eastAsia="en-US"/>
        </w:rPr>
        <w:t>ולעדנו</w:t>
      </w:r>
      <w:r w:rsidR="009521B2">
        <w:rPr>
          <w:rtl/>
          <w:lang w:eastAsia="en-US"/>
        </w:rPr>
        <w:t xml:space="preserve"> </w:t>
      </w:r>
      <w:r w:rsidR="009521B2">
        <w:rPr>
          <w:rFonts w:hint="eastAsia"/>
          <w:rtl/>
          <w:lang w:eastAsia="en-US"/>
        </w:rPr>
        <w:t>מכל</w:t>
      </w:r>
      <w:r w:rsidR="009521B2">
        <w:rPr>
          <w:rtl/>
          <w:lang w:eastAsia="en-US"/>
        </w:rPr>
        <w:t xml:space="preserve"> </w:t>
      </w:r>
      <w:r w:rsidR="009521B2">
        <w:rPr>
          <w:rFonts w:hint="eastAsia"/>
          <w:rtl/>
          <w:lang w:eastAsia="en-US"/>
        </w:rPr>
        <w:t>אילני</w:t>
      </w:r>
      <w:r w:rsidR="009521B2">
        <w:rPr>
          <w:rtl/>
          <w:lang w:eastAsia="en-US"/>
        </w:rPr>
        <w:t xml:space="preserve"> </w:t>
      </w:r>
      <w:r w:rsidR="009521B2">
        <w:rPr>
          <w:rFonts w:hint="eastAsia"/>
          <w:rtl/>
          <w:lang w:eastAsia="en-US"/>
        </w:rPr>
        <w:t>גן</w:t>
      </w:r>
      <w:r w:rsidR="009521B2">
        <w:rPr>
          <w:rtl/>
          <w:lang w:eastAsia="en-US"/>
        </w:rPr>
        <w:t xml:space="preserve"> </w:t>
      </w:r>
      <w:r w:rsidR="009521B2">
        <w:rPr>
          <w:rFonts w:hint="eastAsia"/>
          <w:rtl/>
          <w:lang w:eastAsia="en-US"/>
        </w:rPr>
        <w:t>עדן</w:t>
      </w:r>
      <w:r>
        <w:rPr>
          <w:rFonts w:hint="cs"/>
          <w:rtl/>
          <w:lang w:eastAsia="en-US"/>
        </w:rPr>
        <w:t>. "</w:t>
      </w:r>
      <w:r w:rsidR="009521B2">
        <w:rPr>
          <w:rFonts w:hint="eastAsia"/>
          <w:rtl/>
          <w:lang w:eastAsia="en-US"/>
        </w:rPr>
        <w:t>ויניחהו</w:t>
      </w:r>
      <w:r>
        <w:rPr>
          <w:rFonts w:hint="cs"/>
          <w:rtl/>
          <w:lang w:eastAsia="en-US"/>
        </w:rPr>
        <w:t>" -</w:t>
      </w:r>
      <w:r w:rsidR="009521B2">
        <w:rPr>
          <w:rtl/>
          <w:lang w:eastAsia="en-US"/>
        </w:rPr>
        <w:t xml:space="preserve"> </w:t>
      </w:r>
      <w:r w:rsidR="009521B2">
        <w:rPr>
          <w:rFonts w:hint="eastAsia"/>
          <w:rtl/>
          <w:lang w:eastAsia="en-US"/>
        </w:rPr>
        <w:t>נתן</w:t>
      </w:r>
      <w:r w:rsidR="009521B2">
        <w:rPr>
          <w:rtl/>
          <w:lang w:eastAsia="en-US"/>
        </w:rPr>
        <w:t xml:space="preserve"> </w:t>
      </w:r>
      <w:r w:rsidR="009521B2">
        <w:rPr>
          <w:rFonts w:hint="eastAsia"/>
          <w:rtl/>
          <w:lang w:eastAsia="en-US"/>
        </w:rPr>
        <w:t>לו</w:t>
      </w:r>
      <w:r w:rsidR="009521B2">
        <w:rPr>
          <w:rtl/>
          <w:lang w:eastAsia="en-US"/>
        </w:rPr>
        <w:t xml:space="preserve"> </w:t>
      </w:r>
      <w:r w:rsidR="009521B2">
        <w:rPr>
          <w:rFonts w:hint="eastAsia"/>
          <w:rtl/>
          <w:lang w:eastAsia="en-US"/>
        </w:rPr>
        <w:t>מצות</w:t>
      </w:r>
      <w:r w:rsidR="009521B2">
        <w:rPr>
          <w:rtl/>
          <w:lang w:eastAsia="en-US"/>
        </w:rPr>
        <w:t xml:space="preserve"> </w:t>
      </w:r>
      <w:r w:rsidR="009521B2">
        <w:rPr>
          <w:rFonts w:hint="eastAsia"/>
          <w:rtl/>
          <w:lang w:eastAsia="en-US"/>
        </w:rPr>
        <w:t>שבת</w:t>
      </w:r>
      <w:r w:rsidR="009521B2">
        <w:rPr>
          <w:rtl/>
          <w:lang w:eastAsia="en-US"/>
        </w:rPr>
        <w:t xml:space="preserve">, </w:t>
      </w:r>
      <w:r w:rsidR="009521B2">
        <w:rPr>
          <w:rFonts w:hint="eastAsia"/>
          <w:rtl/>
          <w:lang w:eastAsia="en-US"/>
        </w:rPr>
        <w:t>כמ</w:t>
      </w:r>
      <w:r>
        <w:rPr>
          <w:rFonts w:hint="cs"/>
          <w:rtl/>
          <w:lang w:eastAsia="en-US"/>
        </w:rPr>
        <w:t>ו שאתה אומר: "</w:t>
      </w:r>
      <w:r w:rsidR="009521B2">
        <w:rPr>
          <w:rFonts w:hint="eastAsia"/>
          <w:rtl/>
          <w:lang w:eastAsia="en-US"/>
        </w:rPr>
        <w:t>וינח</w:t>
      </w:r>
      <w:r w:rsidR="009521B2">
        <w:rPr>
          <w:rtl/>
          <w:lang w:eastAsia="en-US"/>
        </w:rPr>
        <w:t xml:space="preserve"> </w:t>
      </w:r>
      <w:r w:rsidR="009521B2">
        <w:rPr>
          <w:rFonts w:hint="eastAsia"/>
          <w:rtl/>
          <w:lang w:eastAsia="en-US"/>
        </w:rPr>
        <w:t>ביום</w:t>
      </w:r>
      <w:r w:rsidR="009521B2">
        <w:rPr>
          <w:rtl/>
          <w:lang w:eastAsia="en-US"/>
        </w:rPr>
        <w:t xml:space="preserve"> </w:t>
      </w:r>
      <w:r w:rsidR="009521B2">
        <w:rPr>
          <w:rFonts w:hint="eastAsia"/>
          <w:rtl/>
          <w:lang w:eastAsia="en-US"/>
        </w:rPr>
        <w:t>השביעי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כ</w:t>
      </w:r>
      <w:r>
        <w:rPr>
          <w:rFonts w:hint="cs"/>
          <w:rtl/>
          <w:lang w:eastAsia="en-US"/>
        </w:rPr>
        <w:t xml:space="preserve"> א</w:t>
      </w:r>
      <w:r>
        <w:rPr>
          <w:rtl/>
          <w:lang w:eastAsia="en-US"/>
        </w:rPr>
        <w:t>)</w:t>
      </w:r>
      <w:r>
        <w:rPr>
          <w:rFonts w:hint="cs"/>
          <w:rtl/>
          <w:lang w:eastAsia="en-US"/>
        </w:rPr>
        <w:t xml:space="preserve">. </w:t>
      </w:r>
      <w:r w:rsidR="00DE5CD2">
        <w:rPr>
          <w:rtl/>
        </w:rPr>
        <w:t>"לעבדה" - ששת ימים תעבוד</w:t>
      </w:r>
      <w:r>
        <w:rPr>
          <w:rFonts w:hint="cs"/>
          <w:rtl/>
        </w:rPr>
        <w:t>,</w:t>
      </w:r>
      <w:r w:rsidR="00DE5CD2">
        <w:rPr>
          <w:rtl/>
        </w:rPr>
        <w:t xml:space="preserve"> "ולשמרה" - שמור את יום השבת לקדשו (דברים ה</w:t>
      </w:r>
      <w:r>
        <w:rPr>
          <w:rFonts w:hint="cs"/>
          <w:rtl/>
        </w:rPr>
        <w:t xml:space="preserve"> יב</w:t>
      </w:r>
      <w:r w:rsidR="00DE5CD2">
        <w:rPr>
          <w:rtl/>
        </w:rPr>
        <w:t>).</w:t>
      </w:r>
      <w:r w:rsidR="00F27D9A">
        <w:rPr>
          <w:rStyle w:val="a5"/>
          <w:rtl/>
        </w:rPr>
        <w:footnoteReference w:id="3"/>
      </w:r>
    </w:p>
    <w:p w:rsidR="00DE5CD2" w:rsidRDefault="00DE5CD2" w:rsidP="00F27D9A">
      <w:pPr>
        <w:pStyle w:val="ac"/>
        <w:rPr>
          <w:rFonts w:hint="cs"/>
          <w:rtl/>
        </w:rPr>
      </w:pPr>
      <w:r>
        <w:rPr>
          <w:rtl/>
        </w:rPr>
        <w:t>דבר אחר</w:t>
      </w:r>
      <w:r w:rsidR="00D96FFB">
        <w:rPr>
          <w:rFonts w:hint="cs"/>
          <w:rtl/>
        </w:rPr>
        <w:t>: "</w:t>
      </w:r>
      <w:r>
        <w:rPr>
          <w:rtl/>
        </w:rPr>
        <w:t>לעבדה ולשמרה</w:t>
      </w:r>
      <w:r w:rsidR="00D96FFB">
        <w:rPr>
          <w:rFonts w:hint="cs"/>
          <w:rtl/>
        </w:rPr>
        <w:t>" -</w:t>
      </w:r>
      <w:r>
        <w:rPr>
          <w:rtl/>
        </w:rPr>
        <w:t xml:space="preserve"> אלו הקרבנות</w:t>
      </w:r>
      <w:r w:rsidR="0040362B">
        <w:rPr>
          <w:rFonts w:hint="cs"/>
          <w:rtl/>
        </w:rPr>
        <w:t>,</w:t>
      </w:r>
      <w:r>
        <w:rPr>
          <w:rtl/>
        </w:rPr>
        <w:t xml:space="preserve"> שנאמר</w:t>
      </w:r>
      <w:r w:rsidR="0040362B">
        <w:rPr>
          <w:rFonts w:hint="cs"/>
          <w:rtl/>
        </w:rPr>
        <w:t>:</w:t>
      </w:r>
      <w:r>
        <w:rPr>
          <w:rtl/>
        </w:rPr>
        <w:t xml:space="preserve"> </w:t>
      </w:r>
      <w:r w:rsidR="0040362B">
        <w:rPr>
          <w:rFonts w:hint="cs"/>
          <w:rtl/>
        </w:rPr>
        <w:t>"</w:t>
      </w:r>
      <w:r>
        <w:rPr>
          <w:rtl/>
        </w:rPr>
        <w:t>תעבדון את האלהים</w:t>
      </w:r>
      <w:r w:rsidR="0040362B">
        <w:rPr>
          <w:rFonts w:hint="cs"/>
          <w:rtl/>
        </w:rPr>
        <w:t xml:space="preserve">" </w:t>
      </w:r>
      <w:r w:rsidR="0040362B">
        <w:rPr>
          <w:rtl/>
        </w:rPr>
        <w:t>(שמות ג)</w:t>
      </w:r>
      <w:r>
        <w:rPr>
          <w:rtl/>
        </w:rPr>
        <w:t>, וכתיב</w:t>
      </w:r>
      <w:r w:rsidR="0040362B">
        <w:rPr>
          <w:rFonts w:hint="cs"/>
          <w:rtl/>
        </w:rPr>
        <w:t>:</w:t>
      </w:r>
      <w:r>
        <w:rPr>
          <w:rtl/>
        </w:rPr>
        <w:t xml:space="preserve"> </w:t>
      </w:r>
      <w:r w:rsidR="0040362B">
        <w:rPr>
          <w:rFonts w:hint="cs"/>
          <w:rtl/>
        </w:rPr>
        <w:t>"</w:t>
      </w:r>
      <w:r>
        <w:rPr>
          <w:rtl/>
        </w:rPr>
        <w:t>תשמרו להקריב לי במועדו</w:t>
      </w:r>
      <w:r w:rsidR="0040362B">
        <w:rPr>
          <w:rFonts w:hint="cs"/>
          <w:rtl/>
        </w:rPr>
        <w:t xml:space="preserve">" </w:t>
      </w:r>
      <w:r w:rsidR="0040362B">
        <w:rPr>
          <w:rtl/>
        </w:rPr>
        <w:t>(במדבר כח)</w:t>
      </w:r>
      <w:r>
        <w:rPr>
          <w:rFonts w:hint="cs"/>
          <w:rtl/>
        </w:rPr>
        <w:t>.</w:t>
      </w:r>
      <w:r w:rsidR="00F27D9A">
        <w:rPr>
          <w:rStyle w:val="a5"/>
          <w:rtl/>
        </w:rPr>
        <w:footnoteReference w:id="4"/>
      </w:r>
    </w:p>
    <w:p w:rsidR="00DE5CD2" w:rsidRDefault="00DE5CD2">
      <w:pPr>
        <w:pStyle w:val="ab"/>
        <w:outlineLvl w:val="0"/>
        <w:rPr>
          <w:rtl/>
        </w:rPr>
      </w:pPr>
      <w:r>
        <w:rPr>
          <w:rtl/>
        </w:rPr>
        <w:t>אבן עזרא בראשית פרק ב פסוק טו</w:t>
      </w:r>
    </w:p>
    <w:p w:rsidR="00DE5CD2" w:rsidRDefault="00DE5CD2" w:rsidP="00D96FFB">
      <w:pPr>
        <w:pStyle w:val="ac"/>
        <w:rPr>
          <w:rtl/>
        </w:rPr>
      </w:pPr>
      <w:r>
        <w:rPr>
          <w:rtl/>
        </w:rPr>
        <w:t>והאומרים כי לעבדה ולשמרה שב אל האדמה,</w:t>
      </w:r>
      <w:r w:rsidR="00F71F3B">
        <w:rPr>
          <w:rStyle w:val="a5"/>
          <w:rtl/>
        </w:rPr>
        <w:footnoteReference w:id="5"/>
      </w:r>
      <w:r>
        <w:rPr>
          <w:rtl/>
        </w:rPr>
        <w:t xml:space="preserve"> איך יתכן לעבוד ולשמור מקום גדול ממקום קטן? ואחר שחטא והוציאו לעבוד את האדמה, וכבר היה עובד האדמה! רק פירוש "לעבדה" - על הגן שמפריו יאכל, ואחר שחטא שב לאכול את עשב השדה, והוא הלחם. וטעם "לעבדה" - להשקות הגן. "ולשמרה" - מכל החיות שלא יכנסו שם ויטנפוהו.</w:t>
      </w:r>
      <w:r w:rsidR="00D96FFB">
        <w:rPr>
          <w:rStyle w:val="a5"/>
          <w:rtl/>
        </w:rPr>
        <w:footnoteReference w:id="6"/>
      </w:r>
    </w:p>
    <w:p w:rsidR="00DE5CD2" w:rsidRDefault="00DE5CD2">
      <w:pPr>
        <w:pStyle w:val="ab"/>
        <w:outlineLvl w:val="0"/>
        <w:rPr>
          <w:rtl/>
        </w:rPr>
      </w:pPr>
      <w:r>
        <w:rPr>
          <w:rtl/>
        </w:rPr>
        <w:lastRenderedPageBreak/>
        <w:t>רמב"ן בראשית פרק ב פסוק ח</w:t>
      </w:r>
    </w:p>
    <w:p w:rsidR="00DE5CD2" w:rsidRDefault="00DE5CD2" w:rsidP="00705117">
      <w:pPr>
        <w:pStyle w:val="ac"/>
        <w:rPr>
          <w:rFonts w:hint="cs"/>
          <w:rtl/>
        </w:rPr>
      </w:pPr>
      <w:r>
        <w:rPr>
          <w:rtl/>
        </w:rPr>
        <w:t>והנה אילני גן עדן גזר בהם לעשות ענף ולשאת פרי לעד לעולם, לא יזקין בארץ ש</w:t>
      </w:r>
      <w:r w:rsidR="00DB4B50">
        <w:rPr>
          <w:rFonts w:hint="cs"/>
          <w:rtl/>
        </w:rPr>
        <w:t>ו</w:t>
      </w:r>
      <w:r>
        <w:rPr>
          <w:rtl/>
        </w:rPr>
        <w:t>רשם, ובעפר לא ימות גזעם,</w:t>
      </w:r>
      <w:r w:rsidR="003D0ED1">
        <w:rPr>
          <w:rStyle w:val="a5"/>
          <w:rtl/>
        </w:rPr>
        <w:footnoteReference w:id="7"/>
      </w:r>
      <w:r>
        <w:rPr>
          <w:rtl/>
        </w:rPr>
        <w:t xml:space="preserve"> אין צריכין לעובד וזומר</w:t>
      </w:r>
      <w:r w:rsidR="003D0ED1">
        <w:rPr>
          <w:rFonts w:hint="cs"/>
          <w:rtl/>
        </w:rPr>
        <w:t>.</w:t>
      </w:r>
      <w:r>
        <w:rPr>
          <w:rtl/>
        </w:rPr>
        <w:t xml:space="preserve"> שאילו היו צריכין עבודה, אחרי שגורש האדם משם מי עבד אותם</w:t>
      </w:r>
      <w:r w:rsidR="002C7E4E">
        <w:rPr>
          <w:rFonts w:hint="cs"/>
          <w:rtl/>
        </w:rPr>
        <w:t>?</w:t>
      </w:r>
      <w:r w:rsidR="00F71F3B">
        <w:rPr>
          <w:rStyle w:val="a5"/>
          <w:rtl/>
        </w:rPr>
        <w:footnoteReference w:id="8"/>
      </w:r>
      <w:r>
        <w:rPr>
          <w:rtl/>
        </w:rPr>
        <w:t xml:space="preserve"> גם זה טעם "ויטע ה' אלהים", שהיו מטעיו מעשה ידיו וקיימים לעולמים ... אם כן מה טעם "ויניחהו בגן עדן לעבדה ולשמרה"? שהניחו שם להיות זורע לו חטים ומיני תבואות וכל עשב זורע זרע וערוגות הבשמים, וקוצר ותולש ואוכל כרצונו</w:t>
      </w:r>
      <w:r w:rsidR="00705117">
        <w:rPr>
          <w:rFonts w:hint="cs"/>
          <w:rtl/>
        </w:rPr>
        <w:t>.</w:t>
      </w:r>
      <w:r>
        <w:rPr>
          <w:rtl/>
        </w:rPr>
        <w:t xml:space="preserve"> וזה טעם "לעבדה ולשמרה"</w:t>
      </w:r>
      <w:r w:rsidR="00705117">
        <w:rPr>
          <w:rFonts w:hint="cs"/>
          <w:rtl/>
        </w:rPr>
        <w:t xml:space="preserve"> -</w:t>
      </w:r>
      <w:r>
        <w:rPr>
          <w:rtl/>
        </w:rPr>
        <w:t xml:space="preserve"> לעבוד אדמת הגן הערוגות שיעשה שם, כי הגן שהם האילנות לא יעבדו.</w:t>
      </w:r>
      <w:r>
        <w:rPr>
          <w:rStyle w:val="a5"/>
          <w:rtl/>
        </w:rPr>
        <w:footnoteReference w:id="9"/>
      </w:r>
    </w:p>
    <w:p w:rsidR="007728FF" w:rsidRDefault="007728FF" w:rsidP="00FB3D06">
      <w:pPr>
        <w:pStyle w:val="ac"/>
        <w:rPr>
          <w:rtl/>
        </w:rPr>
      </w:pPr>
      <w:r>
        <w:rPr>
          <w:rtl/>
        </w:rPr>
        <w:t>ורבותינו נתעוררו בזה, אמרו בבראשית רבה (טז ה) לעבדה ולשמרה, אלו הקרבנות</w:t>
      </w:r>
      <w:r>
        <w:rPr>
          <w:rFonts w:hint="cs"/>
          <w:rtl/>
        </w:rPr>
        <w:t xml:space="preserve"> ...</w:t>
      </w:r>
      <w:r>
        <w:rPr>
          <w:rtl/>
        </w:rPr>
        <w:t xml:space="preserve"> והכונה להם בזה לומר כי הצמחים וכל בעלי חיים צריכים לכוחות הראשונות [ס"א העליונות] ומהם יב</w:t>
      </w:r>
      <w:r w:rsidR="0076739F">
        <w:rPr>
          <w:rFonts w:hint="cs"/>
          <w:rtl/>
        </w:rPr>
        <w:t>ו</w:t>
      </w:r>
      <w:r>
        <w:rPr>
          <w:rtl/>
        </w:rPr>
        <w:t>א להם הגידול, ובקרבנות יהיה משך הברכה לעליונים ומהם לצמחי גן עדן, ומהם יהיו ויחיו לעולם בגשמי רצון וברכה שיגדלו בה, כמו שאמרו (ב"ר טו א) ישבעו עצי ה' ארזי לבנון אשר נטע (תהלים קד טז)</w:t>
      </w:r>
      <w:r>
        <w:rPr>
          <w:rFonts w:hint="cs"/>
          <w:rtl/>
        </w:rPr>
        <w:t>.</w:t>
      </w:r>
      <w:r w:rsidR="00FB3D06">
        <w:rPr>
          <w:rStyle w:val="a5"/>
          <w:rtl/>
        </w:rPr>
        <w:footnoteReference w:id="10"/>
      </w:r>
    </w:p>
    <w:p w:rsidR="00DE5CD2" w:rsidRDefault="00DE5CD2">
      <w:pPr>
        <w:pStyle w:val="ab"/>
        <w:outlineLvl w:val="0"/>
        <w:rPr>
          <w:rtl/>
        </w:rPr>
      </w:pPr>
      <w:r>
        <w:rPr>
          <w:rtl/>
        </w:rPr>
        <w:t xml:space="preserve">אבות דרבי נתן נוסחא ב פרק כא </w:t>
      </w:r>
    </w:p>
    <w:p w:rsidR="00DE5CD2" w:rsidRDefault="00DE5CD2" w:rsidP="00A8174B">
      <w:pPr>
        <w:pStyle w:val="ac"/>
        <w:rPr>
          <w:rtl/>
        </w:rPr>
      </w:pPr>
      <w:r>
        <w:rPr>
          <w:rtl/>
        </w:rPr>
        <w:t>"אהוב את המלאכה" - חייב אדם להיות אוהב את המלאכה ועוסק במלאכה. והלא דברים קל וחומר. ומה אם הקב"ה שלו עולם ומלואו לא ברא אותו אלא בדבר, שנאמר: "בדבר ה' שמים נעשו" (תהלים לג ו), והוא כתיב שעשה מלאכה, שנאמר: "מכל מלאכתו אשר עשה" (בראשית ב ב), בני אדם על אחת כמה וכמה.</w:t>
      </w:r>
      <w:r>
        <w:rPr>
          <w:rStyle w:val="a5"/>
          <w:rtl/>
        </w:rPr>
        <w:footnoteReference w:id="11"/>
      </w:r>
    </w:p>
    <w:p w:rsidR="00DE5CD2" w:rsidRDefault="00DE5CD2" w:rsidP="00FB3D06">
      <w:pPr>
        <w:pStyle w:val="ac"/>
        <w:rPr>
          <w:rFonts w:hint="cs"/>
          <w:rtl/>
        </w:rPr>
      </w:pPr>
      <w:r>
        <w:rPr>
          <w:rtl/>
        </w:rPr>
        <w:t>רבי אליעזר אומר: גדולה היא מלאכה שאפילו אדם הראשון לא טעם כלום אלא עד שעשה מלאכה, שנאמר</w:t>
      </w:r>
      <w:r w:rsidR="002C7E4E">
        <w:rPr>
          <w:rFonts w:hint="cs"/>
          <w:rtl/>
        </w:rPr>
        <w:t>:</w:t>
      </w:r>
      <w:r>
        <w:rPr>
          <w:rtl/>
        </w:rPr>
        <w:t xml:space="preserve"> "ויניחהו בגן עדן לעבדה ולשמרה" (שם שם ט"ו). וכי עבודה היה צריך? או שמירה היה צריך? אלא לעמוד על דבריו</w:t>
      </w:r>
      <w:r w:rsidR="002C7E4E">
        <w:rPr>
          <w:rFonts w:hint="cs"/>
          <w:rtl/>
        </w:rPr>
        <w:t>,</w:t>
      </w:r>
      <w:r>
        <w:rPr>
          <w:rtl/>
        </w:rPr>
        <w:t xml:space="preserve"> שנאמר</w:t>
      </w:r>
      <w:r w:rsidR="002C7E4E">
        <w:rPr>
          <w:rFonts w:hint="cs"/>
          <w:rtl/>
        </w:rPr>
        <w:t>: "</w:t>
      </w:r>
      <w:r>
        <w:rPr>
          <w:rtl/>
        </w:rPr>
        <w:t>את ה' אלהיך תירא ואותו תעבוד</w:t>
      </w:r>
      <w:r w:rsidR="002C7E4E">
        <w:rPr>
          <w:rFonts w:hint="cs"/>
          <w:rtl/>
        </w:rPr>
        <w:t>"</w:t>
      </w:r>
      <w:r>
        <w:rPr>
          <w:rtl/>
        </w:rPr>
        <w:t xml:space="preserve"> (דברים ו יג) וזהו עבודה</w:t>
      </w:r>
      <w:r w:rsidR="002C7E4E">
        <w:rPr>
          <w:rFonts w:hint="cs"/>
          <w:rtl/>
        </w:rPr>
        <w:t>.</w:t>
      </w:r>
      <w:r>
        <w:rPr>
          <w:rtl/>
        </w:rPr>
        <w:t xml:space="preserve"> וכן הוא אומר</w:t>
      </w:r>
      <w:r w:rsidR="002C7E4E">
        <w:rPr>
          <w:rFonts w:hint="cs"/>
          <w:rtl/>
        </w:rPr>
        <w:t>: "</w:t>
      </w:r>
      <w:r>
        <w:rPr>
          <w:rtl/>
        </w:rPr>
        <w:t>ולמדתם אותם ושמרתם לעשותם</w:t>
      </w:r>
      <w:r w:rsidR="002C7E4E">
        <w:rPr>
          <w:rFonts w:hint="cs"/>
          <w:rtl/>
        </w:rPr>
        <w:t>"</w:t>
      </w:r>
      <w:r>
        <w:rPr>
          <w:rtl/>
        </w:rPr>
        <w:t xml:space="preserve"> (שם ה א) וזהו שמירה</w:t>
      </w:r>
      <w:r w:rsidR="002C7E4E">
        <w:rPr>
          <w:rFonts w:hint="cs"/>
          <w:rtl/>
        </w:rPr>
        <w:t>.</w:t>
      </w:r>
      <w:r>
        <w:rPr>
          <w:rtl/>
        </w:rPr>
        <w:t xml:space="preserve"> ועוד היה רבי אליעזר אומר</w:t>
      </w:r>
      <w:r w:rsidR="002C7E4E">
        <w:rPr>
          <w:rFonts w:hint="cs"/>
          <w:rtl/>
        </w:rPr>
        <w:t>:</w:t>
      </w:r>
      <w:r>
        <w:rPr>
          <w:rtl/>
        </w:rPr>
        <w:t xml:space="preserve"> גדולה היא מלאכה</w:t>
      </w:r>
      <w:r w:rsidR="002C7E4E">
        <w:rPr>
          <w:rFonts w:hint="cs"/>
          <w:rtl/>
        </w:rPr>
        <w:t>,</w:t>
      </w:r>
      <w:r>
        <w:rPr>
          <w:rtl/>
        </w:rPr>
        <w:t xml:space="preserve"> שכשם שנצטוו ישראל על השבת</w:t>
      </w:r>
      <w:r w:rsidR="002C7E4E">
        <w:rPr>
          <w:rFonts w:hint="cs"/>
          <w:rtl/>
        </w:rPr>
        <w:t>,</w:t>
      </w:r>
      <w:r>
        <w:rPr>
          <w:rtl/>
        </w:rPr>
        <w:t xml:space="preserve"> כך נצטוו על המלאכה</w:t>
      </w:r>
      <w:r w:rsidR="002C7E4E">
        <w:rPr>
          <w:rFonts w:hint="cs"/>
          <w:rtl/>
        </w:rPr>
        <w:t>,</w:t>
      </w:r>
      <w:r>
        <w:rPr>
          <w:rtl/>
        </w:rPr>
        <w:t xml:space="preserve"> שנאמר</w:t>
      </w:r>
      <w:r w:rsidR="002C7E4E">
        <w:rPr>
          <w:rFonts w:hint="cs"/>
          <w:rtl/>
        </w:rPr>
        <w:t>: "</w:t>
      </w:r>
      <w:r>
        <w:rPr>
          <w:rtl/>
        </w:rPr>
        <w:t>ששת ימים תעבוד ועשית כל מלאכתך</w:t>
      </w:r>
      <w:r w:rsidR="002C7E4E">
        <w:rPr>
          <w:rFonts w:hint="cs"/>
          <w:rtl/>
        </w:rPr>
        <w:t>"</w:t>
      </w:r>
      <w:r>
        <w:rPr>
          <w:rtl/>
        </w:rPr>
        <w:t xml:space="preserve"> (שמות כ ח)</w:t>
      </w:r>
      <w:r w:rsidR="002C7E4E">
        <w:rPr>
          <w:rFonts w:hint="cs"/>
          <w:rtl/>
        </w:rPr>
        <w:t>.</w:t>
      </w:r>
    </w:p>
    <w:p w:rsidR="00DE5CD2" w:rsidRDefault="00DE5CD2" w:rsidP="002C7E4E">
      <w:pPr>
        <w:pStyle w:val="ac"/>
        <w:rPr>
          <w:rtl/>
        </w:rPr>
      </w:pPr>
      <w:r>
        <w:rPr>
          <w:rtl/>
        </w:rPr>
        <w:t>רבי אומר: גדולה היא מלאכה</w:t>
      </w:r>
      <w:r w:rsidR="002C7E4E">
        <w:rPr>
          <w:rFonts w:hint="cs"/>
          <w:rtl/>
        </w:rPr>
        <w:t>,</w:t>
      </w:r>
      <w:r>
        <w:rPr>
          <w:rtl/>
        </w:rPr>
        <w:t xml:space="preserve"> שכל מי שאינו עוסק במלאכה בני אדם משיחין בו</w:t>
      </w:r>
      <w:r w:rsidR="002C7E4E">
        <w:rPr>
          <w:rFonts w:hint="cs"/>
          <w:rtl/>
        </w:rPr>
        <w:t>:</w:t>
      </w:r>
      <w:r>
        <w:rPr>
          <w:rtl/>
        </w:rPr>
        <w:t xml:space="preserve"> מנין איש פלוני אוכל</w:t>
      </w:r>
      <w:r w:rsidR="002C7E4E">
        <w:rPr>
          <w:rFonts w:hint="cs"/>
          <w:rtl/>
        </w:rPr>
        <w:t>?</w:t>
      </w:r>
      <w:r>
        <w:rPr>
          <w:rtl/>
        </w:rPr>
        <w:t xml:space="preserve"> מנין הוא שותה</w:t>
      </w:r>
      <w:r w:rsidR="002C7E4E">
        <w:rPr>
          <w:rFonts w:hint="cs"/>
          <w:rtl/>
        </w:rPr>
        <w:t>?</w:t>
      </w:r>
      <w:r>
        <w:rPr>
          <w:rtl/>
        </w:rPr>
        <w:t xml:space="preserve"> משל למה"ד</w:t>
      </w:r>
      <w:r w:rsidR="002C7E4E">
        <w:rPr>
          <w:rFonts w:hint="cs"/>
          <w:rtl/>
        </w:rPr>
        <w:t>?</w:t>
      </w:r>
      <w:r>
        <w:rPr>
          <w:rtl/>
        </w:rPr>
        <w:t xml:space="preserve"> לאשה שאין לה בעל והיא מתקשטת ויוצאה לשוק ובני אדם משיחין בה. כך</w:t>
      </w:r>
      <w:r w:rsidR="002C7E4E">
        <w:rPr>
          <w:rFonts w:hint="cs"/>
          <w:rtl/>
        </w:rPr>
        <w:t>,</w:t>
      </w:r>
      <w:r>
        <w:rPr>
          <w:rtl/>
        </w:rPr>
        <w:t xml:space="preserve"> כל מי שאינו עוסק במלאכה בני אדם משיחין בו. ועוד היה רבי אומר</w:t>
      </w:r>
      <w:r w:rsidR="002C7E4E">
        <w:rPr>
          <w:rFonts w:hint="cs"/>
          <w:rtl/>
        </w:rPr>
        <w:t>:</w:t>
      </w:r>
      <w:r>
        <w:rPr>
          <w:rtl/>
        </w:rPr>
        <w:t xml:space="preserve"> גדולה היא מלאכה שכל מי שהוא עוסק במלאכה אין ידו חסרה פרוטה לעולם: </w:t>
      </w:r>
    </w:p>
    <w:p w:rsidR="00DE5CD2" w:rsidRDefault="00DE5CD2" w:rsidP="002C7E4E">
      <w:pPr>
        <w:pStyle w:val="ac"/>
        <w:rPr>
          <w:rtl/>
        </w:rPr>
      </w:pPr>
      <w:r>
        <w:rPr>
          <w:rtl/>
        </w:rPr>
        <w:t>רבי יוסי אומר: גדולה היא מלאכה שלא שרתה שכינה על ישראל עד שעשו מלאכה</w:t>
      </w:r>
      <w:r w:rsidR="002C7E4E">
        <w:rPr>
          <w:rFonts w:hint="cs"/>
          <w:rtl/>
        </w:rPr>
        <w:t>,</w:t>
      </w:r>
      <w:r>
        <w:rPr>
          <w:rtl/>
        </w:rPr>
        <w:t xml:space="preserve"> שנאמר</w:t>
      </w:r>
      <w:r w:rsidR="002C7E4E">
        <w:rPr>
          <w:rFonts w:hint="cs"/>
          <w:rtl/>
        </w:rPr>
        <w:t>: "</w:t>
      </w:r>
      <w:r>
        <w:rPr>
          <w:rtl/>
        </w:rPr>
        <w:t>ועשו לי מקדש ושכנתי בתוכם</w:t>
      </w:r>
      <w:r w:rsidR="002C7E4E">
        <w:rPr>
          <w:rFonts w:hint="cs"/>
          <w:rtl/>
        </w:rPr>
        <w:t>"</w:t>
      </w:r>
      <w:r>
        <w:rPr>
          <w:rtl/>
        </w:rPr>
        <w:t xml:space="preserve"> (שם כה ח). ועוד אמר רבי יוסי</w:t>
      </w:r>
      <w:r w:rsidR="002C7E4E">
        <w:rPr>
          <w:rFonts w:hint="cs"/>
          <w:rtl/>
        </w:rPr>
        <w:t>:</w:t>
      </w:r>
      <w:r>
        <w:rPr>
          <w:rtl/>
        </w:rPr>
        <w:t xml:space="preserve"> גדולה היא מלאכה</w:t>
      </w:r>
      <w:r w:rsidR="002C7E4E">
        <w:rPr>
          <w:rFonts w:hint="cs"/>
          <w:rtl/>
        </w:rPr>
        <w:t>,</w:t>
      </w:r>
      <w:r>
        <w:rPr>
          <w:rtl/>
        </w:rPr>
        <w:t xml:space="preserve"> שכל מי שאינו עוסק במלאכה הרי זה מתחייב בנפשו</w:t>
      </w:r>
      <w:r w:rsidR="002C7E4E">
        <w:rPr>
          <w:rFonts w:hint="cs"/>
          <w:rtl/>
        </w:rPr>
        <w:t>.</w:t>
      </w:r>
      <w:r>
        <w:rPr>
          <w:rtl/>
        </w:rPr>
        <w:t xml:space="preserve"> כאי זה צד</w:t>
      </w:r>
      <w:r w:rsidR="002C7E4E">
        <w:rPr>
          <w:rFonts w:hint="cs"/>
          <w:rtl/>
        </w:rPr>
        <w:t>?</w:t>
      </w:r>
      <w:r>
        <w:rPr>
          <w:rtl/>
        </w:rPr>
        <w:t xml:space="preserve"> היה בטל ביום הראשון וביום השני ואין לו מה יאכל והיו בידו מעות הקדש ואכל</w:t>
      </w:r>
      <w:r w:rsidR="002C7E4E">
        <w:rPr>
          <w:rFonts w:hint="cs"/>
          <w:rtl/>
        </w:rPr>
        <w:t>,</w:t>
      </w:r>
      <w:r>
        <w:rPr>
          <w:rtl/>
        </w:rPr>
        <w:t xml:space="preserve"> הרי זה מתחייב בנפשו. מי גרם לו להתחייב בנפשו</w:t>
      </w:r>
      <w:r w:rsidR="002C7E4E">
        <w:rPr>
          <w:rFonts w:hint="cs"/>
          <w:rtl/>
        </w:rPr>
        <w:t>?</w:t>
      </w:r>
      <w:r>
        <w:rPr>
          <w:rtl/>
        </w:rPr>
        <w:t xml:space="preserve"> על שלא היה עוסק במלאכה: </w:t>
      </w:r>
    </w:p>
    <w:p w:rsidR="00DE5CD2" w:rsidRDefault="00DE5CD2" w:rsidP="001A28BD">
      <w:pPr>
        <w:pStyle w:val="ac"/>
        <w:rPr>
          <w:rFonts w:hint="cs"/>
          <w:rtl/>
        </w:rPr>
      </w:pPr>
      <w:r>
        <w:rPr>
          <w:rtl/>
        </w:rPr>
        <w:lastRenderedPageBreak/>
        <w:t>רבי מאיר אומר: גדולה היא מלאכה שכל מי שאינו עושה מלאכה בחול סופו לעשותה בשבת. כאי זה צד? היה בטל ביום ראשון וביום שני</w:t>
      </w:r>
      <w:r w:rsidR="00D96FFB">
        <w:rPr>
          <w:rFonts w:hint="cs"/>
          <w:rtl/>
        </w:rPr>
        <w:t xml:space="preserve"> </w:t>
      </w:r>
      <w:r>
        <w:rPr>
          <w:rtl/>
        </w:rPr>
        <w:t>אין לו מה יאכל</w:t>
      </w:r>
      <w:r w:rsidR="00D96FFB">
        <w:rPr>
          <w:rFonts w:hint="cs"/>
          <w:rtl/>
        </w:rPr>
        <w:t>,</w:t>
      </w:r>
      <w:r>
        <w:rPr>
          <w:rtl/>
        </w:rPr>
        <w:t xml:space="preserve"> הלך וגנב</w:t>
      </w:r>
      <w:r w:rsidR="00D96FFB">
        <w:rPr>
          <w:rFonts w:hint="cs"/>
          <w:rtl/>
        </w:rPr>
        <w:t>.</w:t>
      </w:r>
      <w:r>
        <w:rPr>
          <w:rtl/>
        </w:rPr>
        <w:t xml:space="preserve"> תפשוהו ומסרוהו למלכות והטילוהו לעשות מלאכה בשבת. מי גרם לו לעשות מלאכה בשבת</w:t>
      </w:r>
      <w:r w:rsidR="00D96FFB">
        <w:rPr>
          <w:rFonts w:hint="cs"/>
          <w:rtl/>
        </w:rPr>
        <w:t>?</w:t>
      </w:r>
      <w:r>
        <w:rPr>
          <w:rtl/>
        </w:rPr>
        <w:t xml:space="preserve"> על שלא עשה מלאכה בחול. רבי יהודה אומר</w:t>
      </w:r>
      <w:r w:rsidR="00D96FFB">
        <w:rPr>
          <w:rFonts w:hint="cs"/>
          <w:rtl/>
        </w:rPr>
        <w:t>:</w:t>
      </w:r>
      <w:r>
        <w:rPr>
          <w:rtl/>
        </w:rPr>
        <w:t xml:space="preserve"> גדולה מלאכה שאין אדם מת אלא מתוך הבטלה.</w:t>
      </w:r>
      <w:r w:rsidR="001A28BD">
        <w:rPr>
          <w:rStyle w:val="a5"/>
          <w:rtl/>
        </w:rPr>
        <w:footnoteReference w:id="12"/>
      </w:r>
    </w:p>
    <w:p w:rsidR="00ED4B53" w:rsidRDefault="00ED4B53" w:rsidP="00ED4B53">
      <w:pPr>
        <w:pStyle w:val="ab"/>
        <w:rPr>
          <w:rtl/>
        </w:rPr>
      </w:pPr>
      <w:r>
        <w:rPr>
          <w:rtl/>
        </w:rPr>
        <w:t xml:space="preserve">מסכת שבת דף קנ עמוד א </w:t>
      </w:r>
    </w:p>
    <w:p w:rsidR="00ED4B53" w:rsidRDefault="00ED4B53" w:rsidP="00ED4B53">
      <w:pPr>
        <w:pStyle w:val="ac"/>
        <w:rPr>
          <w:rFonts w:hint="cs"/>
          <w:rtl/>
        </w:rPr>
      </w:pPr>
      <w:r>
        <w:rPr>
          <w:rtl/>
        </w:rPr>
        <w:t>ותנא דבי מנשה: משדכין על התינוקות ליארס בשבת, ועל התינוק ללמדו ספר וללמדו אומנות. - אמר קרא ממצוא חפצך ודבר דבר, חפציך - אסורים, חפצי שמים - מותרין.</w:t>
      </w:r>
      <w:r w:rsidR="00170266">
        <w:rPr>
          <w:rStyle w:val="a5"/>
          <w:rtl/>
        </w:rPr>
        <w:footnoteReference w:id="13"/>
      </w:r>
    </w:p>
    <w:p w:rsidR="00DE5CD2" w:rsidRDefault="00DE5CD2" w:rsidP="00430838">
      <w:pPr>
        <w:pStyle w:val="ad"/>
        <w:spacing w:before="240"/>
        <w:outlineLvl w:val="0"/>
        <w:rPr>
          <w:rtl/>
        </w:rPr>
      </w:pPr>
      <w:r>
        <w:rPr>
          <w:rtl/>
        </w:rPr>
        <w:t xml:space="preserve">שבת שלום </w:t>
      </w:r>
    </w:p>
    <w:p w:rsidR="00DE5CD2" w:rsidRDefault="00DE5CD2">
      <w:pPr>
        <w:pStyle w:val="ad"/>
        <w:outlineLvl w:val="0"/>
        <w:rPr>
          <w:rtl/>
        </w:rPr>
      </w:pPr>
      <w:r>
        <w:rPr>
          <w:rtl/>
        </w:rPr>
        <w:t>ולהתחיל מבראשית</w:t>
      </w:r>
    </w:p>
    <w:p w:rsidR="00DE5CD2" w:rsidRDefault="00DE5CD2">
      <w:pPr>
        <w:pStyle w:val="ad"/>
        <w:outlineLvl w:val="0"/>
        <w:rPr>
          <w:rtl/>
        </w:rPr>
      </w:pPr>
      <w:r>
        <w:rPr>
          <w:rtl/>
        </w:rPr>
        <w:t xml:space="preserve">מחלקי המים </w:t>
      </w:r>
    </w:p>
    <w:p w:rsidR="00DE5CD2" w:rsidRDefault="00DE5CD2">
      <w:pPr>
        <w:rPr>
          <w:rtl/>
        </w:rPr>
      </w:pPr>
    </w:p>
    <w:sectPr w:rsidR="00DE5CD2" w:rsidSect="003D0ED1">
      <w:headerReference w:type="default" r:id="rId6"/>
      <w:footerReference w:type="default" r:id="rId7"/>
      <w:headerReference w:type="first" r:id="rId8"/>
      <w:footerReference w:type="first" r:id="rId9"/>
      <w:endnotePr>
        <w:numFmt w:val="lowerLetter"/>
      </w:endnotePr>
      <w:pgSz w:w="11907" w:h="16840" w:code="9"/>
      <w:pgMar w:top="1418" w:right="1361" w:bottom="1418" w:left="1361" w:header="624"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48" w:rsidRDefault="008E5D48">
      <w:r>
        <w:separator/>
      </w:r>
    </w:p>
  </w:endnote>
  <w:endnote w:type="continuationSeparator" w:id="0">
    <w:p w:rsidR="008E5D48" w:rsidRDefault="008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FF" w:rsidRPr="00F8747C" w:rsidRDefault="007728FF" w:rsidP="007728F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B3D0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B3D06">
      <w:rPr>
        <w:rStyle w:val="af2"/>
        <w:noProof/>
        <w:rtl/>
      </w:rPr>
      <w:t>3</w:t>
    </w:r>
    <w:r w:rsidRPr="00F8747C">
      <w:rPr>
        <w:rStyle w:val="af2"/>
      </w:rPr>
      <w:fldChar w:fldCharType="end"/>
    </w:r>
  </w:p>
  <w:p w:rsidR="007728FF" w:rsidRDefault="007728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BA" w:rsidRPr="00F8747C" w:rsidRDefault="005D56BA" w:rsidP="005D56B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B3D0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B3D06">
      <w:rPr>
        <w:rStyle w:val="af2"/>
        <w:noProof/>
        <w:rtl/>
      </w:rPr>
      <w:t>3</w:t>
    </w:r>
    <w:r w:rsidRPr="00F8747C">
      <w:rPr>
        <w:rStyle w:val="af2"/>
      </w:rPr>
      <w:fldChar w:fldCharType="end"/>
    </w:r>
  </w:p>
  <w:p w:rsidR="005D56BA" w:rsidRDefault="005D5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48" w:rsidRDefault="008E5D48">
      <w:r>
        <w:separator/>
      </w:r>
    </w:p>
  </w:footnote>
  <w:footnote w:type="continuationSeparator" w:id="0">
    <w:p w:rsidR="008E5D48" w:rsidRDefault="008E5D48">
      <w:r>
        <w:continuationSeparator/>
      </w:r>
    </w:p>
  </w:footnote>
  <w:footnote w:id="1">
    <w:p w:rsidR="00263EDB" w:rsidRDefault="00263EDB" w:rsidP="009F6E66">
      <w:pPr>
        <w:pStyle w:val="a3"/>
        <w:rPr>
          <w:rFonts w:hint="cs"/>
          <w:rtl/>
        </w:rPr>
      </w:pPr>
      <w:r>
        <w:rPr>
          <w:rStyle w:val="a5"/>
        </w:rPr>
        <w:footnoteRef/>
      </w:r>
      <w:r>
        <w:rPr>
          <w:rtl/>
        </w:rPr>
        <w:t xml:space="preserve"> </w:t>
      </w:r>
      <w:r>
        <w:rPr>
          <w:rFonts w:hint="cs"/>
          <w:rtl/>
        </w:rPr>
        <w:t>הקב"ה יוצר את האדם ודואג לו למקום בטוח ומוגן בו הוא, לכאורה, לא צריך לעשות שום דבר, ככתוב: "</w:t>
      </w:r>
      <w:r>
        <w:rPr>
          <w:rFonts w:hint="eastAsia"/>
          <w:rtl/>
          <w:lang w:eastAsia="en-US"/>
        </w:rPr>
        <w:t>וַיִּטַּע</w:t>
      </w:r>
      <w:r>
        <w:rPr>
          <w:rFonts w:hint="cs"/>
          <w:rtl/>
          <w:lang w:eastAsia="en-US"/>
        </w:rPr>
        <w:t xml:space="preserve"> ה'</w:t>
      </w:r>
      <w:r>
        <w:rPr>
          <w:rtl/>
          <w:lang w:eastAsia="en-US"/>
        </w:rPr>
        <w:t xml:space="preserve"> </w:t>
      </w:r>
      <w:r>
        <w:rPr>
          <w:rFonts w:hint="eastAsia"/>
          <w:rtl/>
          <w:lang w:eastAsia="en-US"/>
        </w:rPr>
        <w:t>אֱלֹהִים</w:t>
      </w:r>
      <w:r>
        <w:rPr>
          <w:rtl/>
          <w:lang w:eastAsia="en-US"/>
        </w:rPr>
        <w:t xml:space="preserve"> </w:t>
      </w:r>
      <w:r>
        <w:rPr>
          <w:rFonts w:hint="eastAsia"/>
          <w:rtl/>
          <w:lang w:eastAsia="en-US"/>
        </w:rPr>
        <w:t>גַּן</w:t>
      </w:r>
      <w:r>
        <w:rPr>
          <w:rtl/>
          <w:lang w:eastAsia="en-US"/>
        </w:rPr>
        <w:t xml:space="preserve"> </w:t>
      </w:r>
      <w:r>
        <w:rPr>
          <w:rFonts w:hint="eastAsia"/>
          <w:rtl/>
          <w:lang w:eastAsia="en-US"/>
        </w:rPr>
        <w:t>בְּעֵדֶן</w:t>
      </w:r>
      <w:r>
        <w:rPr>
          <w:rtl/>
          <w:lang w:eastAsia="en-US"/>
        </w:rPr>
        <w:t xml:space="preserve"> </w:t>
      </w:r>
      <w:r>
        <w:rPr>
          <w:rFonts w:hint="eastAsia"/>
          <w:rtl/>
          <w:lang w:eastAsia="en-US"/>
        </w:rPr>
        <w:t>מִקֶּדֶם</w:t>
      </w:r>
      <w:r>
        <w:rPr>
          <w:rtl/>
          <w:lang w:eastAsia="en-US"/>
        </w:rPr>
        <w:t xml:space="preserve"> </w:t>
      </w:r>
      <w:r>
        <w:rPr>
          <w:rFonts w:hint="eastAsia"/>
          <w:rtl/>
          <w:lang w:eastAsia="en-US"/>
        </w:rPr>
        <w:t>וַיָּשֶׂם</w:t>
      </w:r>
      <w:r>
        <w:rPr>
          <w:rtl/>
          <w:lang w:eastAsia="en-US"/>
        </w:rPr>
        <w:t xml:space="preserve"> </w:t>
      </w:r>
      <w:r>
        <w:rPr>
          <w:rFonts w:hint="eastAsia"/>
          <w:rtl/>
          <w:lang w:eastAsia="en-US"/>
        </w:rPr>
        <w:t>שָׁם</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אֲשֶׁר</w:t>
      </w:r>
      <w:r>
        <w:rPr>
          <w:rtl/>
          <w:lang w:eastAsia="en-US"/>
        </w:rPr>
        <w:t xml:space="preserve"> </w:t>
      </w:r>
      <w:r>
        <w:rPr>
          <w:rFonts w:hint="eastAsia"/>
          <w:rtl/>
          <w:lang w:eastAsia="en-US"/>
        </w:rPr>
        <w:t>יָצָר</w:t>
      </w:r>
      <w:r>
        <w:rPr>
          <w:rFonts w:hint="cs"/>
          <w:rtl/>
          <w:lang w:eastAsia="en-US"/>
        </w:rPr>
        <w:t>". אז מה פירוש "לעובדה ולשומרה"? מה עבודה ומה שמירה יש בגן עדן?</w:t>
      </w:r>
      <w:r w:rsidR="009F6E66">
        <w:rPr>
          <w:rFonts w:hint="cs"/>
          <w:rtl/>
        </w:rPr>
        <w:t xml:space="preserve"> באותה מידה ניתן לשאול גם מפסוק ה באותו פרק: "</w:t>
      </w:r>
      <w:r w:rsidR="009F6E66">
        <w:rPr>
          <w:rtl/>
        </w:rPr>
        <w:t>וְכֹל שִׂיחַ הַשָּׂדֶה טֶרֶם יִהְיֶה בָאָרֶץ וְכָל עֵשֶׂב הַשָּׂדֶה טֶרֶם יִצְמָח כִּי לֹא הִמְטִיר ה' אֱלֹהִים עַל הָאָרֶץ וְאָדָם אַיִן לַעֲבֹד אֶת הָאֲדָמָה</w:t>
      </w:r>
      <w:r w:rsidR="009F6E66">
        <w:rPr>
          <w:rFonts w:hint="cs"/>
          <w:rtl/>
        </w:rPr>
        <w:t xml:space="preserve">". אין אדם שיעבוד את האדמה, לפיכך לא יורד גשם ולפיכך אין צמחייה בעולם. ראה המדרשים על פסוק זה והסמוך לו: "ואד יעלה מן הארץ והשקה את כל פני האדמה" הקושרים את האדם עם האדמה ועם הגשם. ואפשר גם לשאול מפסוקים בפרק א כגון: "פרו ורבו ומלאו את הארץ וכבשוה וכו' ", אך זה בסיפור הבריאה הראשון ואנו בשני. </w:t>
      </w:r>
    </w:p>
  </w:footnote>
  <w:footnote w:id="2">
    <w:p w:rsidR="00263EDB" w:rsidRDefault="00263EDB" w:rsidP="0040362B">
      <w:pPr>
        <w:pStyle w:val="a3"/>
        <w:rPr>
          <w:rFonts w:hint="cs"/>
          <w:rtl/>
        </w:rPr>
      </w:pPr>
      <w:r>
        <w:rPr>
          <w:rStyle w:val="a5"/>
        </w:rPr>
        <w:footnoteRef/>
      </w:r>
      <w:r>
        <w:rPr>
          <w:rtl/>
        </w:rPr>
        <w:t xml:space="preserve"> </w:t>
      </w:r>
      <w:r w:rsidR="0040362B">
        <w:rPr>
          <w:rFonts w:hint="cs"/>
          <w:rtl/>
        </w:rPr>
        <w:t xml:space="preserve">מדרש </w:t>
      </w:r>
      <w:r>
        <w:rPr>
          <w:rtl/>
        </w:rPr>
        <w:t>ספרי מציג בבירור את הגישה הערכית מוסרית הרואה בעבודת ה' ובלימוד התורה את מטרת כל הבריאה, וכיון שבגן העדן לא היה על האדם לטרוח ולדאוג למחייתו, יכול היה, ומצווה היה, לעסוק בצד הרוחני של החיים.</w:t>
      </w:r>
      <w:r>
        <w:rPr>
          <w:rFonts w:hint="cs"/>
          <w:rtl/>
        </w:rPr>
        <w:t xml:space="preserve"> לגישה זו יש סמך במקרא. מיד לאחר הפסוק: "לעובדה ולשומרה", בא הפסוק של הציווי לא לאכול מעץ הדעת</w:t>
      </w:r>
      <w:r>
        <w:rPr>
          <w:rFonts w:hint="cs"/>
          <w:rtl/>
          <w:lang w:eastAsia="en-US"/>
        </w:rPr>
        <w:t>: "</w:t>
      </w:r>
      <w:r>
        <w:rPr>
          <w:rFonts w:hint="eastAsia"/>
          <w:rtl/>
          <w:lang w:eastAsia="en-US"/>
        </w:rPr>
        <w:t>וַיִּקַּח</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sidRPr="00D96FFB">
        <w:rPr>
          <w:rFonts w:hint="eastAsia"/>
          <w:rtl/>
          <w:lang w:eastAsia="en-US"/>
        </w:rPr>
        <w:t>וַיַּנִּחֵהוּ</w:t>
      </w:r>
      <w:r w:rsidRPr="00D96FFB">
        <w:rPr>
          <w:rtl/>
          <w:lang w:eastAsia="en-US"/>
        </w:rPr>
        <w:t xml:space="preserve"> </w:t>
      </w:r>
      <w:r w:rsidRPr="00D96FFB">
        <w:rPr>
          <w:rFonts w:hint="eastAsia"/>
          <w:rtl/>
          <w:lang w:eastAsia="en-US"/>
        </w:rPr>
        <w:t>בְגַן</w:t>
      </w:r>
      <w:r w:rsidRPr="00D96FFB">
        <w:rPr>
          <w:rtl/>
          <w:lang w:eastAsia="en-US"/>
        </w:rPr>
        <w:t xml:space="preserve"> </w:t>
      </w:r>
      <w:r w:rsidRPr="00D96FFB">
        <w:rPr>
          <w:rFonts w:hint="eastAsia"/>
          <w:rtl/>
          <w:lang w:eastAsia="en-US"/>
        </w:rPr>
        <w:t>עֵדֶן</w:t>
      </w:r>
      <w:r w:rsidRPr="00D96FFB">
        <w:rPr>
          <w:rtl/>
          <w:lang w:eastAsia="en-US"/>
        </w:rPr>
        <w:t xml:space="preserve"> </w:t>
      </w:r>
      <w:r w:rsidRPr="00D96FFB">
        <w:rPr>
          <w:rFonts w:hint="eastAsia"/>
          <w:rtl/>
          <w:lang w:eastAsia="en-US"/>
        </w:rPr>
        <w:t>לְעָבְדָהּ</w:t>
      </w:r>
      <w:r>
        <w:rPr>
          <w:rtl/>
          <w:lang w:eastAsia="en-US"/>
        </w:rPr>
        <w:t xml:space="preserve"> </w:t>
      </w:r>
      <w:r>
        <w:rPr>
          <w:rFonts w:hint="eastAsia"/>
          <w:rtl/>
          <w:lang w:eastAsia="en-US"/>
        </w:rPr>
        <w:t>וּלְשָׁמְרָהּ</w:t>
      </w:r>
      <w:r>
        <w:rPr>
          <w:rtl/>
          <w:lang w:eastAsia="en-US"/>
        </w:rPr>
        <w:t>:</w:t>
      </w:r>
      <w:r>
        <w:rPr>
          <w:rFonts w:hint="cs"/>
          <w:rtl/>
          <w:lang w:eastAsia="en-US"/>
        </w:rPr>
        <w:t xml:space="preserve"> </w:t>
      </w:r>
      <w:r>
        <w:rPr>
          <w:rFonts w:hint="eastAsia"/>
          <w:rtl/>
          <w:lang w:eastAsia="en-US"/>
        </w:rPr>
        <w:t>וַיְצַו</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לֵאמֹר</w:t>
      </w:r>
      <w:r>
        <w:rPr>
          <w:rtl/>
          <w:lang w:eastAsia="en-US"/>
        </w:rPr>
        <w:t xml:space="preserve"> </w:t>
      </w:r>
      <w:r>
        <w:rPr>
          <w:rFonts w:hint="eastAsia"/>
          <w:rtl/>
          <w:lang w:eastAsia="en-US"/>
        </w:rPr>
        <w:t>מִכֹּל</w:t>
      </w:r>
      <w:r>
        <w:rPr>
          <w:rtl/>
          <w:lang w:eastAsia="en-US"/>
        </w:rPr>
        <w:t xml:space="preserve"> </w:t>
      </w:r>
      <w:r>
        <w:rPr>
          <w:rFonts w:hint="eastAsia"/>
          <w:rtl/>
          <w:lang w:eastAsia="en-US"/>
        </w:rPr>
        <w:t>עֵץ</w:t>
      </w:r>
      <w:r>
        <w:rPr>
          <w:rtl/>
          <w:lang w:eastAsia="en-US"/>
        </w:rPr>
        <w:t xml:space="preserve"> </w:t>
      </w:r>
      <w:r>
        <w:rPr>
          <w:rFonts w:hint="eastAsia"/>
          <w:rtl/>
          <w:lang w:eastAsia="en-US"/>
        </w:rPr>
        <w:t>הַגָּן</w:t>
      </w:r>
      <w:r>
        <w:rPr>
          <w:rtl/>
          <w:lang w:eastAsia="en-US"/>
        </w:rPr>
        <w:t xml:space="preserve"> </w:t>
      </w:r>
      <w:r>
        <w:rPr>
          <w:rFonts w:hint="eastAsia"/>
          <w:rtl/>
          <w:lang w:eastAsia="en-US"/>
        </w:rPr>
        <w:t>אָכֹל</w:t>
      </w:r>
      <w:r>
        <w:rPr>
          <w:rtl/>
          <w:lang w:eastAsia="en-US"/>
        </w:rPr>
        <w:t xml:space="preserve"> </w:t>
      </w:r>
      <w:r>
        <w:rPr>
          <w:rFonts w:hint="eastAsia"/>
          <w:rtl/>
          <w:lang w:eastAsia="en-US"/>
        </w:rPr>
        <w:t>תֹּאכֵל</w:t>
      </w:r>
      <w:r>
        <w:rPr>
          <w:rtl/>
          <w:lang w:eastAsia="en-US"/>
        </w:rPr>
        <w:t>:</w:t>
      </w:r>
      <w:r>
        <w:rPr>
          <w:rFonts w:hint="cs"/>
          <w:rtl/>
          <w:lang w:eastAsia="en-US"/>
        </w:rPr>
        <w:t xml:space="preserve"> </w:t>
      </w:r>
      <w:r>
        <w:rPr>
          <w:rFonts w:hint="eastAsia"/>
          <w:rtl/>
          <w:lang w:eastAsia="en-US"/>
        </w:rPr>
        <w:t>וּמֵעֵץ</w:t>
      </w:r>
      <w:r>
        <w:rPr>
          <w:rtl/>
          <w:lang w:eastAsia="en-US"/>
        </w:rPr>
        <w:t xml:space="preserve"> </w:t>
      </w:r>
      <w:r>
        <w:rPr>
          <w:rFonts w:hint="eastAsia"/>
          <w:rtl/>
          <w:lang w:eastAsia="en-US"/>
        </w:rPr>
        <w:t>הַדַּעַת</w:t>
      </w:r>
      <w:r>
        <w:rPr>
          <w:rtl/>
          <w:lang w:eastAsia="en-US"/>
        </w:rPr>
        <w:t xml:space="preserve"> </w:t>
      </w:r>
      <w:r>
        <w:rPr>
          <w:rFonts w:hint="eastAsia"/>
          <w:rtl/>
          <w:lang w:eastAsia="en-US"/>
        </w:rPr>
        <w:t>טוֹב</w:t>
      </w:r>
      <w:r>
        <w:rPr>
          <w:rtl/>
          <w:lang w:eastAsia="en-US"/>
        </w:rPr>
        <w:t xml:space="preserve"> </w:t>
      </w:r>
      <w:r>
        <w:rPr>
          <w:rFonts w:hint="eastAsia"/>
          <w:rtl/>
          <w:lang w:eastAsia="en-US"/>
        </w:rPr>
        <w:t>וָרָע</w:t>
      </w:r>
      <w:r>
        <w:rPr>
          <w:rtl/>
          <w:lang w:eastAsia="en-US"/>
        </w:rPr>
        <w:t xml:space="preserve"> </w:t>
      </w:r>
      <w:r>
        <w:rPr>
          <w:rFonts w:hint="eastAsia"/>
          <w:rtl/>
          <w:lang w:eastAsia="en-US"/>
        </w:rPr>
        <w:t>לֹא</w:t>
      </w:r>
      <w:r>
        <w:rPr>
          <w:rtl/>
          <w:lang w:eastAsia="en-US"/>
        </w:rPr>
        <w:t xml:space="preserve"> </w:t>
      </w:r>
      <w:r>
        <w:rPr>
          <w:rFonts w:hint="eastAsia"/>
          <w:rtl/>
          <w:lang w:eastAsia="en-US"/>
        </w:rPr>
        <w:t>תֹאכַל</w:t>
      </w:r>
      <w:r>
        <w:rPr>
          <w:rtl/>
          <w:lang w:eastAsia="en-US"/>
        </w:rPr>
        <w:t xml:space="preserve"> </w:t>
      </w:r>
      <w:r>
        <w:rPr>
          <w:rFonts w:hint="cs"/>
          <w:rtl/>
          <w:lang w:eastAsia="en-US"/>
        </w:rPr>
        <w:t>וכו' ".</w:t>
      </w:r>
      <w:r w:rsidR="0040362B">
        <w:rPr>
          <w:rFonts w:hint="cs"/>
          <w:rtl/>
        </w:rPr>
        <w:t xml:space="preserve"> חיים אידיליים מעין זה חוזרים אולי בנדודי ישראל במדבר שאמנם לא היה בדיוק גן עדן, אבל המזון וההגנה והשמירה היו זמינים בכל עת ועליו אמרו חז"ל: "לא ניתנה תורה לדרוש אלא לאוכלי המן". ראה דברינו </w:t>
      </w:r>
      <w:hyperlink r:id="rId1" w:history="1">
        <w:r w:rsidR="0040362B" w:rsidRPr="0040362B">
          <w:rPr>
            <w:rStyle w:val="Hyperlink"/>
            <w:rFonts w:hint="cs"/>
            <w:rtl/>
          </w:rPr>
          <w:t>טעם המן</w:t>
        </w:r>
      </w:hyperlink>
      <w:r w:rsidR="0040362B">
        <w:rPr>
          <w:rFonts w:hint="cs"/>
          <w:rtl/>
        </w:rPr>
        <w:t xml:space="preserve"> בפרשת בשלח.</w:t>
      </w:r>
    </w:p>
  </w:footnote>
  <w:footnote w:id="3">
    <w:p w:rsidR="00F27D9A" w:rsidRDefault="00F27D9A" w:rsidP="003D0ED1">
      <w:pPr>
        <w:pStyle w:val="a3"/>
        <w:rPr>
          <w:rFonts w:hint="cs"/>
          <w:rtl/>
        </w:rPr>
      </w:pPr>
      <w:r>
        <w:rPr>
          <w:rStyle w:val="a5"/>
        </w:rPr>
        <w:footnoteRef/>
      </w:r>
      <w:r>
        <w:rPr>
          <w:rtl/>
        </w:rPr>
        <w:t xml:space="preserve"> </w:t>
      </w:r>
      <w:r>
        <w:rPr>
          <w:rtl/>
        </w:rPr>
        <w:t xml:space="preserve">מדרש זה מציג גישה </w:t>
      </w:r>
      <w:r>
        <w:rPr>
          <w:rFonts w:hint="cs"/>
          <w:rtl/>
        </w:rPr>
        <w:t>קצת מורכבת יותר</w:t>
      </w:r>
      <w:r>
        <w:rPr>
          <w:rtl/>
        </w:rPr>
        <w:t xml:space="preserve">. מחד גיסא, כמו </w:t>
      </w:r>
      <w:r w:rsidR="00430838">
        <w:rPr>
          <w:rFonts w:hint="cs"/>
          <w:rtl/>
        </w:rPr>
        <w:t xml:space="preserve">מדרש </w:t>
      </w:r>
      <w:r>
        <w:rPr>
          <w:rtl/>
        </w:rPr>
        <w:t xml:space="preserve">ספרי לעיל, הגישה הערכית מוסרית הרואה במטרת כל הבריאה את עבודת ה' ואת לימוד התורה. אבל מאידך, גם עבודה במשמעותה הרגילה. </w:t>
      </w:r>
      <w:r w:rsidR="00430838">
        <w:rPr>
          <w:rFonts w:hint="cs"/>
          <w:rtl/>
        </w:rPr>
        <w:t xml:space="preserve">שהרי אין מנוחה בלי עבודה שקדמה לה ואין שבת בלי ששת ימי המעשה! ראה דברינו </w:t>
      </w:r>
      <w:hyperlink r:id="rId2" w:history="1">
        <w:r w:rsidR="00430838" w:rsidRPr="00430838">
          <w:rPr>
            <w:rStyle w:val="Hyperlink"/>
            <w:rFonts w:hint="cs"/>
            <w:rtl/>
          </w:rPr>
          <w:t>ששת ימים תעשה מלאכה</w:t>
        </w:r>
      </w:hyperlink>
      <w:r w:rsidR="00430838">
        <w:rPr>
          <w:rFonts w:hint="cs"/>
          <w:rtl/>
        </w:rPr>
        <w:t xml:space="preserve"> בפרשת אמור</w:t>
      </w:r>
      <w:r>
        <w:rPr>
          <w:rtl/>
        </w:rPr>
        <w:t>.</w:t>
      </w:r>
      <w:r w:rsidR="003D0ED1">
        <w:rPr>
          <w:rFonts w:hint="cs"/>
          <w:rtl/>
        </w:rPr>
        <w:t xml:space="preserve"> אפשר גם שבגישה דו-ערכית זו אנחנו שומעים את הד המחלוקת על ואספת דגנך בין רבי ישמעאל ורבי שמעון בר יוחאי וגם חזרה לנושא דור אוכלי המן. ראה דברינו </w:t>
      </w:r>
      <w:hyperlink r:id="rId3" w:history="1">
        <w:r w:rsidR="003D0ED1" w:rsidRPr="00F71F3B">
          <w:rPr>
            <w:rStyle w:val="Hyperlink"/>
            <w:rFonts w:hint="cs"/>
            <w:rtl/>
          </w:rPr>
          <w:t>ואספת דגנך</w:t>
        </w:r>
      </w:hyperlink>
      <w:r w:rsidR="003D0ED1">
        <w:rPr>
          <w:rFonts w:hint="cs"/>
          <w:rtl/>
        </w:rPr>
        <w:t xml:space="preserve"> בפרשת עקב.</w:t>
      </w:r>
      <w:r>
        <w:rPr>
          <w:rtl/>
        </w:rPr>
        <w:t xml:space="preserve"> </w:t>
      </w:r>
    </w:p>
  </w:footnote>
  <w:footnote w:id="4">
    <w:p w:rsidR="00F27D9A" w:rsidRDefault="00F27D9A" w:rsidP="00F71F3B">
      <w:pPr>
        <w:pStyle w:val="a3"/>
        <w:rPr>
          <w:rFonts w:hint="cs"/>
          <w:rtl/>
        </w:rPr>
      </w:pPr>
      <w:r>
        <w:rPr>
          <w:rStyle w:val="a5"/>
        </w:rPr>
        <w:footnoteRef/>
      </w:r>
      <w:r>
        <w:rPr>
          <w:rtl/>
        </w:rPr>
        <w:t xml:space="preserve"> </w:t>
      </w:r>
      <w:r>
        <w:rPr>
          <w:rFonts w:hint="cs"/>
          <w:rtl/>
        </w:rPr>
        <w:t xml:space="preserve">"לעבדה" מהפסוק בשמות ג במעמד הסנה (ברמז לקרבנות של שמות פרק כד לפני או אחרי מעמד הר סיני), ו"לשומרה" מהפסוקים בפרשת קרבנות המועדות בפרשת פנחס. </w:t>
      </w:r>
      <w:r w:rsidR="00F71F3B">
        <w:rPr>
          <w:rFonts w:hint="cs"/>
          <w:rtl/>
        </w:rPr>
        <w:t xml:space="preserve">זה לפני מעמד הר סיני וזה לאחריו. </w:t>
      </w:r>
      <w:r>
        <w:rPr>
          <w:rFonts w:hint="cs"/>
          <w:rtl/>
        </w:rPr>
        <w:t>החיבור בין שניהם הוא שיוצר את הדרשה. דעה זו מחזירה אותנו למדרש הראשון. האדם לא צריך לעשות שום עבודה אנושית-יצירתית בגן עדן, רק להקריב קרבנות, או להתפלל שגם זו עבודה. וזה מחזיר אותנו להערה 1 לעיל על שלא ירד גשם עד שהאדם לא התפלל או הקריב קרבנות (קרבנות חג הסוכות המרובים בתקווה לשנה גשומה). אפשר שמדרש קטן זה מקפל בתוכו את ההשקפה האידילית של עבודת בית המקדש שהיא שמחזיקה את קיום העולם וגם בה יש מעין ניסיון לחזור לגן העדן.</w:t>
      </w:r>
    </w:p>
  </w:footnote>
  <w:footnote w:id="5">
    <w:p w:rsidR="00F71F3B" w:rsidRDefault="00F71F3B">
      <w:pPr>
        <w:pStyle w:val="a3"/>
        <w:rPr>
          <w:rFonts w:hint="cs"/>
          <w:rtl/>
        </w:rPr>
      </w:pPr>
      <w:r>
        <w:rPr>
          <w:rStyle w:val="a5"/>
        </w:rPr>
        <w:footnoteRef/>
      </w:r>
      <w:r>
        <w:rPr>
          <w:rtl/>
        </w:rPr>
        <w:t xml:space="preserve"> </w:t>
      </w:r>
      <w:r>
        <w:rPr>
          <w:rFonts w:hint="cs"/>
          <w:rtl/>
        </w:rPr>
        <w:t>היינו לעבוד ולשמור את האדמה.</w:t>
      </w:r>
    </w:p>
  </w:footnote>
  <w:footnote w:id="6">
    <w:p w:rsidR="00263EDB" w:rsidRDefault="00263EDB" w:rsidP="00F71F3B">
      <w:pPr>
        <w:pStyle w:val="a3"/>
        <w:rPr>
          <w:rFonts w:hint="cs"/>
          <w:rtl/>
        </w:rPr>
      </w:pPr>
      <w:r>
        <w:rPr>
          <w:rStyle w:val="a5"/>
        </w:rPr>
        <w:footnoteRef/>
      </w:r>
      <w:r>
        <w:rPr>
          <w:rtl/>
        </w:rPr>
        <w:t xml:space="preserve"> </w:t>
      </w:r>
      <w:r>
        <w:rPr>
          <w:rtl/>
        </w:rPr>
        <w:t xml:space="preserve">אבן עזרא לא מוכן לקבל את הדעה ש"לעבדה ולשומרה" פירושו שהאדם היה "עובד אדמה" בגן עדן. </w:t>
      </w:r>
      <w:r>
        <w:rPr>
          <w:rFonts w:hint="cs"/>
          <w:rtl/>
        </w:rPr>
        <w:t>איך אפשר שישמור על האדמה כולה (מקום גדול), כאשר הוא תחום בגן עדן (מקום קטן)? ואיך אפשר לומר שהיה "עובד אדמה" בג</w:t>
      </w:r>
      <w:r w:rsidR="00F71F3B">
        <w:rPr>
          <w:rFonts w:hint="cs"/>
          <w:rtl/>
        </w:rPr>
        <w:t>ן עדן</w:t>
      </w:r>
      <w:r>
        <w:rPr>
          <w:rFonts w:hint="cs"/>
          <w:rtl/>
        </w:rPr>
        <w:t>, כאשר אנחנו יודעים ש</w:t>
      </w:r>
      <w:r>
        <w:rPr>
          <w:rtl/>
        </w:rPr>
        <w:t xml:space="preserve">האדם הפך להיות עובד אדמה </w:t>
      </w:r>
      <w:r w:rsidR="001A28BD">
        <w:rPr>
          <w:rFonts w:hint="cs"/>
          <w:rtl/>
        </w:rPr>
        <w:t xml:space="preserve">רק </w:t>
      </w:r>
      <w:r>
        <w:rPr>
          <w:rtl/>
        </w:rPr>
        <w:t>אחרי הגירוש מגן עדן</w:t>
      </w:r>
      <w:r w:rsidR="001A28BD">
        <w:rPr>
          <w:rFonts w:hint="cs"/>
          <w:rtl/>
        </w:rPr>
        <w:t>?</w:t>
      </w:r>
      <w:r>
        <w:rPr>
          <w:rtl/>
        </w:rPr>
        <w:t xml:space="preserve"> אבל פטור בלא עבודה כלל אי אפשר ולכן עבודתו </w:t>
      </w:r>
      <w:r w:rsidR="001A28BD">
        <w:rPr>
          <w:rFonts w:hint="cs"/>
          <w:rtl/>
        </w:rPr>
        <w:t xml:space="preserve">של אדם </w:t>
      </w:r>
      <w:r>
        <w:rPr>
          <w:rtl/>
        </w:rPr>
        <w:t>שם הייתה לשמור שהחיות לא יטנפו את הגן, ולדאוג להשקותו</w:t>
      </w:r>
      <w:r w:rsidR="00430838">
        <w:rPr>
          <w:rFonts w:hint="cs"/>
          <w:rtl/>
        </w:rPr>
        <w:t xml:space="preserve"> ובזכות זה </w:t>
      </w:r>
      <w:r w:rsidR="00DB4B50">
        <w:rPr>
          <w:rFonts w:hint="cs"/>
          <w:rtl/>
        </w:rPr>
        <w:t>יאכל מפירותיו</w:t>
      </w:r>
      <w:r>
        <w:rPr>
          <w:rtl/>
        </w:rPr>
        <w:t xml:space="preserve">. </w:t>
      </w:r>
      <w:r w:rsidR="00DB4B50">
        <w:rPr>
          <w:rFonts w:hint="cs"/>
          <w:rtl/>
        </w:rPr>
        <w:t>גם את גן עדן צריך אדם להשקות. מה שמחזיר אותנו להערה 1 לעיל</w:t>
      </w:r>
      <w:r w:rsidR="00F71F3B">
        <w:rPr>
          <w:rFonts w:hint="cs"/>
          <w:rtl/>
        </w:rPr>
        <w:t xml:space="preserve"> ונותן לה תשובה</w:t>
      </w:r>
      <w:r w:rsidR="00DB4B50">
        <w:rPr>
          <w:rFonts w:hint="cs"/>
          <w:rtl/>
        </w:rPr>
        <w:t xml:space="preserve">. </w:t>
      </w:r>
      <w:r>
        <w:rPr>
          <w:rtl/>
        </w:rPr>
        <w:t xml:space="preserve">ראה גם פירושו </w:t>
      </w:r>
      <w:r w:rsidR="001A28BD">
        <w:rPr>
          <w:rFonts w:hint="cs"/>
          <w:rtl/>
        </w:rPr>
        <w:t>של אבן עזרא ל</w:t>
      </w:r>
      <w:r>
        <w:rPr>
          <w:rtl/>
        </w:rPr>
        <w:t>פרק ב פסוק י "ונהר יוצא מעדן להשקות את הגן".</w:t>
      </w:r>
      <w:r w:rsidR="00F71F3B">
        <w:rPr>
          <w:rFonts w:hint="cs"/>
          <w:rtl/>
        </w:rPr>
        <w:t xml:space="preserve"> עוד שים לב להערת אבן עזרא על "עשב השדה הוא הלחם", נושא שנראה ברמב"ן להלן רק בהיפוך גמור.</w:t>
      </w:r>
    </w:p>
  </w:footnote>
  <w:footnote w:id="7">
    <w:p w:rsidR="003D0ED1" w:rsidRDefault="003D0ED1" w:rsidP="003D0ED1">
      <w:pPr>
        <w:pStyle w:val="a3"/>
        <w:rPr>
          <w:rFonts w:hint="cs"/>
          <w:rtl/>
        </w:rPr>
      </w:pPr>
      <w:r>
        <w:rPr>
          <w:rStyle w:val="a5"/>
        </w:rPr>
        <w:footnoteRef/>
      </w:r>
      <w:r>
        <w:rPr>
          <w:rtl/>
        </w:rPr>
        <w:t xml:space="preserve"> </w:t>
      </w:r>
      <w:r>
        <w:rPr>
          <w:rFonts w:hint="cs"/>
          <w:rtl/>
        </w:rPr>
        <w:t>בהשאלה ברורה לפסוקים ב</w:t>
      </w:r>
      <w:r>
        <w:rPr>
          <w:rtl/>
        </w:rPr>
        <w:t>איוב יד</w:t>
      </w:r>
      <w:r>
        <w:rPr>
          <w:rFonts w:hint="cs"/>
          <w:rtl/>
        </w:rPr>
        <w:t xml:space="preserve"> ז-ח: "</w:t>
      </w:r>
      <w:r>
        <w:rPr>
          <w:rtl/>
        </w:rPr>
        <w:t>כִּי יֵשׁ לָעֵץ תִּקְוָה אִם יִכָּרֵת וְעוֹד יַחֲלִיף וְיֹנַקְתּוֹ לֹא תֶחְדָּל:</w:t>
      </w:r>
      <w:r>
        <w:rPr>
          <w:rFonts w:hint="cs"/>
          <w:rtl/>
        </w:rPr>
        <w:t xml:space="preserve"> </w:t>
      </w:r>
      <w:r>
        <w:rPr>
          <w:rtl/>
        </w:rPr>
        <w:t>אִם יַזְקִין בָּאָרֶץ שָׁרְשׁוֹ וּבֶעָפָר יָמוּת גִּזְעוֹ</w:t>
      </w:r>
      <w:r>
        <w:rPr>
          <w:rFonts w:hint="cs"/>
          <w:rtl/>
        </w:rPr>
        <w:t>". אבל האדם לא כן, אין לו תקווה, ראה שם.</w:t>
      </w:r>
    </w:p>
  </w:footnote>
  <w:footnote w:id="8">
    <w:p w:rsidR="00F71F3B" w:rsidRDefault="00F71F3B">
      <w:pPr>
        <w:pStyle w:val="a3"/>
        <w:rPr>
          <w:rFonts w:hint="cs"/>
          <w:rtl/>
        </w:rPr>
      </w:pPr>
      <w:r>
        <w:rPr>
          <w:rStyle w:val="a5"/>
        </w:rPr>
        <w:footnoteRef/>
      </w:r>
      <w:r>
        <w:rPr>
          <w:rtl/>
        </w:rPr>
        <w:t xml:space="preserve"> </w:t>
      </w:r>
      <w:r>
        <w:rPr>
          <w:rFonts w:hint="cs"/>
          <w:rtl/>
        </w:rPr>
        <w:t>רמב"ן דואג מה יהיה עם גן עדן אחרי שהאדם גורש משם. האם הוא באמת חושב שמקום זה קיים עדיין 'אי שם'?</w:t>
      </w:r>
    </w:p>
  </w:footnote>
  <w:footnote w:id="9">
    <w:p w:rsidR="00263EDB" w:rsidRDefault="00263EDB" w:rsidP="007728FF">
      <w:pPr>
        <w:pStyle w:val="a3"/>
        <w:rPr>
          <w:rFonts w:hint="cs"/>
          <w:rtl/>
        </w:rPr>
      </w:pPr>
      <w:r>
        <w:rPr>
          <w:rStyle w:val="a5"/>
        </w:rPr>
        <w:footnoteRef/>
      </w:r>
      <w:r>
        <w:rPr>
          <w:rtl/>
        </w:rPr>
        <w:t xml:space="preserve"> </w:t>
      </w:r>
      <w:r>
        <w:rPr>
          <w:rFonts w:hint="cs"/>
          <w:rtl/>
        </w:rPr>
        <w:t xml:space="preserve">רמב"ן מציע את הפירוש שאמנם אין עבודה באילנות גן העדן, </w:t>
      </w:r>
      <w:r w:rsidR="00705117">
        <w:rPr>
          <w:rFonts w:hint="cs"/>
          <w:rtl/>
        </w:rPr>
        <w:t xml:space="preserve">אין אלה צריכים שום השקייה, זמירה וכו'. </w:t>
      </w:r>
      <w:r>
        <w:rPr>
          <w:rFonts w:hint="cs"/>
          <w:rtl/>
        </w:rPr>
        <w:t xml:space="preserve">אבל יש "לעובדה ולשומרה" בעבודות חקלאיות אחרות שאין הגן מצמיח מעצמו. </w:t>
      </w:r>
      <w:r w:rsidR="00F71F3B">
        <w:rPr>
          <w:rFonts w:hint="cs"/>
          <w:rtl/>
        </w:rPr>
        <w:t xml:space="preserve">ראה ההבדל הגדול בינו ובין אבן עזרא לעיל ביחס לצמחייה החולפת (חד-שנתית) כמיני דגן ותבואות, ירקות ואפילו תבלינים (בשמים). </w:t>
      </w:r>
      <w:r w:rsidR="00705117">
        <w:rPr>
          <w:rFonts w:hint="cs"/>
          <w:rtl/>
        </w:rPr>
        <w:t xml:space="preserve">אבן עזרא רואה בעצם הצריכה שלהם חלק מעונש הגירוש מגן העדן </w:t>
      </w:r>
      <w:r w:rsidR="00705117">
        <w:rPr>
          <w:rtl/>
        </w:rPr>
        <w:t>–</w:t>
      </w:r>
      <w:r w:rsidR="00705117">
        <w:rPr>
          <w:rFonts w:hint="cs"/>
          <w:rtl/>
        </w:rPr>
        <w:t xml:space="preserve"> גירוש מחיים שקיומם רק על פירות האילנות ללא צורך בשום תזונה נוספת. רמב"ן לעומתו, מכיר בערך מזונות אלה שהם מאבות המזון ואיך אפשר בלי חמשת מיני דגן? הגירוש מגן עדן רק גרם לכך שבזעת אפיים נסתפק מהם, מה שנעשה בעבודה לא-קשה של 'לעבדה ולשומרה' בגן עדן.</w:t>
      </w:r>
      <w:r w:rsidR="007728FF">
        <w:rPr>
          <w:rFonts w:hint="cs"/>
          <w:rtl/>
        </w:rPr>
        <w:t xml:space="preserve"> </w:t>
      </w:r>
    </w:p>
  </w:footnote>
  <w:footnote w:id="10">
    <w:p w:rsidR="00FB3D06" w:rsidRDefault="00FB3D06">
      <w:pPr>
        <w:pStyle w:val="a3"/>
        <w:rPr>
          <w:rFonts w:hint="cs"/>
        </w:rPr>
      </w:pPr>
      <w:r>
        <w:rPr>
          <w:rStyle w:val="a5"/>
        </w:rPr>
        <w:footnoteRef/>
      </w:r>
      <w:r>
        <w:rPr>
          <w:rtl/>
        </w:rPr>
        <w:t xml:space="preserve"> </w:t>
      </w:r>
      <w:r>
        <w:rPr>
          <w:rFonts w:hint="cs"/>
          <w:rtl/>
        </w:rPr>
        <w:t>לאחר שהציע את פירושו על דרך הפשט (אם יש בכלל פשט בענייני גן עדן)</w:t>
      </w:r>
      <w:r>
        <w:rPr>
          <w:rtl/>
        </w:rPr>
        <w:t xml:space="preserve">, </w:t>
      </w:r>
      <w:r>
        <w:rPr>
          <w:rFonts w:hint="cs"/>
          <w:rtl/>
        </w:rPr>
        <w:t>מביא רמב"ן את דברי מדרש בראשית רבה לעיל ומפליג על כנפיו אל תורת הסוד לפיה הקרבנות הם אשר מחברים את הכוחות העליונים אל הבריאה הארצית: הצומח והחי, הזקוקה לכוח הגידול שבא מלמעלה, וכדבריו בהמשך שם: "</w:t>
      </w:r>
      <w:r>
        <w:rPr>
          <w:rtl/>
        </w:rPr>
        <w:t>אמר רבי חנינא</w:t>
      </w:r>
      <w:r>
        <w:rPr>
          <w:rFonts w:hint="cs"/>
          <w:rtl/>
        </w:rPr>
        <w:t>:</w:t>
      </w:r>
      <w:r>
        <w:rPr>
          <w:rtl/>
        </w:rPr>
        <w:t xml:space="preserve"> ישבעו חייהן, ישבעו מימיהן, ישבעו מטעתן, כי "חייהן" יסודותם העליונים, "ומימיהם" אוצרו הטוב המוריד הגשם, "ומטעתן" כ</w:t>
      </w:r>
      <w:r>
        <w:rPr>
          <w:rFonts w:hint="cs"/>
          <w:rtl/>
        </w:rPr>
        <w:t>ו</w:t>
      </w:r>
      <w:r>
        <w:rPr>
          <w:rtl/>
        </w:rPr>
        <w:t>חם בשמים</w:t>
      </w:r>
      <w:r>
        <w:rPr>
          <w:rFonts w:hint="cs"/>
          <w:rtl/>
        </w:rPr>
        <w:t>". "עבודה" זו הייתה גם בגן עדן.</w:t>
      </w:r>
    </w:p>
  </w:footnote>
  <w:footnote w:id="11">
    <w:p w:rsidR="00263EDB" w:rsidRDefault="00263EDB" w:rsidP="00A8174B">
      <w:pPr>
        <w:pStyle w:val="a3"/>
        <w:rPr>
          <w:rFonts w:hint="cs"/>
          <w:rtl/>
        </w:rPr>
      </w:pPr>
      <w:r>
        <w:rPr>
          <w:rStyle w:val="a5"/>
        </w:rPr>
        <w:footnoteRef/>
      </w:r>
      <w:r>
        <w:rPr>
          <w:rtl/>
        </w:rPr>
        <w:t xml:space="preserve"> </w:t>
      </w:r>
      <w:r>
        <w:rPr>
          <w:rFonts w:hint="cs"/>
          <w:rtl/>
        </w:rPr>
        <w:t>ברוך אומר ועושה, שהקב"ה דבורו הוא עשייה ומאמרו הוא בריאה. ראה מאמר חז"ל</w:t>
      </w:r>
      <w:r w:rsidR="001A28BD">
        <w:rPr>
          <w:rFonts w:hint="cs"/>
          <w:rtl/>
        </w:rPr>
        <w:t>, אבות ה א</w:t>
      </w:r>
      <w:r>
        <w:rPr>
          <w:rFonts w:hint="cs"/>
          <w:rtl/>
        </w:rPr>
        <w:t xml:space="preserve">: "בעשרה מאמרות נברא העולם ... בלא עמל ויגיעה". ובכ"ז, למרות שבמאמרו ברא שחקים וברוח פיו כל צבאם, נוקטת התורה לשון עשייה לגבי הקב"ה. אין זה, </w:t>
      </w:r>
      <w:r w:rsidR="00FB3D06">
        <w:rPr>
          <w:rFonts w:hint="cs"/>
          <w:rtl/>
        </w:rPr>
        <w:t>אפוא</w:t>
      </w:r>
      <w:r>
        <w:rPr>
          <w:rFonts w:hint="cs"/>
          <w:rtl/>
        </w:rPr>
        <w:t xml:space="preserve">, אלא כדי ללמד את האדם את חשיבות המלאכה והעשייה </w:t>
      </w:r>
      <w:r>
        <w:rPr>
          <w:rtl/>
        </w:rPr>
        <w:t>–</w:t>
      </w:r>
      <w:r>
        <w:rPr>
          <w:rFonts w:hint="cs"/>
          <w:rtl/>
        </w:rPr>
        <w:t xml:space="preserve"> לעובדה ולשומרה. וזו גם התשובה לבן זומא שהרעיש עולמות על שכתוב "ויעש", "ויעש" בפרשת הבריאה שכולה הייתה במאמר.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ו</w:t>
      </w:r>
      <w:r>
        <w:rPr>
          <w:rFonts w:hint="cs"/>
          <w:rtl/>
          <w:lang w:eastAsia="en-US"/>
        </w:rPr>
        <w:t>: "</w:t>
      </w:r>
      <w:r>
        <w:rPr>
          <w:rFonts w:hint="eastAsia"/>
          <w:rtl/>
          <w:lang w:eastAsia="en-US"/>
        </w:rPr>
        <w:t>ויעש</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הרקיע</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המקראות</w:t>
      </w:r>
      <w:r>
        <w:rPr>
          <w:rtl/>
          <w:lang w:eastAsia="en-US"/>
        </w:rPr>
        <w:t xml:space="preserve"> </w:t>
      </w:r>
      <w:r>
        <w:rPr>
          <w:rFonts w:hint="eastAsia"/>
          <w:rtl/>
          <w:lang w:eastAsia="en-US"/>
        </w:rPr>
        <w:t>שהרעיש</w:t>
      </w:r>
      <w:r>
        <w:rPr>
          <w:rtl/>
          <w:lang w:eastAsia="en-US"/>
        </w:rPr>
        <w:t xml:space="preserve"> </w:t>
      </w:r>
      <w:r>
        <w:rPr>
          <w:rFonts w:hint="eastAsia"/>
          <w:rtl/>
          <w:lang w:eastAsia="en-US"/>
        </w:rPr>
        <w:t>בן</w:t>
      </w:r>
      <w:r>
        <w:rPr>
          <w:rtl/>
          <w:lang w:eastAsia="en-US"/>
        </w:rPr>
        <w:t xml:space="preserve"> </w:t>
      </w:r>
      <w:r>
        <w:rPr>
          <w:rFonts w:hint="eastAsia"/>
          <w:rtl/>
          <w:lang w:eastAsia="en-US"/>
        </w:rPr>
        <w:t>זומא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ויעש</w:t>
      </w:r>
      <w:r>
        <w:rPr>
          <w:rtl/>
          <w:lang w:eastAsia="en-US"/>
        </w:rPr>
        <w:t xml:space="preserve"> </w:t>
      </w:r>
      <w:r>
        <w:rPr>
          <w:rFonts w:hint="eastAsia"/>
          <w:rtl/>
          <w:lang w:eastAsia="en-US"/>
        </w:rPr>
        <w:t>אתמהא</w:t>
      </w:r>
      <w:r>
        <w:rPr>
          <w:rtl/>
          <w:lang w:eastAsia="en-US"/>
        </w:rPr>
        <w:t xml:space="preserve">, </w:t>
      </w:r>
      <w:r>
        <w:rPr>
          <w:rFonts w:hint="eastAsia"/>
          <w:rtl/>
          <w:lang w:eastAsia="en-US"/>
        </w:rPr>
        <w:t>והלא</w:t>
      </w:r>
      <w:r>
        <w:rPr>
          <w:rtl/>
          <w:lang w:eastAsia="en-US"/>
        </w:rPr>
        <w:t xml:space="preserve"> </w:t>
      </w:r>
      <w:r>
        <w:rPr>
          <w:rFonts w:hint="eastAsia"/>
          <w:rtl/>
          <w:lang w:eastAsia="en-US"/>
        </w:rPr>
        <w:t>במאמר</w:t>
      </w:r>
      <w:r>
        <w:rPr>
          <w:rtl/>
          <w:lang w:eastAsia="en-US"/>
        </w:rPr>
        <w:t xml:space="preserve"> </w:t>
      </w:r>
      <w:r>
        <w:rPr>
          <w:rFonts w:hint="eastAsia"/>
          <w:rtl/>
          <w:lang w:eastAsia="en-US"/>
        </w:rPr>
        <w:t>הן</w:t>
      </w:r>
      <w:r>
        <w:rPr>
          <w:rtl/>
          <w:lang w:eastAsia="en-US"/>
        </w:rPr>
        <w:t xml:space="preserve"> </w:t>
      </w:r>
      <w:r>
        <w:rPr>
          <w:rFonts w:hint="eastAsia"/>
          <w:rtl/>
          <w:lang w:eastAsia="en-US"/>
        </w:rPr>
        <w:t>הוי</w:t>
      </w:r>
      <w:r>
        <w:rPr>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tl/>
          <w:lang w:eastAsia="en-US"/>
        </w:rPr>
        <w:t xml:space="preserve">)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Pr>
          <w:rtl/>
          <w:lang w:eastAsia="en-US"/>
        </w:rPr>
        <w:t xml:space="preserve"> </w:t>
      </w:r>
      <w:r>
        <w:rPr>
          <w:rFonts w:hint="eastAsia"/>
          <w:rtl/>
          <w:lang w:eastAsia="en-US"/>
        </w:rPr>
        <w:t>וברוח</w:t>
      </w:r>
      <w:r>
        <w:rPr>
          <w:rtl/>
          <w:lang w:eastAsia="en-US"/>
        </w:rPr>
        <w:t xml:space="preserve"> </w:t>
      </w:r>
      <w:r>
        <w:rPr>
          <w:rFonts w:hint="eastAsia"/>
          <w:rtl/>
          <w:lang w:eastAsia="en-US"/>
        </w:rPr>
        <w:t>פיו</w:t>
      </w:r>
      <w:r>
        <w:rPr>
          <w:rtl/>
          <w:lang w:eastAsia="en-US"/>
        </w:rPr>
        <w:t xml:space="preserve"> </w:t>
      </w:r>
      <w:r>
        <w:rPr>
          <w:rFonts w:hint="eastAsia"/>
          <w:rtl/>
          <w:lang w:eastAsia="en-US"/>
        </w:rPr>
        <w:t>כל</w:t>
      </w:r>
      <w:r>
        <w:rPr>
          <w:rtl/>
          <w:lang w:eastAsia="en-US"/>
        </w:rPr>
        <w:t xml:space="preserve"> </w:t>
      </w:r>
      <w:r>
        <w:rPr>
          <w:rFonts w:hint="eastAsia"/>
          <w:rtl/>
          <w:lang w:eastAsia="en-US"/>
        </w:rPr>
        <w:t>צבאם</w:t>
      </w:r>
      <w:r>
        <w:rPr>
          <w:rFonts w:hint="cs"/>
          <w:rtl/>
          <w:lang w:eastAsia="en-US"/>
        </w:rPr>
        <w:t>". ושם אין המדרש נותן תשובה לבן זומא. אבות דרבי נתן כאן הוא התשובה לבן זומא.</w:t>
      </w:r>
      <w:r>
        <w:rPr>
          <w:rFonts w:hint="cs"/>
          <w:rtl/>
        </w:rPr>
        <w:t xml:space="preserve"> </w:t>
      </w:r>
    </w:p>
  </w:footnote>
  <w:footnote w:id="12">
    <w:p w:rsidR="001A28BD" w:rsidRDefault="001A28BD" w:rsidP="00FB3D06">
      <w:pPr>
        <w:pStyle w:val="a3"/>
        <w:rPr>
          <w:rFonts w:hint="cs"/>
          <w:rtl/>
        </w:rPr>
      </w:pPr>
      <w:r>
        <w:rPr>
          <w:rStyle w:val="a5"/>
        </w:rPr>
        <w:footnoteRef/>
      </w:r>
      <w:r>
        <w:rPr>
          <w:rtl/>
        </w:rPr>
        <w:t xml:space="preserve"> </w:t>
      </w:r>
      <w:r>
        <w:rPr>
          <w:rtl/>
        </w:rPr>
        <w:t>מדרש זה הוא שיר הלל למלאכה וחשיבותה. הוא מזכיר גם את "לעובדה ולשומרה" בדומה לבראשית רבה לעיל, אך עיקר האסמכתא היא בסופו של דבר מהפסוקים בפרשת בראשית בבריאת העולם</w:t>
      </w:r>
      <w:r>
        <w:rPr>
          <w:rFonts w:hint="cs"/>
          <w:rtl/>
        </w:rPr>
        <w:t>: "</w:t>
      </w:r>
      <w:r>
        <w:rPr>
          <w:rtl/>
        </w:rPr>
        <w:t>וישבת ביום השביעי מכל מלאכתו אשר עשה</w:t>
      </w:r>
      <w:r>
        <w:rPr>
          <w:rFonts w:hint="cs"/>
          <w:rtl/>
        </w:rPr>
        <w:t>"</w:t>
      </w:r>
      <w:r>
        <w:rPr>
          <w:rtl/>
        </w:rPr>
        <w:t xml:space="preserve"> ומן הפסוקים בעשרת הדברות (או שמא מן הפסוקים בפרשת ויקהל או כי תשא העוסקים בשבת).</w:t>
      </w:r>
      <w:r>
        <w:rPr>
          <w:rFonts w:hint="cs"/>
          <w:rtl/>
        </w:rPr>
        <w:t xml:space="preserve"> ראה דברינו </w:t>
      </w:r>
      <w:hyperlink r:id="rId4" w:history="1">
        <w:r w:rsidRPr="001A28BD">
          <w:rPr>
            <w:rStyle w:val="Hyperlink"/>
            <w:rFonts w:hint="cs"/>
            <w:rtl/>
          </w:rPr>
          <w:t>ששת ימים תיעשה מלאכה</w:t>
        </w:r>
      </w:hyperlink>
      <w:r>
        <w:rPr>
          <w:rFonts w:hint="cs"/>
          <w:rtl/>
        </w:rPr>
        <w:t xml:space="preserve"> בפרשת אמור.</w:t>
      </w:r>
    </w:p>
  </w:footnote>
  <w:footnote w:id="13">
    <w:p w:rsidR="00170266" w:rsidRDefault="00170266">
      <w:pPr>
        <w:pStyle w:val="a3"/>
        <w:rPr>
          <w:rFonts w:hint="cs"/>
          <w:rtl/>
        </w:rPr>
      </w:pPr>
      <w:r>
        <w:rPr>
          <w:rStyle w:val="a5"/>
        </w:rPr>
        <w:footnoteRef/>
      </w:r>
      <w:r>
        <w:rPr>
          <w:rtl/>
        </w:rPr>
        <w:t xml:space="preserve"> </w:t>
      </w:r>
      <w:r>
        <w:rPr>
          <w:rFonts w:hint="cs"/>
          <w:rtl/>
        </w:rPr>
        <w:t xml:space="preserve">על מנת לעסוק במלאכה יש ללמוד אותה. והיא אחת ממצוות האב על הבן בדומה לחובה למול את הבן, לפדותו וכו'. ראה מקור הלכות אלה בתוספתא קידושין פרק א הלכה יא, תלמוד בבלי קידושין דפים כט-ל, ירושלמי קידושין פרק א הלכה ז. תנא דבי מנשה (מקור תנאי לא נדיר כ"כ כמו שניתן לחשוב) מלמד אותנו שמותר לעשות בשבת הסכמים וסידורים ולדבר על לימוד מלאכה לבן בשבת, כמו לימוד ספר (תורה) וכמו שידוכים (ראה שטיינזלץ שמדגיש שאין מדובר בלימוד האומנות עצמה, גם לא לימוד שאינו כרוך בחילול שבת, אלא בעריכת הסכמים והתקשרויות עסקיות, בדומה להסכם שידוך לבנות. אבל אם כך, גם לימוד ספר הוא לא לימוד ממש אלא הסכם עם מישהו שילמד את הבן וצ"ע). עיסוק כזה בשבת איננו נחשב ל"חפציך" שאסורים בשבת כמו עובדין דחול, אלא "חפצי שמים". ראה רש"י שאומר: "דהא נמי מצוה היא, שכל שאינו מלמדו אומנות </w:t>
      </w:r>
      <w:r>
        <w:rPr>
          <w:rtl/>
        </w:rPr>
        <w:t>–</w:t>
      </w:r>
      <w:r>
        <w:rPr>
          <w:rFonts w:hint="cs"/>
          <w:rtl/>
        </w:rPr>
        <w:t xml:space="preserve"> מלמדו ליסטות". נראה שאפשר לקשר גמרא זו במסכת שבת עם דברי רבי מאיר בסוף אבות דרבי נתן הנ"ל ולקשר הכל עם השבת, נכון יותר עם החילופין של מלאכה בששת הימים ושביתה בשבת. מי שאינו עושה מלאכה בחול, סופו לעשותה בשבת ולחללה. לפיכך מותר ואף מצווה ללמד את הבן אומנות גם בשבת, ואין זה "חפציך", על מנת שיעשה מלאכה בימות החול וישמור שבת כראוי וכהלכה. לימוד כזה הוא "חפצי שמים", כמו הקב"ה שעשה את מלאכת הבריאה וציווה עלינו "לעובדה ולשומרה".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DB" w:rsidRDefault="00263EDB" w:rsidP="007728FF">
    <w:pPr>
      <w:pStyle w:val="1"/>
      <w:tabs>
        <w:tab w:val="clear" w:pos="9469"/>
        <w:tab w:val="right" w:pos="9185"/>
      </w:tabs>
      <w:rPr>
        <w:rFonts w:hint="cs"/>
        <w:rtl/>
      </w:rPr>
    </w:pPr>
    <w:r>
      <w:rPr>
        <w:rtl/>
      </w:rPr>
      <w:t xml:space="preserve">פרשת </w:t>
    </w:r>
    <w:fldSimple w:instr=" SUBJECT  \* MERGEFORMAT ">
      <w:r>
        <w:rPr>
          <w:rtl/>
        </w:rPr>
        <w:t>בראשית</w:t>
      </w:r>
    </w:fldSimple>
    <w:r>
      <w:rPr>
        <w:rtl/>
      </w:rPr>
      <w:t xml:space="preserve"> </w:t>
    </w:r>
    <w:r>
      <w:rPr>
        <w:rtl/>
      </w:rPr>
      <w:tab/>
    </w:r>
    <w:r>
      <w:rPr>
        <w:rFonts w:hint="cs"/>
        <w:rtl/>
      </w:rPr>
      <w:t>תשס"א</w:t>
    </w:r>
  </w:p>
  <w:p w:rsidR="00263EDB" w:rsidRDefault="00263EDB">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DB" w:rsidRDefault="00263EDB" w:rsidP="00113E35">
    <w:pPr>
      <w:pStyle w:val="1"/>
      <w:tabs>
        <w:tab w:val="right" w:pos="9582"/>
      </w:tabs>
      <w:rPr>
        <w:rFonts w:hint="cs"/>
        <w:rtl/>
      </w:rPr>
    </w:pPr>
    <w:r>
      <w:rPr>
        <w:rtl/>
      </w:rPr>
      <w:t xml:space="preserve">פרשת </w:t>
    </w:r>
    <w:fldSimple w:instr=" SUBJECT  \* MERGEFORMAT ">
      <w:r>
        <w:rPr>
          <w:rtl/>
        </w:rPr>
        <w:t>בראשית</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4E"/>
    <w:rsid w:val="00113E35"/>
    <w:rsid w:val="00157B8E"/>
    <w:rsid w:val="00170266"/>
    <w:rsid w:val="001A28BD"/>
    <w:rsid w:val="00263EDB"/>
    <w:rsid w:val="002C7E4E"/>
    <w:rsid w:val="003C1B5E"/>
    <w:rsid w:val="003D0ED1"/>
    <w:rsid w:val="0040362B"/>
    <w:rsid w:val="004205DC"/>
    <w:rsid w:val="00430838"/>
    <w:rsid w:val="00515408"/>
    <w:rsid w:val="005B7384"/>
    <w:rsid w:val="005D56BA"/>
    <w:rsid w:val="006B5C08"/>
    <w:rsid w:val="00705117"/>
    <w:rsid w:val="0076739F"/>
    <w:rsid w:val="007728FF"/>
    <w:rsid w:val="007A7E02"/>
    <w:rsid w:val="00813F61"/>
    <w:rsid w:val="008E5D48"/>
    <w:rsid w:val="009521B2"/>
    <w:rsid w:val="009F6E66"/>
    <w:rsid w:val="00A8174B"/>
    <w:rsid w:val="00C376A0"/>
    <w:rsid w:val="00D96FFB"/>
    <w:rsid w:val="00DB4B50"/>
    <w:rsid w:val="00DE5CD2"/>
    <w:rsid w:val="00ED4B53"/>
    <w:rsid w:val="00F27D9A"/>
    <w:rsid w:val="00F71F3B"/>
    <w:rsid w:val="00FB3D06"/>
    <w:rsid w:val="00FC7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F5562-AFD5-4DC5-92A8-31F1BEA0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739F"/>
    <w:pPr>
      <w:bidi/>
    </w:pPr>
    <w:rPr>
      <w:rFonts w:cs="Narkisim"/>
      <w:sz w:val="22"/>
      <w:szCs w:val="22"/>
      <w:lang w:eastAsia="he-IL"/>
    </w:rPr>
  </w:style>
  <w:style w:type="paragraph" w:styleId="1">
    <w:name w:val="heading 1"/>
    <w:basedOn w:val="a"/>
    <w:next w:val="a"/>
    <w:link w:val="10"/>
    <w:qFormat/>
    <w:rsid w:val="0076739F"/>
    <w:pPr>
      <w:keepNext/>
      <w:tabs>
        <w:tab w:val="right" w:pos="9469"/>
      </w:tabs>
      <w:jc w:val="both"/>
      <w:outlineLvl w:val="0"/>
    </w:pPr>
    <w:rPr>
      <w:rFonts w:cs="David"/>
      <w:b/>
      <w:bCs/>
      <w:szCs w:val="28"/>
    </w:rPr>
  </w:style>
  <w:style w:type="character" w:default="1" w:styleId="a0">
    <w:name w:val="Default Paragraph Font"/>
    <w:uiPriority w:val="1"/>
    <w:semiHidden/>
    <w:unhideWhenUsed/>
    <w:rsid w:val="007673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739F"/>
  </w:style>
  <w:style w:type="paragraph" w:styleId="a3">
    <w:name w:val="footnote text"/>
    <w:basedOn w:val="a"/>
    <w:link w:val="a4"/>
    <w:rsid w:val="0076739F"/>
    <w:pPr>
      <w:ind w:left="170" w:hanging="170"/>
      <w:jc w:val="both"/>
    </w:pPr>
    <w:rPr>
      <w:sz w:val="20"/>
      <w:szCs w:val="20"/>
    </w:rPr>
  </w:style>
  <w:style w:type="character" w:styleId="a5">
    <w:name w:val="footnote reference"/>
    <w:semiHidden/>
    <w:rsid w:val="0076739F"/>
    <w:rPr>
      <w:vertAlign w:val="superscript"/>
    </w:rPr>
  </w:style>
  <w:style w:type="paragraph" w:styleId="a6">
    <w:name w:val="header"/>
    <w:basedOn w:val="a"/>
    <w:link w:val="a7"/>
    <w:rsid w:val="0076739F"/>
    <w:pPr>
      <w:tabs>
        <w:tab w:val="center" w:pos="4153"/>
        <w:tab w:val="right" w:pos="8306"/>
      </w:tabs>
    </w:pPr>
  </w:style>
  <w:style w:type="paragraph" w:styleId="a8">
    <w:name w:val="footer"/>
    <w:basedOn w:val="a"/>
    <w:link w:val="a9"/>
    <w:rsid w:val="0076739F"/>
    <w:pPr>
      <w:tabs>
        <w:tab w:val="center" w:pos="4153"/>
        <w:tab w:val="right" w:pos="8306"/>
      </w:tabs>
    </w:pPr>
  </w:style>
  <w:style w:type="paragraph" w:customStyle="1" w:styleId="aa">
    <w:name w:val="כותרת"/>
    <w:basedOn w:val="a"/>
    <w:rsid w:val="0076739F"/>
    <w:pPr>
      <w:spacing w:before="240" w:line="320" w:lineRule="atLeast"/>
      <w:jc w:val="center"/>
    </w:pPr>
    <w:rPr>
      <w:rFonts w:cs="David"/>
      <w:b/>
      <w:bCs/>
      <w:spacing w:val="20"/>
      <w:szCs w:val="32"/>
    </w:rPr>
  </w:style>
  <w:style w:type="paragraph" w:customStyle="1" w:styleId="ab">
    <w:name w:val="כותרת קטע"/>
    <w:basedOn w:val="a"/>
    <w:rsid w:val="0076739F"/>
    <w:pPr>
      <w:spacing w:before="240" w:line="300" w:lineRule="atLeast"/>
    </w:pPr>
    <w:rPr>
      <w:rFonts w:cs="Arial"/>
      <w:b/>
      <w:bCs/>
      <w:szCs w:val="24"/>
    </w:rPr>
  </w:style>
  <w:style w:type="paragraph" w:customStyle="1" w:styleId="ac">
    <w:name w:val="מקור"/>
    <w:basedOn w:val="a"/>
    <w:rsid w:val="0076739F"/>
    <w:pPr>
      <w:spacing w:line="320" w:lineRule="atLeast"/>
      <w:jc w:val="both"/>
    </w:pPr>
    <w:rPr>
      <w:rFonts w:cs="David"/>
      <w:szCs w:val="24"/>
    </w:rPr>
  </w:style>
  <w:style w:type="paragraph" w:customStyle="1" w:styleId="ad">
    <w:name w:val="מחלקי המים"/>
    <w:basedOn w:val="a"/>
    <w:rsid w:val="0076739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76739F"/>
    <w:rPr>
      <w:rFonts w:ascii="Tahoma" w:hAnsi="Tahoma" w:cs="Tahoma"/>
      <w:sz w:val="16"/>
      <w:szCs w:val="16"/>
    </w:rPr>
  </w:style>
  <w:style w:type="character" w:customStyle="1" w:styleId="a4">
    <w:name w:val="טקסט הערת שוליים תו"/>
    <w:link w:val="a3"/>
    <w:rsid w:val="0076739F"/>
    <w:rPr>
      <w:rFonts w:cs="Narkisim"/>
      <w:lang w:eastAsia="he-IL"/>
    </w:rPr>
  </w:style>
  <w:style w:type="character" w:customStyle="1" w:styleId="10">
    <w:name w:val="כותרת 1 תו"/>
    <w:link w:val="1"/>
    <w:rsid w:val="0076739F"/>
    <w:rPr>
      <w:rFonts w:cs="David"/>
      <w:b/>
      <w:bCs/>
      <w:sz w:val="22"/>
      <w:szCs w:val="28"/>
      <w:lang w:eastAsia="he-IL"/>
    </w:rPr>
  </w:style>
  <w:style w:type="character" w:customStyle="1" w:styleId="a7">
    <w:name w:val="כותרת עליונה תו"/>
    <w:link w:val="a6"/>
    <w:rsid w:val="0076739F"/>
    <w:rPr>
      <w:rFonts w:cs="Narkisim"/>
      <w:sz w:val="22"/>
      <w:szCs w:val="22"/>
      <w:lang w:eastAsia="he-IL"/>
    </w:rPr>
  </w:style>
  <w:style w:type="character" w:customStyle="1" w:styleId="a9">
    <w:name w:val="כותרת תחתונה תו"/>
    <w:link w:val="a8"/>
    <w:rsid w:val="0076739F"/>
    <w:rPr>
      <w:rFonts w:cs="Narkisim"/>
      <w:sz w:val="22"/>
      <w:szCs w:val="22"/>
      <w:lang w:eastAsia="he-IL"/>
    </w:rPr>
  </w:style>
  <w:style w:type="character" w:styleId="Hyperlink">
    <w:name w:val="Hyperlink"/>
    <w:rsid w:val="0076739F"/>
    <w:rPr>
      <w:color w:val="0000FF"/>
      <w:u w:val="single"/>
    </w:rPr>
  </w:style>
  <w:style w:type="character" w:customStyle="1" w:styleId="af1">
    <w:name w:val="טקסט בלונים תו"/>
    <w:link w:val="af0"/>
    <w:uiPriority w:val="99"/>
    <w:semiHidden/>
    <w:rsid w:val="0076739F"/>
    <w:rPr>
      <w:rFonts w:ascii="Tahoma" w:hAnsi="Tahoma" w:cs="Tahoma"/>
      <w:sz w:val="16"/>
      <w:szCs w:val="16"/>
      <w:lang w:eastAsia="he-IL"/>
    </w:rPr>
  </w:style>
  <w:style w:type="character" w:styleId="af2">
    <w:name w:val="page number"/>
    <w:rsid w:val="005D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A1%D7%A4%D7%AA-%D7%93%D7%92%D7%A0%D7%9A" TargetMode="External"/><Relationship Id="rId2" Type="http://schemas.openxmlformats.org/officeDocument/2006/relationships/hyperlink" Target="https://www.mayim.org.il/?parasha=%D7%A9%D7%A9%D7%AA-%D7%99%D7%9E%D7%99%D7%9D-%D7%AA%D7%A2%D7%A9%D7%94-%D7%9E%D7%9C%D7%90%D7%9B%D7%94" TargetMode="External"/><Relationship Id="rId1" Type="http://schemas.openxmlformats.org/officeDocument/2006/relationships/hyperlink" Target="https://www.mayim.org.il/?parasha=%d7%98%d7%a2%d7%9d-%d7%94%d6%b8%d7%9e%d6%bc%d6%b7%d7%9f1" TargetMode="External"/><Relationship Id="rId4" Type="http://schemas.openxmlformats.org/officeDocument/2006/relationships/hyperlink" Target="http://www.mayim.org.il/?parasha=%d7%a9%d7%a9%d7%aa-%d7%99%d7%9e%d7%99%d7%9d-%d7%aa%d7%a2%d7%a9%d7%94-%d7%9e%d7%9c%d7%90%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659</Words>
  <Characters>3295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לעבדה ולשומרה</vt:lpstr>
      <vt:lpstr>לעבדה ולשומרה</vt:lpstr>
    </vt:vector>
  </TitlesOfParts>
  <Company> </Company>
  <LinksUpToDate>false</LinksUpToDate>
  <CharactersWithSpaces>3947</CharactersWithSpaces>
  <SharedDoc>false</SharedDoc>
  <HLinks>
    <vt:vector size="24" baseType="variant">
      <vt:variant>
        <vt:i4>458836</vt:i4>
      </vt:variant>
      <vt:variant>
        <vt:i4>9</vt:i4>
      </vt:variant>
      <vt:variant>
        <vt:i4>0</vt:i4>
      </vt:variant>
      <vt:variant>
        <vt:i4>5</vt:i4>
      </vt:variant>
      <vt:variant>
        <vt:lpwstr>http://www.mayim.org.il/?parasha=%d7%a9%d7%a9%d7%aa-%d7%99%d7%9e%d7%99%d7%9d-%d7%aa%d7%a2%d7%a9%d7%94-%d7%9e%d7%9c%d7%90%d7%9b%d7%94</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4980824</vt:i4>
      </vt:variant>
      <vt:variant>
        <vt:i4>3</vt:i4>
      </vt:variant>
      <vt:variant>
        <vt:i4>0</vt:i4>
      </vt:variant>
      <vt:variant>
        <vt:i4>5</vt:i4>
      </vt:variant>
      <vt:variant>
        <vt:lpwstr>https://www.mayim.org.il/?parasha=%D7%A9%D7%A9%D7%AA-%D7%99%D7%9E%D7%99%D7%9D-%D7%AA%D7%A2%D7%A9%D7%94-%D7%9E%D7%9C%D7%90%D7%9B%D7%94</vt:lpwstr>
      </vt:variant>
      <vt:variant>
        <vt:lpwstr/>
      </vt:variant>
      <vt:variant>
        <vt:i4>7340130</vt:i4>
      </vt:variant>
      <vt:variant>
        <vt:i4>0</vt:i4>
      </vt:variant>
      <vt:variant>
        <vt:i4>0</vt:i4>
      </vt:variant>
      <vt:variant>
        <vt:i4>5</vt:i4>
      </vt:variant>
      <vt:variant>
        <vt:lpwstr>https://www.mayim.org.il/?parasha=%d7%98%d7%a2%d7%9d-%d7%94%d6%b8%d7%9e%d6%bc%d6%b7%d7%9f1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לעבדה ולשומרה</dc:title>
  <dc:subject>בראשית</dc:subject>
  <dc:creator>Asher Yuval</dc:creator>
  <cp:keywords/>
  <dc:description/>
  <cp:lastModifiedBy>שמעון אפק</cp:lastModifiedBy>
  <cp:revision>2</cp:revision>
  <cp:lastPrinted>2007-10-06T20:40:00Z</cp:lastPrinted>
  <dcterms:created xsi:type="dcterms:W3CDTF">2018-09-30T05:50:00Z</dcterms:created>
  <dcterms:modified xsi:type="dcterms:W3CDTF">2018-09-30T05:50:00Z</dcterms:modified>
</cp:coreProperties>
</file>