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09" w:rsidRPr="00B92A7A" w:rsidRDefault="00E3155A" w:rsidP="00E3155A">
      <w:pPr>
        <w:pStyle w:val="aa"/>
        <w:rPr>
          <w:rtl/>
        </w:rPr>
      </w:pPr>
      <w:bookmarkStart w:id="0" w:name="_GoBack"/>
      <w:bookmarkEnd w:id="0"/>
      <w:r>
        <w:rPr>
          <w:rFonts w:hint="cs"/>
          <w:rtl/>
        </w:rPr>
        <w:t>אכילת הפועל</w:t>
      </w:r>
    </w:p>
    <w:p w:rsidR="00E3155A" w:rsidRDefault="00E3155A" w:rsidP="004E42BE">
      <w:pPr>
        <w:spacing w:before="240" w:line="320" w:lineRule="atLeast"/>
        <w:jc w:val="both"/>
        <w:rPr>
          <w:rFonts w:hint="cs"/>
          <w:rtl/>
          <w:lang w:val="he-IL"/>
        </w:rPr>
      </w:pPr>
      <w:r w:rsidRPr="00E3155A">
        <w:rPr>
          <w:rFonts w:cs="David"/>
          <w:b/>
          <w:bCs/>
          <w:szCs w:val="24"/>
          <w:rtl/>
        </w:rPr>
        <w:t>כִּי תָבֹא בְּכֶרֶם רֵעֶךָ וְאָכַלְתָּ עֲנָבִים כְּנַפְשְׁךָ שָׂבְעֶךָ וְאֶל־כֶּלְיְךָ לֹא תִתֵּן: כִּי תָבֹא בְּקָמַת רֵעֶךָ וְקָטַפְתָּ מְלִילֹת בְּיָדֶךָ וְחֶרְמֵשׁ לֹא תָנִיף עַל קָמַת רֵעֶךָ</w:t>
      </w:r>
      <w:r w:rsidR="004E42BE">
        <w:rPr>
          <w:rFonts w:cs="David" w:hint="cs"/>
          <w:b/>
          <w:bCs/>
          <w:szCs w:val="24"/>
          <w:rtl/>
        </w:rPr>
        <w:t>:</w:t>
      </w:r>
      <w:r w:rsidR="00640BD1" w:rsidRPr="00AA63E1">
        <w:rPr>
          <w:rFonts w:cs="David" w:hint="cs"/>
          <w:b/>
          <w:bCs/>
          <w:szCs w:val="24"/>
          <w:rtl/>
        </w:rPr>
        <w:t xml:space="preserve"> </w:t>
      </w:r>
      <w:r w:rsidR="00640BD1" w:rsidRPr="00AA63E1">
        <w:rPr>
          <w:rtl/>
        </w:rPr>
        <w:t xml:space="preserve">(דברים </w:t>
      </w:r>
      <w:r w:rsidR="00640BD1" w:rsidRPr="00AA63E1">
        <w:rPr>
          <w:rFonts w:hint="cs"/>
          <w:rtl/>
        </w:rPr>
        <w:t>כ</w:t>
      </w:r>
      <w:r>
        <w:rPr>
          <w:rFonts w:hint="cs"/>
          <w:rtl/>
        </w:rPr>
        <w:t>ג כה-כו</w:t>
      </w:r>
      <w:r w:rsidR="00640BD1" w:rsidRPr="00AA63E1">
        <w:rPr>
          <w:rtl/>
        </w:rPr>
        <w:t>)</w:t>
      </w:r>
      <w:r w:rsidR="00640BD1" w:rsidRPr="00AA63E1">
        <w:rPr>
          <w:rFonts w:cs="David" w:hint="cs"/>
          <w:szCs w:val="24"/>
          <w:rtl/>
        </w:rPr>
        <w:t>.</w:t>
      </w:r>
      <w:r w:rsidR="0085264D">
        <w:rPr>
          <w:rStyle w:val="a5"/>
          <w:rtl/>
          <w:lang w:val="he-IL"/>
        </w:rPr>
        <w:footnoteReference w:id="1"/>
      </w:r>
    </w:p>
    <w:p w:rsidR="0085264D" w:rsidRDefault="0085264D" w:rsidP="004E42BE">
      <w:pPr>
        <w:spacing w:before="120" w:line="320" w:lineRule="atLeast"/>
        <w:jc w:val="both"/>
        <w:rPr>
          <w:rFonts w:hint="cs"/>
          <w:rtl/>
          <w:lang w:val="he-IL"/>
        </w:rPr>
      </w:pPr>
      <w:r w:rsidRPr="0085264D">
        <w:rPr>
          <w:rFonts w:cs="David"/>
          <w:b/>
          <w:bCs/>
          <w:szCs w:val="24"/>
          <w:rtl/>
        </w:rPr>
        <w:t>לֹא־תַחְסֹם שׁוֹר בְּדִישׁוֹ</w:t>
      </w:r>
      <w:r w:rsidR="004E42BE">
        <w:rPr>
          <w:rFonts w:cs="David" w:hint="cs"/>
          <w:b/>
          <w:bCs/>
          <w:szCs w:val="24"/>
          <w:rtl/>
        </w:rPr>
        <w:t>:</w:t>
      </w:r>
      <w:r w:rsidR="00E7187F">
        <w:rPr>
          <w:rFonts w:cs="David" w:hint="cs"/>
          <w:b/>
          <w:bCs/>
          <w:szCs w:val="24"/>
          <w:rtl/>
        </w:rPr>
        <w:t xml:space="preserve"> </w:t>
      </w:r>
      <w:r w:rsidR="00E7187F">
        <w:rPr>
          <w:rFonts w:hint="cs"/>
          <w:rtl/>
          <w:lang w:val="he-IL"/>
        </w:rPr>
        <w:t>(ד</w:t>
      </w:r>
      <w:r w:rsidRPr="0085264D">
        <w:rPr>
          <w:rtl/>
          <w:lang w:val="he-IL"/>
        </w:rPr>
        <w:t>ברים כה</w:t>
      </w:r>
      <w:r>
        <w:rPr>
          <w:rFonts w:hint="cs"/>
          <w:rtl/>
          <w:lang w:val="he-IL"/>
        </w:rPr>
        <w:t xml:space="preserve"> ד).</w:t>
      </w:r>
      <w:r w:rsidR="00B645B6">
        <w:rPr>
          <w:rStyle w:val="a5"/>
          <w:rtl/>
          <w:lang w:val="he-IL"/>
        </w:rPr>
        <w:footnoteReference w:id="2"/>
      </w:r>
    </w:p>
    <w:p w:rsidR="00094544" w:rsidRPr="00094544" w:rsidRDefault="00094544" w:rsidP="00094544">
      <w:pPr>
        <w:pStyle w:val="ab"/>
        <w:rPr>
          <w:rtl/>
          <w:lang w:val="he-IL"/>
        </w:rPr>
      </w:pPr>
      <w:r w:rsidRPr="00094544">
        <w:rPr>
          <w:rtl/>
          <w:lang w:val="he-IL"/>
        </w:rPr>
        <w:t xml:space="preserve">מסכת בבא מציעא דף פז עמוד ב </w:t>
      </w:r>
    </w:p>
    <w:p w:rsidR="00094544" w:rsidRDefault="00094544" w:rsidP="00094544">
      <w:pPr>
        <w:pStyle w:val="ac"/>
        <w:rPr>
          <w:rFonts w:hint="cs"/>
          <w:rtl/>
          <w:lang w:val="he-IL"/>
        </w:rPr>
      </w:pPr>
      <w:r w:rsidRPr="00094544">
        <w:rPr>
          <w:rtl/>
          <w:lang w:val="he-IL"/>
        </w:rPr>
        <w:t xml:space="preserve">כדתניא: </w:t>
      </w:r>
      <w:r>
        <w:rPr>
          <w:rFonts w:hint="cs"/>
          <w:rtl/>
          <w:lang w:val="he-IL"/>
        </w:rPr>
        <w:t>"</w:t>
      </w:r>
      <w:r w:rsidRPr="00094544">
        <w:rPr>
          <w:rtl/>
          <w:lang w:val="he-IL"/>
        </w:rPr>
        <w:t>כי תב</w:t>
      </w:r>
      <w:r>
        <w:rPr>
          <w:rFonts w:hint="cs"/>
          <w:rtl/>
          <w:lang w:val="he-IL"/>
        </w:rPr>
        <w:t>ו</w:t>
      </w:r>
      <w:r w:rsidRPr="00094544">
        <w:rPr>
          <w:rtl/>
          <w:lang w:val="he-IL"/>
        </w:rPr>
        <w:t>א</w:t>
      </w:r>
      <w:r>
        <w:rPr>
          <w:rFonts w:hint="cs"/>
          <w:rtl/>
          <w:lang w:val="he-IL"/>
        </w:rPr>
        <w:t>"</w:t>
      </w:r>
      <w:r w:rsidRPr="00094544">
        <w:rPr>
          <w:rtl/>
          <w:lang w:val="he-IL"/>
        </w:rPr>
        <w:t>, נאמר כאן ביאה ונאמר להלן</w:t>
      </w:r>
      <w:r w:rsidR="004006A5">
        <w:rPr>
          <w:rFonts w:hint="cs"/>
          <w:rtl/>
          <w:lang w:val="he-IL"/>
        </w:rPr>
        <w:t>:</w:t>
      </w:r>
      <w:r w:rsidRPr="00094544">
        <w:rPr>
          <w:rtl/>
          <w:lang w:val="he-IL"/>
        </w:rPr>
        <w:t xml:space="preserve"> </w:t>
      </w:r>
      <w:r>
        <w:rPr>
          <w:rFonts w:hint="cs"/>
          <w:rtl/>
          <w:lang w:val="he-IL"/>
        </w:rPr>
        <w:t>"</w:t>
      </w:r>
      <w:r w:rsidRPr="00094544">
        <w:rPr>
          <w:rtl/>
          <w:lang w:val="he-IL"/>
        </w:rPr>
        <w:t>לא תבוא עליו השמש</w:t>
      </w:r>
      <w:r>
        <w:rPr>
          <w:rFonts w:hint="cs"/>
          <w:rtl/>
          <w:lang w:val="he-IL"/>
        </w:rPr>
        <w:t>"</w:t>
      </w:r>
      <w:r w:rsidR="004006A5">
        <w:rPr>
          <w:rFonts w:hint="cs"/>
          <w:rtl/>
          <w:lang w:val="he-IL"/>
        </w:rPr>
        <w:t xml:space="preserve"> (דברים כד טו)</w:t>
      </w:r>
      <w:r w:rsidRPr="00094544">
        <w:rPr>
          <w:rtl/>
          <w:lang w:val="he-IL"/>
        </w:rPr>
        <w:t>, מה להלן בפועל הכתוב מדבר - אף כאן בפועל הכתוב מדבר.</w:t>
      </w:r>
      <w:r w:rsidR="00632872">
        <w:rPr>
          <w:rStyle w:val="a5"/>
          <w:rtl/>
          <w:lang w:val="he-IL"/>
        </w:rPr>
        <w:footnoteReference w:id="3"/>
      </w:r>
      <w:r w:rsidRPr="00094544">
        <w:rPr>
          <w:rtl/>
          <w:lang w:val="he-IL"/>
        </w:rPr>
        <w:t xml:space="preserve"> </w:t>
      </w:r>
    </w:p>
    <w:p w:rsidR="00B645B6" w:rsidRPr="00B645B6" w:rsidRDefault="00B645B6" w:rsidP="00632872">
      <w:pPr>
        <w:pStyle w:val="ab"/>
        <w:rPr>
          <w:rtl/>
          <w:lang w:val="he-IL"/>
        </w:rPr>
      </w:pPr>
      <w:r w:rsidRPr="00B645B6">
        <w:rPr>
          <w:rtl/>
          <w:lang w:val="he-IL"/>
        </w:rPr>
        <w:t xml:space="preserve">תלמוד ירושלמי מסכת מעשרות פרק ב </w:t>
      </w:r>
      <w:r w:rsidR="00632872">
        <w:rPr>
          <w:rFonts w:hint="cs"/>
          <w:rtl/>
          <w:lang w:val="he-IL"/>
        </w:rPr>
        <w:t>הלכה ד</w:t>
      </w:r>
      <w:r w:rsidRPr="00B645B6">
        <w:rPr>
          <w:rtl/>
          <w:lang w:val="he-IL"/>
        </w:rPr>
        <w:t xml:space="preserve"> </w:t>
      </w:r>
    </w:p>
    <w:p w:rsidR="00B645B6" w:rsidRDefault="00B645B6" w:rsidP="004C4BFF">
      <w:pPr>
        <w:pStyle w:val="ac"/>
        <w:rPr>
          <w:rFonts w:hint="cs"/>
          <w:rtl/>
          <w:lang w:val="he-IL"/>
        </w:rPr>
      </w:pPr>
      <w:r w:rsidRPr="00B645B6">
        <w:rPr>
          <w:rtl/>
          <w:lang w:val="he-IL"/>
        </w:rPr>
        <w:t>כתיב</w:t>
      </w:r>
      <w:r w:rsidR="00632872">
        <w:rPr>
          <w:rFonts w:hint="cs"/>
          <w:rtl/>
          <w:lang w:val="he-IL"/>
        </w:rPr>
        <w:t>:</w:t>
      </w:r>
      <w:r w:rsidRPr="00B645B6">
        <w:rPr>
          <w:rtl/>
          <w:lang w:val="he-IL"/>
        </w:rPr>
        <w:t xml:space="preserve"> </w:t>
      </w:r>
      <w:r w:rsidR="00632872">
        <w:rPr>
          <w:rFonts w:hint="cs"/>
          <w:rtl/>
          <w:lang w:val="he-IL"/>
        </w:rPr>
        <w:t>"</w:t>
      </w:r>
      <w:r w:rsidRPr="00B645B6">
        <w:rPr>
          <w:rtl/>
          <w:lang w:val="he-IL"/>
        </w:rPr>
        <w:t>כי תבוא בקמת רעך</w:t>
      </w:r>
      <w:r w:rsidR="00632872">
        <w:rPr>
          <w:rFonts w:hint="cs"/>
          <w:rtl/>
          <w:lang w:val="he-IL"/>
        </w:rPr>
        <w:t>".</w:t>
      </w:r>
      <w:r w:rsidRPr="00B645B6">
        <w:rPr>
          <w:rtl/>
          <w:lang w:val="he-IL"/>
        </w:rPr>
        <w:t xml:space="preserve"> יכול בשאר כל אדם הכתוב מדבר</w:t>
      </w:r>
      <w:r w:rsidR="00632872">
        <w:rPr>
          <w:rFonts w:hint="cs"/>
          <w:rtl/>
          <w:lang w:val="he-IL"/>
        </w:rPr>
        <w:t>?</w:t>
      </w:r>
      <w:r w:rsidRPr="00B645B6">
        <w:rPr>
          <w:rtl/>
          <w:lang w:val="he-IL"/>
        </w:rPr>
        <w:t xml:space="preserve"> תלמוד לומר</w:t>
      </w:r>
      <w:r w:rsidR="00632872">
        <w:rPr>
          <w:rFonts w:hint="cs"/>
          <w:rtl/>
          <w:lang w:val="he-IL"/>
        </w:rPr>
        <w:t>:</w:t>
      </w:r>
      <w:r w:rsidRPr="00B645B6">
        <w:rPr>
          <w:rtl/>
          <w:lang w:val="he-IL"/>
        </w:rPr>
        <w:t xml:space="preserve"> </w:t>
      </w:r>
      <w:r w:rsidR="00632872">
        <w:rPr>
          <w:rFonts w:hint="cs"/>
          <w:rtl/>
          <w:lang w:val="he-IL"/>
        </w:rPr>
        <w:t>"</w:t>
      </w:r>
      <w:r w:rsidRPr="00B645B6">
        <w:rPr>
          <w:rtl/>
          <w:lang w:val="he-IL"/>
        </w:rPr>
        <w:t>וחרמש לא תניף על קמת רעך</w:t>
      </w:r>
      <w:r w:rsidR="00632872">
        <w:rPr>
          <w:rFonts w:hint="cs"/>
          <w:rtl/>
          <w:lang w:val="he-IL"/>
        </w:rPr>
        <w:t>" -</w:t>
      </w:r>
      <w:r w:rsidRPr="00B645B6">
        <w:rPr>
          <w:rtl/>
          <w:lang w:val="he-IL"/>
        </w:rPr>
        <w:t xml:space="preserve"> את שיש לו רשות להניף</w:t>
      </w:r>
      <w:r w:rsidR="00632872">
        <w:rPr>
          <w:rFonts w:hint="cs"/>
          <w:rtl/>
          <w:lang w:val="he-IL"/>
        </w:rPr>
        <w:t>.</w:t>
      </w:r>
      <w:r w:rsidRPr="00B645B6">
        <w:rPr>
          <w:rtl/>
          <w:lang w:val="he-IL"/>
        </w:rPr>
        <w:t xml:space="preserve"> ואי זה זה</w:t>
      </w:r>
      <w:r w:rsidR="00632872">
        <w:rPr>
          <w:rFonts w:hint="cs"/>
          <w:rtl/>
          <w:lang w:val="he-IL"/>
        </w:rPr>
        <w:t>?</w:t>
      </w:r>
      <w:r w:rsidRPr="00B645B6">
        <w:rPr>
          <w:rtl/>
          <w:lang w:val="he-IL"/>
        </w:rPr>
        <w:t xml:space="preserve"> זה הפועל</w:t>
      </w:r>
      <w:r w:rsidR="00632872">
        <w:rPr>
          <w:rFonts w:hint="cs"/>
          <w:rtl/>
          <w:lang w:val="he-IL"/>
        </w:rPr>
        <w:t>.</w:t>
      </w:r>
      <w:r w:rsidRPr="00B645B6">
        <w:rPr>
          <w:rtl/>
          <w:lang w:val="he-IL"/>
        </w:rPr>
        <w:t xml:space="preserve"> איסי בן עקביה אומר</w:t>
      </w:r>
      <w:r w:rsidR="00632872">
        <w:rPr>
          <w:rFonts w:hint="cs"/>
          <w:rtl/>
          <w:lang w:val="he-IL"/>
        </w:rPr>
        <w:t>:</w:t>
      </w:r>
      <w:r w:rsidRPr="00B645B6">
        <w:rPr>
          <w:rtl/>
          <w:lang w:val="he-IL"/>
        </w:rPr>
        <w:t xml:space="preserve"> בשאר כל אדם הכתוב מדבר</w:t>
      </w:r>
      <w:r w:rsidR="00632872">
        <w:rPr>
          <w:rFonts w:hint="cs"/>
          <w:rtl/>
          <w:lang w:val="he-IL"/>
        </w:rPr>
        <w:t>.</w:t>
      </w:r>
      <w:r w:rsidRPr="00B645B6">
        <w:rPr>
          <w:rtl/>
          <w:lang w:val="he-IL"/>
        </w:rPr>
        <w:t xml:space="preserve"> מה תלמוד לומר</w:t>
      </w:r>
      <w:r w:rsidR="00632872">
        <w:rPr>
          <w:rFonts w:hint="cs"/>
          <w:rtl/>
          <w:lang w:val="he-IL"/>
        </w:rPr>
        <w:t>:</w:t>
      </w:r>
      <w:r w:rsidRPr="00B645B6">
        <w:rPr>
          <w:rtl/>
          <w:lang w:val="he-IL"/>
        </w:rPr>
        <w:t xml:space="preserve"> </w:t>
      </w:r>
      <w:r w:rsidR="00632872">
        <w:rPr>
          <w:rFonts w:hint="cs"/>
          <w:rtl/>
          <w:lang w:val="he-IL"/>
        </w:rPr>
        <w:t>"</w:t>
      </w:r>
      <w:r w:rsidRPr="00B645B6">
        <w:rPr>
          <w:rtl/>
          <w:lang w:val="he-IL"/>
        </w:rPr>
        <w:t>וחרמש לא תניף</w:t>
      </w:r>
      <w:r w:rsidR="00632872">
        <w:rPr>
          <w:rFonts w:hint="cs"/>
          <w:rtl/>
          <w:lang w:val="he-IL"/>
        </w:rPr>
        <w:t>"?</w:t>
      </w:r>
      <w:r w:rsidRPr="00B645B6">
        <w:rPr>
          <w:rtl/>
          <w:lang w:val="he-IL"/>
        </w:rPr>
        <w:t xml:space="preserve"> מיכן שאין </w:t>
      </w:r>
      <w:r>
        <w:rPr>
          <w:rtl/>
          <w:lang w:val="he-IL"/>
        </w:rPr>
        <w:t>לו רשות לאכול</w:t>
      </w:r>
      <w:r w:rsidR="00632872">
        <w:rPr>
          <w:rFonts w:hint="cs"/>
          <w:rtl/>
          <w:lang w:val="he-IL"/>
        </w:rPr>
        <w:t>,</w:t>
      </w:r>
      <w:r>
        <w:rPr>
          <w:rtl/>
          <w:lang w:val="he-IL"/>
        </w:rPr>
        <w:t xml:space="preserve"> אלא בשעת הנפת מגל</w:t>
      </w:r>
      <w:r>
        <w:rPr>
          <w:rFonts w:hint="cs"/>
          <w:rtl/>
          <w:lang w:val="he-IL"/>
        </w:rPr>
        <w:t>.</w:t>
      </w:r>
      <w:r w:rsidR="004C4BFF" w:rsidRPr="004C4BFF">
        <w:rPr>
          <w:rtl/>
        </w:rPr>
        <w:t xml:space="preserve"> </w:t>
      </w:r>
      <w:r w:rsidR="004C4BFF" w:rsidRPr="004C4BFF">
        <w:rPr>
          <w:rtl/>
          <w:lang w:val="he-IL"/>
        </w:rPr>
        <w:t>תני רבי שמעון בן יוחי אומר</w:t>
      </w:r>
      <w:r w:rsidR="004C4BFF">
        <w:rPr>
          <w:rFonts w:hint="cs"/>
          <w:rtl/>
          <w:lang w:val="he-IL"/>
        </w:rPr>
        <w:t>:</w:t>
      </w:r>
      <w:r w:rsidR="004C4BFF" w:rsidRPr="004C4BFF">
        <w:rPr>
          <w:rtl/>
          <w:lang w:val="he-IL"/>
        </w:rPr>
        <w:t xml:space="preserve"> עד איכן דיקדקה התורה בגזל</w:t>
      </w:r>
      <w:r w:rsidR="004C4BFF">
        <w:rPr>
          <w:rFonts w:hint="cs"/>
          <w:rtl/>
          <w:lang w:val="he-IL"/>
        </w:rPr>
        <w:t>,</w:t>
      </w:r>
      <w:r w:rsidR="004C4BFF" w:rsidRPr="004C4BFF">
        <w:rPr>
          <w:rtl/>
          <w:lang w:val="he-IL"/>
        </w:rPr>
        <w:t xml:space="preserve"> שצריכה לדון בין אדם לחבירו עד כדי הנפת מגל</w:t>
      </w:r>
      <w:r w:rsidR="004C4BFF">
        <w:rPr>
          <w:rFonts w:hint="cs"/>
          <w:rtl/>
          <w:lang w:val="he-IL"/>
        </w:rPr>
        <w:t>!</w:t>
      </w:r>
      <w:r w:rsidR="004C4BFF" w:rsidRPr="004C4BFF">
        <w:rPr>
          <w:rtl/>
          <w:lang w:val="he-IL"/>
        </w:rPr>
        <w:t xml:space="preserve"> בתוך כן</w:t>
      </w:r>
      <w:r w:rsidR="00CE0F6F">
        <w:rPr>
          <w:rFonts w:hint="cs"/>
          <w:rtl/>
          <w:lang w:val="he-IL"/>
        </w:rPr>
        <w:t>:</w:t>
      </w:r>
      <w:r w:rsidR="00CE0F6F">
        <w:rPr>
          <w:rStyle w:val="a5"/>
          <w:rtl/>
          <w:lang w:val="he-IL"/>
        </w:rPr>
        <w:footnoteReference w:id="4"/>
      </w:r>
      <w:r w:rsidR="004C4BFF" w:rsidRPr="004C4BFF">
        <w:rPr>
          <w:rtl/>
          <w:lang w:val="he-IL"/>
        </w:rPr>
        <w:t xml:space="preserve"> גדולה מלאכה שלא חרב דור המבול אלא עד מפני הגזל</w:t>
      </w:r>
      <w:r w:rsidR="004C4BFF">
        <w:rPr>
          <w:rFonts w:hint="cs"/>
          <w:rtl/>
          <w:lang w:val="he-IL"/>
        </w:rPr>
        <w:t>.</w:t>
      </w:r>
      <w:r w:rsidR="004C4BFF" w:rsidRPr="004C4BFF">
        <w:rPr>
          <w:rtl/>
          <w:lang w:val="he-IL"/>
        </w:rPr>
        <w:t xml:space="preserve"> ופועל עושה במלאכתו ואוכל ופטור מן הגזל</w:t>
      </w:r>
      <w:r w:rsidR="004C4BFF">
        <w:rPr>
          <w:rFonts w:hint="cs"/>
          <w:rtl/>
          <w:lang w:val="he-IL"/>
        </w:rPr>
        <w:t>!</w:t>
      </w:r>
      <w:r w:rsidR="004C4BFF">
        <w:rPr>
          <w:rStyle w:val="a5"/>
          <w:rtl/>
          <w:lang w:val="he-IL"/>
        </w:rPr>
        <w:footnoteReference w:id="5"/>
      </w:r>
    </w:p>
    <w:p w:rsidR="004C4BFF" w:rsidRDefault="004C4BFF" w:rsidP="003813B4">
      <w:pPr>
        <w:pStyle w:val="ab"/>
        <w:rPr>
          <w:rFonts w:hint="cs"/>
          <w:rtl/>
          <w:lang w:val="he-IL"/>
        </w:rPr>
      </w:pPr>
      <w:r>
        <w:rPr>
          <w:rFonts w:hint="cs"/>
          <w:rtl/>
          <w:lang w:val="he-IL"/>
        </w:rPr>
        <w:t xml:space="preserve">יוסף בן מתתיהו (יוסיפוס פלביוס) </w:t>
      </w:r>
      <w:r>
        <w:rPr>
          <w:rFonts w:cs="David"/>
          <w:rtl/>
          <w:lang w:val="he-IL"/>
        </w:rPr>
        <w:t>–</w:t>
      </w:r>
      <w:r>
        <w:rPr>
          <w:rFonts w:hint="cs"/>
          <w:rtl/>
          <w:lang w:val="he-IL"/>
        </w:rPr>
        <w:t xml:space="preserve"> קדמ</w:t>
      </w:r>
      <w:r w:rsidR="003813B4">
        <w:rPr>
          <w:rFonts w:hint="cs"/>
          <w:rtl/>
          <w:lang w:val="he-IL"/>
        </w:rPr>
        <w:t>ו</w:t>
      </w:r>
      <w:r>
        <w:rPr>
          <w:rFonts w:hint="cs"/>
          <w:rtl/>
          <w:lang w:val="he-IL"/>
        </w:rPr>
        <w:t>ניות היהודים ספר רביעי</w:t>
      </w:r>
      <w:r>
        <w:rPr>
          <w:rStyle w:val="a5"/>
          <w:rtl/>
          <w:lang w:val="he-IL"/>
        </w:rPr>
        <w:footnoteReference w:id="6"/>
      </w:r>
    </w:p>
    <w:p w:rsidR="00136C41" w:rsidRDefault="00951829" w:rsidP="00EC3938">
      <w:pPr>
        <w:pStyle w:val="ac"/>
        <w:rPr>
          <w:rFonts w:hint="cs"/>
          <w:rtl/>
          <w:lang w:val="he-IL"/>
        </w:rPr>
      </w:pPr>
      <w:r>
        <w:rPr>
          <w:rFonts w:hint="cs"/>
          <w:rtl/>
          <w:lang w:val="he-IL"/>
        </w:rPr>
        <w:t>... אין מונעים מעוברי דרך לנגוע בפירות בעצם האסיף בימי הסתיו</w:t>
      </w:r>
      <w:r w:rsidR="00CB549E">
        <w:rPr>
          <w:rFonts w:hint="cs"/>
          <w:rtl/>
          <w:lang w:val="he-IL"/>
        </w:rPr>
        <w:t xml:space="preserve"> ... בין </w:t>
      </w:r>
      <w:r w:rsidR="00136C41">
        <w:rPr>
          <w:rFonts w:hint="cs"/>
          <w:rtl/>
          <w:lang w:val="he-IL"/>
        </w:rPr>
        <w:t>אם הם אנשי המקום ובין אם זרים</w:t>
      </w:r>
      <w:r w:rsidR="00B52FCF">
        <w:rPr>
          <w:rFonts w:hint="cs"/>
          <w:rtl/>
          <w:lang w:val="he-IL"/>
        </w:rPr>
        <w:t>,</w:t>
      </w:r>
      <w:r w:rsidR="00136C41">
        <w:rPr>
          <w:rFonts w:hint="cs"/>
          <w:rtl/>
          <w:lang w:val="he-IL"/>
        </w:rPr>
        <w:t xml:space="preserve"> ולשמוח על שנותנים להם ליהנות מן הפירות שנתבשלו. ואולם, אסור עליהם לקחת איתם משהו. </w:t>
      </w:r>
      <w:r w:rsidR="00B52FCF">
        <w:rPr>
          <w:rFonts w:hint="cs"/>
          <w:rtl/>
          <w:lang w:val="he-IL"/>
        </w:rPr>
        <w:t xml:space="preserve">אין זה מן היושר להביט בעין רעה </w:t>
      </w:r>
      <w:r w:rsidR="00EC3938">
        <w:rPr>
          <w:rFonts w:hint="cs"/>
          <w:rtl/>
          <w:lang w:val="he-IL"/>
        </w:rPr>
        <w:t>א</w:t>
      </w:r>
      <w:r w:rsidR="00B52FCF">
        <w:rPr>
          <w:rFonts w:hint="cs"/>
          <w:rtl/>
          <w:lang w:val="he-IL"/>
        </w:rPr>
        <w:t>ל המתאווים</w:t>
      </w:r>
      <w:r w:rsidR="00EC3938">
        <w:rPr>
          <w:rFonts w:hint="cs"/>
          <w:rtl/>
          <w:lang w:val="he-IL"/>
        </w:rPr>
        <w:t xml:space="preserve"> ליהנות מן הברכות שבאו לעולם ברצון אלוהים, בשעה שהעונה עומדת בעצם תוקפה וממהרת לצאת</w:t>
      </w:r>
      <w:r w:rsidR="00136C41">
        <w:rPr>
          <w:rFonts w:hint="cs"/>
          <w:rtl/>
          <w:lang w:val="he-IL"/>
        </w:rPr>
        <w:t xml:space="preserve">. ולא עוד, אלא שהדבר יגרום נחת רוח לאלוהים אם יזמינו ליהנות מן הפירות אפילו אנשים שמהססים מתוך צניעות לנגוע בהם </w:t>
      </w:r>
      <w:r w:rsidR="00136C41">
        <w:rPr>
          <w:rtl/>
          <w:lang w:val="he-IL"/>
        </w:rPr>
        <w:t>–</w:t>
      </w:r>
      <w:r w:rsidR="00136C41">
        <w:rPr>
          <w:rFonts w:hint="cs"/>
          <w:rtl/>
          <w:lang w:val="he-IL"/>
        </w:rPr>
        <w:t xml:space="preserve"> יהיו אלה ישראלים ... או בני אדם שבאו ממקום אחר ... כי אין לחשוב להוצאה יתירה מה שמרשה איש בנדיבותו לבריות לקחת, כיוון שאלוהים ממציא את שפע </w:t>
      </w:r>
      <w:r w:rsidR="00136C41">
        <w:rPr>
          <w:rFonts w:hint="cs"/>
          <w:rtl/>
          <w:lang w:val="he-IL"/>
        </w:rPr>
        <w:lastRenderedPageBreak/>
        <w:t>טובותיו  ... כדי לשתף גם אחרים מתוך נדיבות ... שרצונו שתיראה באופן זה חיבתו לעם ישראל והשפעת ברכותיו עליהם.</w:t>
      </w:r>
      <w:r w:rsidR="002D4B07">
        <w:rPr>
          <w:rStyle w:val="a5"/>
          <w:rtl/>
          <w:lang w:val="he-IL"/>
        </w:rPr>
        <w:footnoteReference w:id="7"/>
      </w:r>
    </w:p>
    <w:p w:rsidR="00422D49" w:rsidRPr="00422D49" w:rsidRDefault="00422D49" w:rsidP="00422D49">
      <w:pPr>
        <w:pStyle w:val="ab"/>
        <w:rPr>
          <w:rtl/>
          <w:lang w:val="he-IL"/>
        </w:rPr>
      </w:pPr>
      <w:r w:rsidRPr="00422D49">
        <w:rPr>
          <w:rtl/>
          <w:lang w:val="he-IL"/>
        </w:rPr>
        <w:t xml:space="preserve">משנה מסכת בבא מציעא פרק ז </w:t>
      </w:r>
      <w:r>
        <w:rPr>
          <w:rFonts w:hint="cs"/>
          <w:rtl/>
          <w:lang w:val="he-IL"/>
        </w:rPr>
        <w:t>משניות ב-ה</w:t>
      </w:r>
    </w:p>
    <w:p w:rsidR="00422D49" w:rsidRPr="00422D49" w:rsidRDefault="00422D49" w:rsidP="00CF6DB2">
      <w:pPr>
        <w:pStyle w:val="ac"/>
        <w:rPr>
          <w:rtl/>
          <w:lang w:val="he-IL"/>
        </w:rPr>
      </w:pPr>
      <w:r w:rsidRPr="00422D49">
        <w:rPr>
          <w:rtl/>
          <w:lang w:val="he-IL"/>
        </w:rPr>
        <w:t>ואלו אוכלין מן התורה</w:t>
      </w:r>
      <w:r w:rsidR="0019661F">
        <w:rPr>
          <w:rFonts w:hint="cs"/>
          <w:rtl/>
          <w:lang w:val="he-IL"/>
        </w:rPr>
        <w:t>:</w:t>
      </w:r>
      <w:r w:rsidR="00D171F8">
        <w:rPr>
          <w:rStyle w:val="a5"/>
          <w:rtl/>
          <w:lang w:val="he-IL"/>
        </w:rPr>
        <w:footnoteReference w:id="8"/>
      </w:r>
      <w:r w:rsidRPr="00422D49">
        <w:rPr>
          <w:rtl/>
          <w:lang w:val="he-IL"/>
        </w:rPr>
        <w:t xml:space="preserve"> העושה במחובר לקרקע בשעת גמר מלאכה</w:t>
      </w:r>
      <w:r w:rsidR="00D632AC">
        <w:rPr>
          <w:rFonts w:hint="cs"/>
          <w:rtl/>
          <w:lang w:val="he-IL"/>
        </w:rPr>
        <w:t>,</w:t>
      </w:r>
      <w:r w:rsidRPr="00422D49">
        <w:rPr>
          <w:rtl/>
          <w:lang w:val="he-IL"/>
        </w:rPr>
        <w:t xml:space="preserve"> ובתלוש מן הקרקע עד שלא נגמרה מלאכתו</w:t>
      </w:r>
      <w:r w:rsidR="00610635">
        <w:rPr>
          <w:rStyle w:val="a5"/>
          <w:rtl/>
          <w:lang w:val="he-IL"/>
        </w:rPr>
        <w:footnoteReference w:id="9"/>
      </w:r>
      <w:r w:rsidR="00CF6DB2">
        <w:rPr>
          <w:rFonts w:hint="cs"/>
          <w:rtl/>
          <w:lang w:val="he-IL"/>
        </w:rPr>
        <w:t xml:space="preserve"> - </w:t>
      </w:r>
      <w:r w:rsidRPr="00422D49">
        <w:rPr>
          <w:rtl/>
          <w:lang w:val="he-IL"/>
        </w:rPr>
        <w:t>בדבר ש</w:t>
      </w:r>
      <w:r w:rsidR="00195D46">
        <w:rPr>
          <w:rtl/>
          <w:lang w:val="he-IL"/>
        </w:rPr>
        <w:t>גידולו</w:t>
      </w:r>
      <w:r w:rsidRPr="00422D49">
        <w:rPr>
          <w:rtl/>
          <w:lang w:val="he-IL"/>
        </w:rPr>
        <w:t xml:space="preserve"> מן הארץ</w:t>
      </w:r>
      <w:r w:rsidR="00CF6DB2">
        <w:rPr>
          <w:rFonts w:hint="cs"/>
          <w:rtl/>
          <w:lang w:val="he-IL"/>
        </w:rPr>
        <w:t>.</w:t>
      </w:r>
      <w:r w:rsidR="00F670AE">
        <w:rPr>
          <w:rStyle w:val="a5"/>
          <w:rtl/>
          <w:lang w:val="he-IL"/>
        </w:rPr>
        <w:footnoteReference w:id="10"/>
      </w:r>
      <w:r w:rsidRPr="00422D49">
        <w:rPr>
          <w:rtl/>
          <w:lang w:val="he-IL"/>
        </w:rPr>
        <w:t xml:space="preserve"> ואלו שאין אוכלין</w:t>
      </w:r>
      <w:r w:rsidR="00CF6DB2">
        <w:rPr>
          <w:rFonts w:hint="cs"/>
          <w:rtl/>
          <w:lang w:val="he-IL"/>
        </w:rPr>
        <w:t>:</w:t>
      </w:r>
      <w:r w:rsidRPr="00422D49">
        <w:rPr>
          <w:rtl/>
          <w:lang w:val="he-IL"/>
        </w:rPr>
        <w:t xml:space="preserve"> העושה במחובר לקרקע בשעה שאין גמר מלאכה</w:t>
      </w:r>
      <w:r w:rsidR="00CF6DB2">
        <w:rPr>
          <w:rFonts w:hint="cs"/>
          <w:rtl/>
          <w:lang w:val="he-IL"/>
        </w:rPr>
        <w:t>,</w:t>
      </w:r>
      <w:r w:rsidRPr="00422D49">
        <w:rPr>
          <w:rtl/>
          <w:lang w:val="he-IL"/>
        </w:rPr>
        <w:t xml:space="preserve"> ובתלוש מן הקרקע מאחר שנגמרה מלאכתו </w:t>
      </w:r>
      <w:r w:rsidR="00CF6DB2">
        <w:rPr>
          <w:rFonts w:hint="cs"/>
          <w:rtl/>
          <w:lang w:val="he-IL"/>
        </w:rPr>
        <w:t xml:space="preserve">- </w:t>
      </w:r>
      <w:r w:rsidRPr="00422D49">
        <w:rPr>
          <w:rtl/>
          <w:lang w:val="he-IL"/>
        </w:rPr>
        <w:t xml:space="preserve">ובדבר שאין </w:t>
      </w:r>
      <w:r w:rsidR="00195D46">
        <w:rPr>
          <w:rtl/>
          <w:lang w:val="he-IL"/>
        </w:rPr>
        <w:t>גידולו</w:t>
      </w:r>
      <w:r w:rsidR="00CF6DB2">
        <w:rPr>
          <w:rtl/>
          <w:lang w:val="he-IL"/>
        </w:rPr>
        <w:t xml:space="preserve"> מן הארץ</w:t>
      </w:r>
      <w:r w:rsidR="00CF6DB2">
        <w:rPr>
          <w:rFonts w:hint="cs"/>
          <w:rtl/>
          <w:lang w:val="he-IL"/>
        </w:rPr>
        <w:t>.</w:t>
      </w:r>
      <w:r w:rsidR="006C2E7D">
        <w:rPr>
          <w:rStyle w:val="a5"/>
          <w:rtl/>
          <w:lang w:val="he-IL"/>
        </w:rPr>
        <w:footnoteReference w:id="11"/>
      </w:r>
    </w:p>
    <w:p w:rsidR="00422D49" w:rsidRPr="00422D49" w:rsidRDefault="00422D49" w:rsidP="000478C1">
      <w:pPr>
        <w:pStyle w:val="ac"/>
        <w:rPr>
          <w:rtl/>
          <w:lang w:val="he-IL"/>
        </w:rPr>
      </w:pPr>
      <w:r w:rsidRPr="00422D49">
        <w:rPr>
          <w:rtl/>
          <w:lang w:val="he-IL"/>
        </w:rPr>
        <w:t>היה עושה בידיו אבל לא ברגליו</w:t>
      </w:r>
      <w:r w:rsidR="007A4F7A">
        <w:rPr>
          <w:rFonts w:hint="cs"/>
          <w:rtl/>
          <w:lang w:val="he-IL"/>
        </w:rPr>
        <w:t>,</w:t>
      </w:r>
      <w:r w:rsidRPr="00422D49">
        <w:rPr>
          <w:rtl/>
          <w:lang w:val="he-IL"/>
        </w:rPr>
        <w:t xml:space="preserve"> ברגליו אבל לא בידיו</w:t>
      </w:r>
      <w:r w:rsidR="007A4F7A">
        <w:rPr>
          <w:rFonts w:hint="cs"/>
          <w:rtl/>
          <w:lang w:val="he-IL"/>
        </w:rPr>
        <w:t>,</w:t>
      </w:r>
      <w:r w:rsidRPr="00422D49">
        <w:rPr>
          <w:rtl/>
          <w:lang w:val="he-IL"/>
        </w:rPr>
        <w:t xml:space="preserve"> אפילו בכתפו</w:t>
      </w:r>
      <w:r w:rsidR="007A4F7A">
        <w:rPr>
          <w:rFonts w:hint="cs"/>
          <w:rtl/>
          <w:lang w:val="he-IL"/>
        </w:rPr>
        <w:t>,</w:t>
      </w:r>
      <w:r w:rsidRPr="00422D49">
        <w:rPr>
          <w:rtl/>
          <w:lang w:val="he-IL"/>
        </w:rPr>
        <w:t xml:space="preserve"> הרי זה אוכל</w:t>
      </w:r>
      <w:r w:rsidR="007A4F7A">
        <w:rPr>
          <w:rFonts w:hint="cs"/>
          <w:rtl/>
          <w:lang w:val="he-IL"/>
        </w:rPr>
        <w:t>.</w:t>
      </w:r>
      <w:r w:rsidRPr="00422D49">
        <w:rPr>
          <w:rtl/>
          <w:lang w:val="he-IL"/>
        </w:rPr>
        <w:t xml:space="preserve"> רבי יוסי בר' יהודה אומר</w:t>
      </w:r>
      <w:r w:rsidR="007A4F7A">
        <w:rPr>
          <w:rFonts w:hint="cs"/>
          <w:rtl/>
          <w:lang w:val="he-IL"/>
        </w:rPr>
        <w:t>:</w:t>
      </w:r>
      <w:r w:rsidRPr="00422D49">
        <w:rPr>
          <w:rtl/>
          <w:lang w:val="he-IL"/>
        </w:rPr>
        <w:t xml:space="preserve"> עד שיעשה בידיו וברגליו</w:t>
      </w:r>
      <w:r w:rsidR="000478C1">
        <w:rPr>
          <w:rFonts w:hint="cs"/>
          <w:rtl/>
          <w:lang w:val="he-IL"/>
        </w:rPr>
        <w:t>.</w:t>
      </w:r>
      <w:r w:rsidR="007A4F7A">
        <w:rPr>
          <w:rStyle w:val="a5"/>
          <w:rtl/>
          <w:lang w:val="he-IL"/>
        </w:rPr>
        <w:footnoteReference w:id="12"/>
      </w:r>
      <w:r w:rsidRPr="00422D49">
        <w:rPr>
          <w:rtl/>
          <w:lang w:val="he-IL"/>
        </w:rPr>
        <w:t xml:space="preserve"> </w:t>
      </w:r>
    </w:p>
    <w:p w:rsidR="00422D49" w:rsidRPr="00422D49" w:rsidRDefault="00422D49" w:rsidP="00CF6DB2">
      <w:pPr>
        <w:pStyle w:val="ac"/>
        <w:rPr>
          <w:rtl/>
          <w:lang w:val="he-IL"/>
        </w:rPr>
      </w:pPr>
      <w:r w:rsidRPr="00422D49">
        <w:rPr>
          <w:rtl/>
          <w:lang w:val="he-IL"/>
        </w:rPr>
        <w:t>היה עושה בתאנים</w:t>
      </w:r>
      <w:r w:rsidR="00CF6DB2">
        <w:rPr>
          <w:rFonts w:hint="cs"/>
          <w:rtl/>
          <w:lang w:val="he-IL"/>
        </w:rPr>
        <w:t>,</w:t>
      </w:r>
      <w:r w:rsidRPr="00422D49">
        <w:rPr>
          <w:rtl/>
          <w:lang w:val="he-IL"/>
        </w:rPr>
        <w:t xml:space="preserve"> לא יאכל בענבים</w:t>
      </w:r>
      <w:r w:rsidR="00CF6DB2">
        <w:rPr>
          <w:rFonts w:hint="cs"/>
          <w:rtl/>
          <w:lang w:val="he-IL"/>
        </w:rPr>
        <w:t>;</w:t>
      </w:r>
      <w:r w:rsidRPr="00422D49">
        <w:rPr>
          <w:rtl/>
          <w:lang w:val="he-IL"/>
        </w:rPr>
        <w:t xml:space="preserve"> בענבים </w:t>
      </w:r>
      <w:r w:rsidR="00CF6DB2">
        <w:rPr>
          <w:rFonts w:hint="cs"/>
          <w:rtl/>
          <w:lang w:val="he-IL"/>
        </w:rPr>
        <w:t xml:space="preserve">- </w:t>
      </w:r>
      <w:r w:rsidRPr="00422D49">
        <w:rPr>
          <w:rtl/>
          <w:lang w:val="he-IL"/>
        </w:rPr>
        <w:t>לא יאכל בתאנים</w:t>
      </w:r>
      <w:r w:rsidR="00CF6DB2">
        <w:rPr>
          <w:rFonts w:hint="cs"/>
          <w:rtl/>
          <w:lang w:val="he-IL"/>
        </w:rPr>
        <w:t>.</w:t>
      </w:r>
      <w:r w:rsidRPr="00422D49">
        <w:rPr>
          <w:rtl/>
          <w:lang w:val="he-IL"/>
        </w:rPr>
        <w:t xml:space="preserve"> אבל מונע את עצמו עד שמגיע למקום היפות ואוכל</w:t>
      </w:r>
      <w:r w:rsidR="007802D0">
        <w:rPr>
          <w:rFonts w:hint="cs"/>
          <w:rtl/>
          <w:lang w:val="he-IL"/>
        </w:rPr>
        <w:t>.</w:t>
      </w:r>
      <w:r w:rsidR="007802D0">
        <w:rPr>
          <w:rStyle w:val="a5"/>
          <w:rtl/>
          <w:lang w:val="he-IL"/>
        </w:rPr>
        <w:footnoteReference w:id="13"/>
      </w:r>
      <w:r w:rsidRPr="00422D49">
        <w:rPr>
          <w:rtl/>
          <w:lang w:val="he-IL"/>
        </w:rPr>
        <w:t xml:space="preserve"> וכולן לא אמרו אלא בשעת מלאכה</w:t>
      </w:r>
      <w:r w:rsidR="00CF6DB2">
        <w:rPr>
          <w:rFonts w:hint="cs"/>
          <w:rtl/>
          <w:lang w:val="he-IL"/>
        </w:rPr>
        <w:t>;</w:t>
      </w:r>
      <w:r w:rsidRPr="00422D49">
        <w:rPr>
          <w:rtl/>
          <w:lang w:val="he-IL"/>
        </w:rPr>
        <w:t xml:space="preserve"> אבל משום השב אבדה לבעלים</w:t>
      </w:r>
      <w:r w:rsidR="00CF6DB2">
        <w:rPr>
          <w:rFonts w:hint="cs"/>
          <w:rtl/>
          <w:lang w:val="he-IL"/>
        </w:rPr>
        <w:t>,</w:t>
      </w:r>
      <w:r w:rsidRPr="00422D49">
        <w:rPr>
          <w:rtl/>
          <w:lang w:val="he-IL"/>
        </w:rPr>
        <w:t xml:space="preserve"> אמרו פועלין אוכלין בהליכתן מאו</w:t>
      </w:r>
      <w:r w:rsidR="00CF6DB2">
        <w:rPr>
          <w:rtl/>
          <w:lang w:val="he-IL"/>
        </w:rPr>
        <w:t>ֹ</w:t>
      </w:r>
      <w:r w:rsidRPr="00422D49">
        <w:rPr>
          <w:rtl/>
          <w:lang w:val="he-IL"/>
        </w:rPr>
        <w:t>מ</w:t>
      </w:r>
      <w:r w:rsidR="00CF6DB2">
        <w:rPr>
          <w:rtl/>
          <w:lang w:val="he-IL"/>
        </w:rPr>
        <w:t>ֶ</w:t>
      </w:r>
      <w:r w:rsidRPr="00422D49">
        <w:rPr>
          <w:rtl/>
          <w:lang w:val="he-IL"/>
        </w:rPr>
        <w:t>ן לאו</w:t>
      </w:r>
      <w:r w:rsidR="00CF6DB2">
        <w:rPr>
          <w:rtl/>
          <w:lang w:val="he-IL"/>
        </w:rPr>
        <w:t>ֹ</w:t>
      </w:r>
      <w:r w:rsidRPr="00422D49">
        <w:rPr>
          <w:rtl/>
          <w:lang w:val="he-IL"/>
        </w:rPr>
        <w:t>מ</w:t>
      </w:r>
      <w:r w:rsidR="00CF6DB2">
        <w:rPr>
          <w:rtl/>
          <w:lang w:val="he-IL"/>
        </w:rPr>
        <w:t>ֶ</w:t>
      </w:r>
      <w:r w:rsidRPr="00422D49">
        <w:rPr>
          <w:rtl/>
          <w:lang w:val="he-IL"/>
        </w:rPr>
        <w:t>ן</w:t>
      </w:r>
      <w:r w:rsidR="007777B2">
        <w:rPr>
          <w:rStyle w:val="a5"/>
          <w:rtl/>
          <w:lang w:val="he-IL"/>
        </w:rPr>
        <w:footnoteReference w:id="14"/>
      </w:r>
      <w:r w:rsidRPr="00422D49">
        <w:rPr>
          <w:rtl/>
          <w:lang w:val="he-IL"/>
        </w:rPr>
        <w:t xml:space="preserve"> ובחזירתן מן הגת ובחמור כשהיא פורקת</w:t>
      </w:r>
      <w:r w:rsidR="007802D0">
        <w:rPr>
          <w:rFonts w:hint="cs"/>
          <w:rtl/>
          <w:lang w:val="he-IL"/>
        </w:rPr>
        <w:t>.</w:t>
      </w:r>
      <w:r w:rsidR="007802D0">
        <w:rPr>
          <w:rStyle w:val="a5"/>
          <w:rtl/>
          <w:lang w:val="he-IL"/>
        </w:rPr>
        <w:footnoteReference w:id="15"/>
      </w:r>
      <w:r w:rsidRPr="00422D49">
        <w:rPr>
          <w:rtl/>
          <w:lang w:val="he-IL"/>
        </w:rPr>
        <w:t xml:space="preserve"> </w:t>
      </w:r>
    </w:p>
    <w:p w:rsidR="00422D49" w:rsidRDefault="00422D49" w:rsidP="00422D49">
      <w:pPr>
        <w:pStyle w:val="ac"/>
        <w:rPr>
          <w:rFonts w:hint="cs"/>
          <w:rtl/>
          <w:lang w:val="he-IL"/>
        </w:rPr>
      </w:pPr>
      <w:r w:rsidRPr="00422D49">
        <w:rPr>
          <w:rtl/>
          <w:lang w:val="he-IL"/>
        </w:rPr>
        <w:lastRenderedPageBreak/>
        <w:t>אוכל פועל קישות אפילו בדינר</w:t>
      </w:r>
      <w:r w:rsidR="00581555">
        <w:rPr>
          <w:rFonts w:hint="cs"/>
          <w:rtl/>
          <w:lang w:val="he-IL"/>
        </w:rPr>
        <w:t>,</w:t>
      </w:r>
      <w:r w:rsidRPr="00422D49">
        <w:rPr>
          <w:rtl/>
          <w:lang w:val="he-IL"/>
        </w:rPr>
        <w:t xml:space="preserve"> וכותבת אפילו בדינר</w:t>
      </w:r>
      <w:r w:rsidR="00581555">
        <w:rPr>
          <w:rFonts w:hint="cs"/>
          <w:rtl/>
          <w:lang w:val="he-IL"/>
        </w:rPr>
        <w:t>.</w:t>
      </w:r>
      <w:r w:rsidRPr="00422D49">
        <w:rPr>
          <w:rtl/>
          <w:lang w:val="he-IL"/>
        </w:rPr>
        <w:t xml:space="preserve"> ר' אלעזר חסמא אומר</w:t>
      </w:r>
      <w:r w:rsidR="00581555">
        <w:rPr>
          <w:rFonts w:hint="cs"/>
          <w:rtl/>
          <w:lang w:val="he-IL"/>
        </w:rPr>
        <w:t>:</w:t>
      </w:r>
      <w:r w:rsidRPr="00422D49">
        <w:rPr>
          <w:rtl/>
          <w:lang w:val="he-IL"/>
        </w:rPr>
        <w:t xml:space="preserve"> לא יאכל פועל יתר על שכרו</w:t>
      </w:r>
      <w:r w:rsidR="00581555">
        <w:rPr>
          <w:rFonts w:hint="cs"/>
          <w:rtl/>
          <w:lang w:val="he-IL"/>
        </w:rPr>
        <w:t>.</w:t>
      </w:r>
      <w:r w:rsidRPr="00422D49">
        <w:rPr>
          <w:rtl/>
          <w:lang w:val="he-IL"/>
        </w:rPr>
        <w:t xml:space="preserve"> וחכמים מתירין</w:t>
      </w:r>
      <w:r w:rsidR="00581555">
        <w:rPr>
          <w:rFonts w:hint="cs"/>
          <w:rtl/>
          <w:lang w:val="he-IL"/>
        </w:rPr>
        <w:t>;</w:t>
      </w:r>
      <w:r w:rsidRPr="00422D49">
        <w:rPr>
          <w:rtl/>
          <w:lang w:val="he-IL"/>
        </w:rPr>
        <w:t xml:space="preserve"> אבל מלמדין את האדם</w:t>
      </w:r>
      <w:r w:rsidR="00581555">
        <w:rPr>
          <w:rFonts w:hint="cs"/>
          <w:rtl/>
          <w:lang w:val="he-IL"/>
        </w:rPr>
        <w:t>,</w:t>
      </w:r>
      <w:r w:rsidRPr="00422D49">
        <w:rPr>
          <w:rtl/>
          <w:lang w:val="he-IL"/>
        </w:rPr>
        <w:t xml:space="preserve"> שלא יהא</w:t>
      </w:r>
      <w:r w:rsidR="00581555">
        <w:rPr>
          <w:rtl/>
          <w:lang w:val="he-IL"/>
        </w:rPr>
        <w:t xml:space="preserve"> רעבתן ויהא סותם את הפתח בפניו</w:t>
      </w:r>
      <w:r w:rsidR="00581555">
        <w:rPr>
          <w:rFonts w:hint="cs"/>
          <w:rtl/>
          <w:lang w:val="he-IL"/>
        </w:rPr>
        <w:t>.</w:t>
      </w:r>
      <w:r w:rsidR="00FF65BD">
        <w:rPr>
          <w:rStyle w:val="a5"/>
          <w:rtl/>
          <w:lang w:val="he-IL"/>
        </w:rPr>
        <w:footnoteReference w:id="16"/>
      </w:r>
    </w:p>
    <w:p w:rsidR="00AD4DEF" w:rsidRPr="00AD4DEF" w:rsidRDefault="00AD4DEF" w:rsidP="000478C1">
      <w:pPr>
        <w:pStyle w:val="ab"/>
        <w:rPr>
          <w:rtl/>
          <w:lang w:val="he-IL"/>
        </w:rPr>
      </w:pPr>
      <w:r w:rsidRPr="00AD4DEF">
        <w:rPr>
          <w:rtl/>
          <w:lang w:val="he-IL"/>
        </w:rPr>
        <w:t xml:space="preserve">תוספתא מסכת בבא מציעא (ליברמן) פרק ח </w:t>
      </w:r>
      <w:r>
        <w:rPr>
          <w:rFonts w:hint="cs"/>
          <w:rtl/>
          <w:lang w:val="he-IL"/>
        </w:rPr>
        <w:t>הלכות ג-ד</w:t>
      </w:r>
    </w:p>
    <w:p w:rsidR="00E3155A" w:rsidRDefault="00AD4DEF" w:rsidP="00F670AE">
      <w:pPr>
        <w:pStyle w:val="ac"/>
        <w:rPr>
          <w:rFonts w:hint="cs"/>
          <w:rtl/>
          <w:lang w:val="he-IL"/>
        </w:rPr>
      </w:pPr>
      <w:r w:rsidRPr="00AD4DEF">
        <w:rPr>
          <w:rtl/>
          <w:lang w:val="he-IL"/>
        </w:rPr>
        <w:t>רשאין פועלין לאכול פיתן ב</w:t>
      </w:r>
      <w:r w:rsidR="007A4F7A">
        <w:rPr>
          <w:rtl/>
          <w:lang w:val="he-IL"/>
        </w:rPr>
        <w:t>ְּ</w:t>
      </w:r>
      <w:r w:rsidRPr="00AD4DEF">
        <w:rPr>
          <w:rtl/>
          <w:lang w:val="he-IL"/>
        </w:rPr>
        <w:t>צ</w:t>
      </w:r>
      <w:r w:rsidR="007A4F7A">
        <w:rPr>
          <w:rtl/>
          <w:lang w:val="he-IL"/>
        </w:rPr>
        <w:t>ִ</w:t>
      </w:r>
      <w:r w:rsidRPr="00AD4DEF">
        <w:rPr>
          <w:rtl/>
          <w:lang w:val="he-IL"/>
        </w:rPr>
        <w:t>יר כדי שיאכלו ענבים הרבה</w:t>
      </w:r>
      <w:r w:rsidR="007A4F7A">
        <w:rPr>
          <w:rFonts w:hint="cs"/>
          <w:rtl/>
          <w:lang w:val="he-IL"/>
        </w:rPr>
        <w:t>,</w:t>
      </w:r>
      <w:r w:rsidR="002F3783">
        <w:rPr>
          <w:rStyle w:val="a5"/>
          <w:rtl/>
          <w:lang w:val="he-IL"/>
        </w:rPr>
        <w:footnoteReference w:id="17"/>
      </w:r>
      <w:r w:rsidRPr="00AD4DEF">
        <w:rPr>
          <w:rtl/>
          <w:lang w:val="he-IL"/>
        </w:rPr>
        <w:t xml:space="preserve"> ורשאי בעל הבית להשקותן יין כדי שלא יאכלו ענבים הרבה</w:t>
      </w:r>
      <w:r>
        <w:rPr>
          <w:rFonts w:hint="cs"/>
          <w:rtl/>
          <w:lang w:val="he-IL"/>
        </w:rPr>
        <w:t xml:space="preserve">. </w:t>
      </w:r>
      <w:r w:rsidRPr="00AD4DEF">
        <w:rPr>
          <w:rtl/>
          <w:lang w:val="he-IL"/>
        </w:rPr>
        <w:t>ר</w:t>
      </w:r>
      <w:r w:rsidR="00EE7E86">
        <w:rPr>
          <w:rtl/>
          <w:lang w:val="he-IL"/>
        </w:rPr>
        <w:t>ָ</w:t>
      </w:r>
      <w:r w:rsidRPr="00AD4DEF">
        <w:rPr>
          <w:rtl/>
          <w:lang w:val="he-IL"/>
        </w:rPr>
        <w:t>ש</w:t>
      </w:r>
      <w:r w:rsidR="00EE7E86">
        <w:rPr>
          <w:rtl/>
          <w:lang w:val="he-IL"/>
        </w:rPr>
        <w:t>ַׁ</w:t>
      </w:r>
      <w:r w:rsidRPr="00AD4DEF">
        <w:rPr>
          <w:rtl/>
          <w:lang w:val="he-IL"/>
        </w:rPr>
        <w:t>יי בעל הבית להרעיב ולסגיף את פרתו כדי שתאכל הרבה בשעה שדשה</w:t>
      </w:r>
      <w:r w:rsidR="00EE7E86">
        <w:rPr>
          <w:rFonts w:hint="cs"/>
          <w:rtl/>
          <w:lang w:val="he-IL"/>
        </w:rPr>
        <w:t>,</w:t>
      </w:r>
      <w:r w:rsidRPr="00AD4DEF">
        <w:rPr>
          <w:rtl/>
          <w:lang w:val="he-IL"/>
        </w:rPr>
        <w:t xml:space="preserve"> ור</w:t>
      </w:r>
      <w:r w:rsidR="00EE7E86">
        <w:rPr>
          <w:rtl/>
          <w:lang w:val="he-IL"/>
        </w:rPr>
        <w:t>ָ</w:t>
      </w:r>
      <w:r w:rsidRPr="00AD4DEF">
        <w:rPr>
          <w:rtl/>
          <w:lang w:val="he-IL"/>
        </w:rPr>
        <w:t>ש</w:t>
      </w:r>
      <w:r w:rsidR="00EE7E86">
        <w:rPr>
          <w:rtl/>
          <w:lang w:val="he-IL"/>
        </w:rPr>
        <w:t>ַׁ</w:t>
      </w:r>
      <w:r w:rsidRPr="00AD4DEF">
        <w:rPr>
          <w:rtl/>
          <w:lang w:val="he-IL"/>
        </w:rPr>
        <w:t>יי השוכר להאכילה פקיעי עמיר כדי שלא תאכל הרבה בשעה שדשה</w:t>
      </w:r>
      <w:r w:rsidR="00F670AE">
        <w:rPr>
          <w:rFonts w:hint="cs"/>
          <w:rtl/>
          <w:lang w:val="he-IL"/>
        </w:rPr>
        <w:t>.</w:t>
      </w:r>
      <w:r w:rsidR="001C7DC5">
        <w:rPr>
          <w:rStyle w:val="a5"/>
          <w:rtl/>
          <w:lang w:val="he-IL"/>
        </w:rPr>
        <w:footnoteReference w:id="18"/>
      </w:r>
    </w:p>
    <w:p w:rsidR="001C7DC5" w:rsidRPr="001C7DC5" w:rsidRDefault="00926B96" w:rsidP="00926B96">
      <w:pPr>
        <w:pStyle w:val="ab"/>
        <w:rPr>
          <w:rtl/>
          <w:lang w:val="he-IL"/>
        </w:rPr>
      </w:pPr>
      <w:r>
        <w:rPr>
          <w:rFonts w:hint="cs"/>
          <w:rtl/>
          <w:lang w:val="he-IL"/>
        </w:rPr>
        <w:t xml:space="preserve">גמרא </w:t>
      </w:r>
      <w:r w:rsidR="001C7DC5" w:rsidRPr="001C7DC5">
        <w:rPr>
          <w:rtl/>
          <w:lang w:val="he-IL"/>
        </w:rPr>
        <w:t>בבא מציעא פ</w:t>
      </w:r>
      <w:r w:rsidR="00FD7E84">
        <w:rPr>
          <w:rFonts w:hint="cs"/>
          <w:rtl/>
          <w:lang w:val="he-IL"/>
        </w:rPr>
        <w:t>ז - פ</w:t>
      </w:r>
      <w:r w:rsidR="00FD7E84">
        <w:rPr>
          <w:rtl/>
          <w:lang w:val="he-IL"/>
        </w:rPr>
        <w:t xml:space="preserve">ח </w:t>
      </w:r>
    </w:p>
    <w:p w:rsidR="00FD7E84" w:rsidRPr="00D6267C" w:rsidRDefault="00FD7E84" w:rsidP="00033A05">
      <w:pPr>
        <w:pStyle w:val="ac"/>
        <w:rPr>
          <w:rtl/>
          <w:lang w:val="he-IL"/>
        </w:rPr>
      </w:pPr>
      <w:r>
        <w:rPr>
          <w:rFonts w:hint="cs"/>
          <w:rtl/>
          <w:lang w:val="he-IL"/>
        </w:rPr>
        <w:t>"</w:t>
      </w:r>
      <w:r w:rsidRPr="00FD7E84">
        <w:rPr>
          <w:rtl/>
          <w:lang w:val="he-IL"/>
        </w:rPr>
        <w:t>כנפשך</w:t>
      </w:r>
      <w:r>
        <w:rPr>
          <w:rFonts w:hint="cs"/>
          <w:rtl/>
          <w:lang w:val="he-IL"/>
        </w:rPr>
        <w:t>"</w:t>
      </w:r>
      <w:r w:rsidRPr="00FD7E84">
        <w:rPr>
          <w:rtl/>
          <w:lang w:val="he-IL"/>
        </w:rPr>
        <w:t xml:space="preserve"> - כנפש של בעל הבית</w:t>
      </w:r>
      <w:r>
        <w:rPr>
          <w:rFonts w:hint="cs"/>
          <w:rtl/>
          <w:lang w:val="he-IL"/>
        </w:rPr>
        <w:t>,</w:t>
      </w:r>
      <w:r w:rsidRPr="00FD7E84">
        <w:rPr>
          <w:rtl/>
          <w:lang w:val="he-IL"/>
        </w:rPr>
        <w:t xml:space="preserve"> כך נפשו של פועל</w:t>
      </w:r>
      <w:r>
        <w:rPr>
          <w:rFonts w:hint="cs"/>
          <w:rtl/>
          <w:lang w:val="he-IL"/>
        </w:rPr>
        <w:t>:</w:t>
      </w:r>
      <w:r w:rsidRPr="00FD7E84">
        <w:rPr>
          <w:rtl/>
          <w:lang w:val="he-IL"/>
        </w:rPr>
        <w:t xml:space="preserve"> מה נפשך - אוכל ופטור, אף נפשו של פועל - אוכל ופטור. </w:t>
      </w:r>
      <w:r>
        <w:rPr>
          <w:rFonts w:hint="cs"/>
          <w:rtl/>
          <w:lang w:val="he-IL"/>
        </w:rPr>
        <w:t>"</w:t>
      </w:r>
      <w:r w:rsidRPr="00FD7E84">
        <w:rPr>
          <w:rtl/>
          <w:lang w:val="he-IL"/>
        </w:rPr>
        <w:t>שבעך</w:t>
      </w:r>
      <w:r>
        <w:rPr>
          <w:rFonts w:hint="cs"/>
          <w:rtl/>
          <w:lang w:val="he-IL"/>
        </w:rPr>
        <w:t>"</w:t>
      </w:r>
      <w:r w:rsidRPr="00FD7E84">
        <w:rPr>
          <w:rtl/>
          <w:lang w:val="he-IL"/>
        </w:rPr>
        <w:t xml:space="preserve"> - ולא אכילה גסה</w:t>
      </w:r>
      <w:r w:rsidR="00033A05">
        <w:rPr>
          <w:rFonts w:hint="cs"/>
          <w:rtl/>
          <w:lang w:val="he-IL"/>
        </w:rPr>
        <w:t>.</w:t>
      </w:r>
    </w:p>
    <w:p w:rsidR="007A4F7A" w:rsidRDefault="00926B96" w:rsidP="001C7DC5">
      <w:pPr>
        <w:pStyle w:val="ac"/>
        <w:rPr>
          <w:rFonts w:hint="cs"/>
          <w:rtl/>
          <w:lang w:val="he-IL"/>
        </w:rPr>
      </w:pPr>
      <w:r>
        <w:rPr>
          <w:rFonts w:hint="cs"/>
          <w:rtl/>
          <w:lang w:val="he-IL"/>
        </w:rPr>
        <w:t>"</w:t>
      </w:r>
      <w:r w:rsidR="001C7DC5" w:rsidRPr="001C7DC5">
        <w:rPr>
          <w:rtl/>
          <w:lang w:val="he-IL"/>
        </w:rPr>
        <w:t>כנפשך</w:t>
      </w:r>
      <w:r>
        <w:rPr>
          <w:rFonts w:hint="cs"/>
          <w:rtl/>
          <w:lang w:val="he-IL"/>
        </w:rPr>
        <w:t>"</w:t>
      </w:r>
      <w:r w:rsidR="001C7DC5" w:rsidRPr="001C7DC5">
        <w:rPr>
          <w:rtl/>
          <w:lang w:val="he-IL"/>
        </w:rPr>
        <w:t>, מה נפשך אם חסמת פטור, אף פועל, אם חסמת - פטור.</w:t>
      </w:r>
      <w:r>
        <w:rPr>
          <w:rStyle w:val="a5"/>
          <w:rtl/>
          <w:lang w:val="he-IL"/>
        </w:rPr>
        <w:footnoteReference w:id="19"/>
      </w:r>
    </w:p>
    <w:p w:rsidR="009273E6" w:rsidRDefault="009273E6" w:rsidP="009273E6">
      <w:pPr>
        <w:pStyle w:val="ab"/>
        <w:rPr>
          <w:rtl/>
        </w:rPr>
      </w:pPr>
      <w:r>
        <w:rPr>
          <w:rtl/>
        </w:rPr>
        <w:t>במדבר רבה פרשת חקת</w:t>
      </w:r>
      <w:r>
        <w:rPr>
          <w:rFonts w:hint="cs"/>
          <w:rtl/>
        </w:rPr>
        <w:t>,</w:t>
      </w:r>
      <w:r>
        <w:rPr>
          <w:rtl/>
        </w:rPr>
        <w:t xml:space="preserve"> פרשה יט</w:t>
      </w:r>
      <w:r>
        <w:rPr>
          <w:rFonts w:hint="cs"/>
          <w:rtl/>
        </w:rPr>
        <w:t xml:space="preserve"> סימן כז</w:t>
      </w:r>
      <w:r>
        <w:rPr>
          <w:rtl/>
        </w:rPr>
        <w:t xml:space="preserve"> </w:t>
      </w:r>
    </w:p>
    <w:p w:rsidR="009273E6" w:rsidRDefault="009273E6" w:rsidP="009273E6">
      <w:pPr>
        <w:pStyle w:val="ac"/>
        <w:rPr>
          <w:rFonts w:hint="cs"/>
          <w:rtl/>
          <w:lang w:val="he-IL"/>
        </w:rPr>
      </w:pPr>
      <w:r>
        <w:rPr>
          <w:rFonts w:hint="cs"/>
          <w:rtl/>
        </w:rPr>
        <w:t>"</w:t>
      </w:r>
      <w:r>
        <w:rPr>
          <w:rtl/>
        </w:rPr>
        <w:t>וישלח ישראל מלאכים</w:t>
      </w:r>
      <w:r>
        <w:rPr>
          <w:rFonts w:hint="cs"/>
          <w:rtl/>
        </w:rPr>
        <w:t>" (במדבר כ א כא) ... ו</w:t>
      </w:r>
      <w:r>
        <w:rPr>
          <w:rtl/>
        </w:rPr>
        <w:t>אומר</w:t>
      </w:r>
      <w:r>
        <w:rPr>
          <w:rFonts w:hint="cs"/>
          <w:rtl/>
        </w:rPr>
        <w:t>:</w:t>
      </w:r>
      <w:r>
        <w:rPr>
          <w:rtl/>
        </w:rPr>
        <w:t xml:space="preserve"> </w:t>
      </w:r>
      <w:r>
        <w:rPr>
          <w:rFonts w:hint="cs"/>
          <w:rtl/>
        </w:rPr>
        <w:t>"</w:t>
      </w:r>
      <w:r>
        <w:rPr>
          <w:rtl/>
        </w:rPr>
        <w:t>סור מרע ועשה טוב</w:t>
      </w:r>
      <w:r>
        <w:rPr>
          <w:rFonts w:hint="cs"/>
          <w:rtl/>
        </w:rPr>
        <w:t>,</w:t>
      </w:r>
      <w:r>
        <w:rPr>
          <w:rtl/>
        </w:rPr>
        <w:t xml:space="preserve"> בקש שלום ורדפהו</w:t>
      </w:r>
      <w:r>
        <w:rPr>
          <w:rFonts w:hint="cs"/>
          <w:rtl/>
        </w:rPr>
        <w:t>"</w:t>
      </w:r>
      <w:r>
        <w:rPr>
          <w:rtl/>
        </w:rPr>
        <w:t xml:space="preserve"> (תהלים</w:t>
      </w:r>
      <w:r>
        <w:rPr>
          <w:rFonts w:hint="cs"/>
          <w:rtl/>
        </w:rPr>
        <w:t xml:space="preserve"> </w:t>
      </w:r>
      <w:r>
        <w:rPr>
          <w:rtl/>
        </w:rPr>
        <w:t>לד</w:t>
      </w:r>
      <w:r>
        <w:rPr>
          <w:rFonts w:hint="cs"/>
          <w:rtl/>
        </w:rPr>
        <w:t xml:space="preserve"> טו</w:t>
      </w:r>
      <w:r>
        <w:rPr>
          <w:rtl/>
        </w:rPr>
        <w:t>)</w:t>
      </w:r>
      <w:r>
        <w:rPr>
          <w:rFonts w:hint="cs"/>
          <w:rtl/>
        </w:rPr>
        <w:t>.</w:t>
      </w:r>
      <w:r>
        <w:rPr>
          <w:rtl/>
        </w:rPr>
        <w:t xml:space="preserve"> ולא פ</w:t>
      </w:r>
      <w:r>
        <w:rPr>
          <w:rFonts w:hint="cs"/>
          <w:rtl/>
        </w:rPr>
        <w:t>ק</w:t>
      </w:r>
      <w:r>
        <w:rPr>
          <w:rtl/>
        </w:rPr>
        <w:t>דה</w:t>
      </w:r>
      <w:r>
        <w:rPr>
          <w:rStyle w:val="a5"/>
          <w:rtl/>
        </w:rPr>
        <w:footnoteReference w:id="20"/>
      </w:r>
      <w:r>
        <w:rPr>
          <w:rtl/>
        </w:rPr>
        <w:t xml:space="preserve"> התורה לרדוף אחר המצות</w:t>
      </w:r>
      <w:r>
        <w:rPr>
          <w:rFonts w:hint="cs"/>
          <w:rtl/>
        </w:rPr>
        <w:t>,</w:t>
      </w:r>
      <w:r>
        <w:rPr>
          <w:rtl/>
        </w:rPr>
        <w:t xml:space="preserve"> אלא</w:t>
      </w:r>
      <w:r>
        <w:rPr>
          <w:rFonts w:hint="cs"/>
          <w:rtl/>
        </w:rPr>
        <w:t>:</w:t>
      </w:r>
      <w:r>
        <w:rPr>
          <w:rtl/>
        </w:rPr>
        <w:t xml:space="preserve"> </w:t>
      </w:r>
      <w:r>
        <w:rPr>
          <w:rFonts w:hint="cs"/>
          <w:rtl/>
        </w:rPr>
        <w:t>"</w:t>
      </w:r>
      <w:r>
        <w:rPr>
          <w:rtl/>
        </w:rPr>
        <w:t>כי יקרא קן צפור</w:t>
      </w:r>
      <w:r>
        <w:rPr>
          <w:rFonts w:hint="cs"/>
          <w:rtl/>
        </w:rPr>
        <w:t xml:space="preserve"> לפניך", "</w:t>
      </w:r>
      <w:r>
        <w:rPr>
          <w:rtl/>
        </w:rPr>
        <w:t xml:space="preserve">כי תפגע </w:t>
      </w:r>
      <w:r>
        <w:rPr>
          <w:rFonts w:hint="cs"/>
          <w:rtl/>
        </w:rPr>
        <w:t>שור אויבך" (שמות כג ד), "</w:t>
      </w:r>
      <w:r>
        <w:rPr>
          <w:rtl/>
        </w:rPr>
        <w:t xml:space="preserve">כי תראה </w:t>
      </w:r>
      <w:r>
        <w:rPr>
          <w:rFonts w:hint="cs"/>
          <w:rtl/>
        </w:rPr>
        <w:t>חמור שונאך" (שם ה), "</w:t>
      </w:r>
      <w:r>
        <w:rPr>
          <w:rtl/>
        </w:rPr>
        <w:t>כי תחבוט זיתך</w:t>
      </w:r>
      <w:r>
        <w:rPr>
          <w:rFonts w:hint="cs"/>
          <w:rtl/>
        </w:rPr>
        <w:t>"</w:t>
      </w:r>
      <w:r>
        <w:rPr>
          <w:rtl/>
        </w:rPr>
        <w:t xml:space="preserve"> (דברים כד</w:t>
      </w:r>
      <w:r>
        <w:rPr>
          <w:rFonts w:hint="cs"/>
          <w:rtl/>
        </w:rPr>
        <w:t xml:space="preserve"> כ</w:t>
      </w:r>
      <w:r>
        <w:rPr>
          <w:rtl/>
        </w:rPr>
        <w:t>)</w:t>
      </w:r>
      <w:r>
        <w:rPr>
          <w:rFonts w:hint="cs"/>
          <w:rtl/>
        </w:rPr>
        <w:t>, "</w:t>
      </w:r>
      <w:r>
        <w:rPr>
          <w:rtl/>
        </w:rPr>
        <w:t>כי תבצור כרמך</w:t>
      </w:r>
      <w:r>
        <w:rPr>
          <w:rFonts w:hint="cs"/>
          <w:rtl/>
        </w:rPr>
        <w:t>"</w:t>
      </w:r>
      <w:r>
        <w:rPr>
          <w:rtl/>
        </w:rPr>
        <w:t xml:space="preserve"> (שם </w:t>
      </w:r>
      <w:r>
        <w:rPr>
          <w:rFonts w:hint="cs"/>
          <w:rtl/>
        </w:rPr>
        <w:t>כא), "</w:t>
      </w:r>
      <w:r>
        <w:rPr>
          <w:rtl/>
        </w:rPr>
        <w:t>כי תב</w:t>
      </w:r>
      <w:r>
        <w:rPr>
          <w:rFonts w:hint="cs"/>
          <w:rtl/>
        </w:rPr>
        <w:t>ו</w:t>
      </w:r>
      <w:r>
        <w:rPr>
          <w:rtl/>
        </w:rPr>
        <w:t>א בכרם רעך</w:t>
      </w:r>
      <w:r>
        <w:rPr>
          <w:rFonts w:hint="cs"/>
          <w:rtl/>
        </w:rPr>
        <w:t>" (שם כג כה) -</w:t>
      </w:r>
      <w:r>
        <w:rPr>
          <w:rtl/>
        </w:rPr>
        <w:t xml:space="preserve"> אם באו לידך</w:t>
      </w:r>
      <w:r>
        <w:rPr>
          <w:rFonts w:hint="cs"/>
          <w:rtl/>
        </w:rPr>
        <w:t>,</w:t>
      </w:r>
      <w:r>
        <w:rPr>
          <w:rtl/>
        </w:rPr>
        <w:t xml:space="preserve"> את</w:t>
      </w:r>
      <w:r>
        <w:rPr>
          <w:rFonts w:hint="cs"/>
          <w:rtl/>
        </w:rPr>
        <w:t>ה</w:t>
      </w:r>
      <w:r>
        <w:rPr>
          <w:rtl/>
        </w:rPr>
        <w:t xml:space="preserve"> מצווה עליהם</w:t>
      </w:r>
      <w:r>
        <w:rPr>
          <w:rFonts w:hint="cs"/>
          <w:rtl/>
        </w:rPr>
        <w:t>,</w:t>
      </w:r>
      <w:r>
        <w:rPr>
          <w:rtl/>
        </w:rPr>
        <w:t xml:space="preserve"> ולא לרדוף אחריהם</w:t>
      </w:r>
      <w:r>
        <w:rPr>
          <w:rFonts w:hint="cs"/>
          <w:rtl/>
        </w:rPr>
        <w:t>;</w:t>
      </w:r>
      <w:r>
        <w:rPr>
          <w:rtl/>
        </w:rPr>
        <w:t xml:space="preserve"> אבל השלום</w:t>
      </w:r>
      <w:r>
        <w:rPr>
          <w:rFonts w:hint="cs"/>
          <w:rtl/>
        </w:rPr>
        <w:t>:</w:t>
      </w:r>
      <w:r>
        <w:rPr>
          <w:rtl/>
        </w:rPr>
        <w:t xml:space="preserve"> </w:t>
      </w:r>
      <w:r>
        <w:rPr>
          <w:rFonts w:hint="cs"/>
          <w:rtl/>
        </w:rPr>
        <w:t>"</w:t>
      </w:r>
      <w:r>
        <w:rPr>
          <w:rtl/>
        </w:rPr>
        <w:t>בקש שלום</w:t>
      </w:r>
      <w:r>
        <w:rPr>
          <w:rFonts w:hint="cs"/>
          <w:rtl/>
        </w:rPr>
        <w:t>"</w:t>
      </w:r>
      <w:r>
        <w:rPr>
          <w:rtl/>
        </w:rPr>
        <w:t xml:space="preserve"> </w:t>
      </w:r>
      <w:r>
        <w:rPr>
          <w:rFonts w:hint="cs"/>
          <w:rtl/>
        </w:rPr>
        <w:t xml:space="preserve">- </w:t>
      </w:r>
      <w:r>
        <w:rPr>
          <w:rtl/>
        </w:rPr>
        <w:t xml:space="preserve">במקומך </w:t>
      </w:r>
      <w:r>
        <w:rPr>
          <w:rFonts w:hint="cs"/>
          <w:rtl/>
        </w:rPr>
        <w:t>"</w:t>
      </w:r>
      <w:r>
        <w:rPr>
          <w:rtl/>
        </w:rPr>
        <w:t>ורדפהו</w:t>
      </w:r>
      <w:r>
        <w:rPr>
          <w:rFonts w:hint="cs"/>
          <w:rtl/>
        </w:rPr>
        <w:t>" -</w:t>
      </w:r>
      <w:r>
        <w:rPr>
          <w:rtl/>
        </w:rPr>
        <w:t xml:space="preserve"> במקום אחר</w:t>
      </w:r>
      <w:r>
        <w:rPr>
          <w:rFonts w:hint="cs"/>
          <w:rtl/>
        </w:rPr>
        <w:t>.</w:t>
      </w:r>
      <w:r>
        <w:rPr>
          <w:rStyle w:val="a5"/>
          <w:rtl/>
        </w:rPr>
        <w:footnoteReference w:id="21"/>
      </w:r>
    </w:p>
    <w:p w:rsidR="00640BD1" w:rsidRPr="00AA63E1" w:rsidRDefault="00640BD1" w:rsidP="00D70D10">
      <w:pPr>
        <w:pStyle w:val="ad"/>
        <w:spacing w:before="240" w:line="300" w:lineRule="atLeast"/>
        <w:rPr>
          <w:rFonts w:hint="cs"/>
          <w:rtl/>
        </w:rPr>
      </w:pPr>
      <w:r w:rsidRPr="00AA63E1">
        <w:rPr>
          <w:rtl/>
        </w:rPr>
        <w:lastRenderedPageBreak/>
        <w:t xml:space="preserve">שבת שלום </w:t>
      </w:r>
      <w:r w:rsidRPr="00AA63E1">
        <w:rPr>
          <w:rFonts w:hint="cs"/>
          <w:rtl/>
        </w:rPr>
        <w:t xml:space="preserve"> </w:t>
      </w:r>
    </w:p>
    <w:p w:rsidR="00B5336E" w:rsidRDefault="00640BD1" w:rsidP="00BF4D08">
      <w:pPr>
        <w:pStyle w:val="ad"/>
        <w:spacing w:line="300" w:lineRule="atLeast"/>
        <w:rPr>
          <w:rFonts w:hint="cs"/>
          <w:rtl/>
        </w:rPr>
      </w:pPr>
      <w:r w:rsidRPr="00AA63E1">
        <w:rPr>
          <w:rtl/>
        </w:rPr>
        <w:t>מחלקי המים</w:t>
      </w:r>
    </w:p>
    <w:p w:rsidR="00EE7E86" w:rsidRDefault="00E7187F" w:rsidP="00D70D10">
      <w:pPr>
        <w:pStyle w:val="ad"/>
        <w:spacing w:before="120" w:line="300" w:lineRule="atLeast"/>
        <w:rPr>
          <w:rFonts w:hint="cs"/>
          <w:b w:val="0"/>
          <w:bCs w:val="0"/>
          <w:szCs w:val="22"/>
          <w:rtl/>
        </w:rPr>
      </w:pPr>
      <w:r w:rsidRPr="004E42BE">
        <w:rPr>
          <w:rFonts w:hint="cs"/>
          <w:szCs w:val="22"/>
          <w:rtl/>
        </w:rPr>
        <w:t>מים אחרונים</w:t>
      </w:r>
      <w:r w:rsidR="00D70D10">
        <w:rPr>
          <w:rFonts w:hint="cs"/>
          <w:szCs w:val="22"/>
          <w:rtl/>
        </w:rPr>
        <w:t xml:space="preserve"> 1</w:t>
      </w:r>
      <w:r w:rsidRPr="004E42BE">
        <w:rPr>
          <w:rFonts w:hint="cs"/>
          <w:szCs w:val="22"/>
          <w:rtl/>
        </w:rPr>
        <w:t>:</w:t>
      </w:r>
      <w:r w:rsidRPr="00EA0D15">
        <w:rPr>
          <w:rFonts w:hint="cs"/>
          <w:b w:val="0"/>
          <w:bCs w:val="0"/>
          <w:szCs w:val="22"/>
          <w:rtl/>
        </w:rPr>
        <w:t xml:space="preserve"> לא התיימרנ</w:t>
      </w:r>
      <w:r w:rsidRPr="00EA0D15">
        <w:rPr>
          <w:rFonts w:hint="eastAsia"/>
          <w:b w:val="0"/>
          <w:bCs w:val="0"/>
          <w:szCs w:val="22"/>
          <w:rtl/>
        </w:rPr>
        <w:t>ו</w:t>
      </w:r>
      <w:r w:rsidRPr="00EA0D15">
        <w:rPr>
          <w:rFonts w:hint="cs"/>
          <w:b w:val="0"/>
          <w:bCs w:val="0"/>
          <w:szCs w:val="22"/>
          <w:rtl/>
        </w:rPr>
        <w:t xml:space="preserve"> לכסות את כל דיני אכילת פועל בכרם ובוודאי שלא להביא כאן דברים הלכה למעשה</w:t>
      </w:r>
      <w:r w:rsidR="00EA0D15" w:rsidRPr="00EA0D15">
        <w:rPr>
          <w:rFonts w:hint="cs"/>
          <w:b w:val="0"/>
          <w:bCs w:val="0"/>
          <w:szCs w:val="22"/>
          <w:rtl/>
        </w:rPr>
        <w:t>, רק להתבסם מרוח הדברים</w:t>
      </w:r>
      <w:r w:rsidRPr="00EA0D15">
        <w:rPr>
          <w:rFonts w:hint="cs"/>
          <w:b w:val="0"/>
          <w:bCs w:val="0"/>
          <w:szCs w:val="22"/>
          <w:rtl/>
        </w:rPr>
        <w:t xml:space="preserve">. </w:t>
      </w:r>
      <w:r w:rsidR="00EE7E86">
        <w:rPr>
          <w:rFonts w:hint="cs"/>
          <w:b w:val="0"/>
          <w:bCs w:val="0"/>
          <w:szCs w:val="22"/>
          <w:rtl/>
        </w:rPr>
        <w:t xml:space="preserve">מקורות חז"ל העיקריים הם: משנה בבא מציעא פרק ז, גמרא בבלי בבא מציעא דפים פז </w:t>
      </w:r>
      <w:r w:rsidR="00EE7E86">
        <w:rPr>
          <w:b w:val="0"/>
          <w:bCs w:val="0"/>
          <w:szCs w:val="22"/>
          <w:rtl/>
        </w:rPr>
        <w:t>–</w:t>
      </w:r>
      <w:r w:rsidR="00EE7E86">
        <w:rPr>
          <w:rFonts w:hint="cs"/>
          <w:b w:val="0"/>
          <w:bCs w:val="0"/>
          <w:szCs w:val="22"/>
          <w:rtl/>
        </w:rPr>
        <w:t xml:space="preserve"> צב, תלמוד ירושלמי </w:t>
      </w:r>
      <w:r w:rsidR="00EE7E86" w:rsidRPr="00EE7E86">
        <w:rPr>
          <w:rFonts w:hint="cs"/>
          <w:b w:val="0"/>
          <w:bCs w:val="0"/>
          <w:szCs w:val="22"/>
          <w:rtl/>
        </w:rPr>
        <w:t>בבא מציעא פרק ז הלכות ב</w:t>
      </w:r>
      <w:r w:rsidR="00033A05">
        <w:rPr>
          <w:rFonts w:hint="cs"/>
          <w:b w:val="0"/>
          <w:bCs w:val="0"/>
          <w:szCs w:val="22"/>
          <w:rtl/>
        </w:rPr>
        <w:t xml:space="preserve"> </w:t>
      </w:r>
      <w:r w:rsidR="00EE7E86" w:rsidRPr="00EE7E86">
        <w:rPr>
          <w:rFonts w:hint="cs"/>
          <w:b w:val="0"/>
          <w:bCs w:val="0"/>
          <w:szCs w:val="22"/>
          <w:rtl/>
        </w:rPr>
        <w:t>-</w:t>
      </w:r>
      <w:r w:rsidR="00033A05">
        <w:rPr>
          <w:rFonts w:hint="cs"/>
          <w:b w:val="0"/>
          <w:bCs w:val="0"/>
          <w:szCs w:val="22"/>
          <w:rtl/>
        </w:rPr>
        <w:t xml:space="preserve"> </w:t>
      </w:r>
      <w:r w:rsidR="00EE7E86" w:rsidRPr="00EE7E86">
        <w:rPr>
          <w:rFonts w:hint="cs"/>
          <w:b w:val="0"/>
          <w:bCs w:val="0"/>
          <w:szCs w:val="22"/>
          <w:rtl/>
        </w:rPr>
        <w:t>ג</w:t>
      </w:r>
      <w:r w:rsidR="00EE7E86">
        <w:rPr>
          <w:rFonts w:hint="cs"/>
          <w:b w:val="0"/>
          <w:bCs w:val="0"/>
          <w:szCs w:val="22"/>
          <w:rtl/>
        </w:rPr>
        <w:t xml:space="preserve"> ומסכת </w:t>
      </w:r>
      <w:r w:rsidR="00EE7E86" w:rsidRPr="00EE7E86">
        <w:rPr>
          <w:rFonts w:hint="cs"/>
          <w:b w:val="0"/>
          <w:bCs w:val="0"/>
          <w:szCs w:val="22"/>
          <w:rtl/>
        </w:rPr>
        <w:t xml:space="preserve">מעשרות </w:t>
      </w:r>
      <w:r w:rsidR="00EE7E86">
        <w:rPr>
          <w:rFonts w:hint="cs"/>
          <w:b w:val="0"/>
          <w:bCs w:val="0"/>
          <w:szCs w:val="22"/>
          <w:rtl/>
        </w:rPr>
        <w:t xml:space="preserve">פרק </w:t>
      </w:r>
      <w:r w:rsidR="00EE7E86" w:rsidRPr="00EE7E86">
        <w:rPr>
          <w:rFonts w:hint="cs"/>
          <w:b w:val="0"/>
          <w:bCs w:val="0"/>
          <w:szCs w:val="22"/>
          <w:rtl/>
        </w:rPr>
        <w:t xml:space="preserve">ב </w:t>
      </w:r>
      <w:r w:rsidR="00EE7E86">
        <w:rPr>
          <w:rFonts w:hint="cs"/>
          <w:b w:val="0"/>
          <w:bCs w:val="0"/>
          <w:szCs w:val="22"/>
          <w:rtl/>
        </w:rPr>
        <w:t xml:space="preserve">הלכה </w:t>
      </w:r>
      <w:r w:rsidR="00EE7E86" w:rsidRPr="00EE7E86">
        <w:rPr>
          <w:rFonts w:hint="cs"/>
          <w:b w:val="0"/>
          <w:bCs w:val="0"/>
          <w:szCs w:val="22"/>
          <w:rtl/>
        </w:rPr>
        <w:t>ד</w:t>
      </w:r>
      <w:r w:rsidR="00EE7E86">
        <w:rPr>
          <w:rFonts w:hint="cs"/>
          <w:b w:val="0"/>
          <w:bCs w:val="0"/>
          <w:szCs w:val="22"/>
          <w:rtl/>
        </w:rPr>
        <w:t xml:space="preserve">. ולהלכה, </w:t>
      </w:r>
      <w:r w:rsidR="00EA0D15" w:rsidRPr="00EA0D15">
        <w:rPr>
          <w:rFonts w:hint="cs"/>
          <w:b w:val="0"/>
          <w:bCs w:val="0"/>
          <w:szCs w:val="22"/>
          <w:rtl/>
        </w:rPr>
        <w:t>רמב"ם הלכות שכירות פרק יב</w:t>
      </w:r>
      <w:r w:rsidR="00EE7E86">
        <w:rPr>
          <w:rFonts w:hint="cs"/>
          <w:b w:val="0"/>
          <w:bCs w:val="0"/>
          <w:szCs w:val="22"/>
          <w:rtl/>
        </w:rPr>
        <w:t xml:space="preserve"> ו</w:t>
      </w:r>
      <w:r w:rsidR="00EE7E86" w:rsidRPr="00EE7E86">
        <w:rPr>
          <w:rFonts w:hint="cs"/>
          <w:b w:val="0"/>
          <w:bCs w:val="0"/>
          <w:szCs w:val="22"/>
          <w:rtl/>
        </w:rPr>
        <w:t>הלכות מעשר פרק ה</w:t>
      </w:r>
      <w:r w:rsidR="00EE7E86">
        <w:rPr>
          <w:rFonts w:hint="cs"/>
          <w:b w:val="0"/>
          <w:bCs w:val="0"/>
          <w:szCs w:val="22"/>
          <w:rtl/>
        </w:rPr>
        <w:t xml:space="preserve">, </w:t>
      </w:r>
      <w:r w:rsidR="00EA0D15" w:rsidRPr="00EA0D15">
        <w:rPr>
          <w:rFonts w:hint="cs"/>
          <w:b w:val="0"/>
          <w:bCs w:val="0"/>
          <w:szCs w:val="22"/>
          <w:rtl/>
        </w:rPr>
        <w:t>שולחן ערוך</w:t>
      </w:r>
      <w:r w:rsidR="00EA0D15" w:rsidRPr="00EA0D15">
        <w:rPr>
          <w:b w:val="0"/>
          <w:bCs w:val="0"/>
          <w:szCs w:val="22"/>
          <w:rtl/>
        </w:rPr>
        <w:t xml:space="preserve"> חושן משפט הלכות שכירות פועלים סימן שלז</w:t>
      </w:r>
      <w:r w:rsidR="00EA0D15" w:rsidRPr="00EA0D15">
        <w:rPr>
          <w:rFonts w:hint="cs"/>
          <w:b w:val="0"/>
          <w:bCs w:val="0"/>
          <w:szCs w:val="22"/>
          <w:rtl/>
        </w:rPr>
        <w:t>.</w:t>
      </w:r>
    </w:p>
    <w:p w:rsidR="00D70D10" w:rsidRDefault="00D70D10" w:rsidP="00B6463B">
      <w:pPr>
        <w:pStyle w:val="ad"/>
        <w:spacing w:before="120" w:line="300" w:lineRule="atLeast"/>
        <w:rPr>
          <w:rFonts w:hint="cs"/>
          <w:b w:val="0"/>
          <w:bCs w:val="0"/>
          <w:szCs w:val="22"/>
          <w:rtl/>
        </w:rPr>
      </w:pPr>
      <w:r w:rsidRPr="004E42BE">
        <w:rPr>
          <w:rFonts w:hint="cs"/>
          <w:szCs w:val="22"/>
          <w:rtl/>
        </w:rPr>
        <w:t>מים אחרונים</w:t>
      </w:r>
      <w:r>
        <w:rPr>
          <w:rFonts w:hint="cs"/>
          <w:szCs w:val="22"/>
          <w:rtl/>
        </w:rPr>
        <w:t xml:space="preserve"> 2</w:t>
      </w:r>
      <w:r w:rsidRPr="004E42BE">
        <w:rPr>
          <w:rFonts w:hint="cs"/>
          <w:szCs w:val="22"/>
          <w:rtl/>
        </w:rPr>
        <w:t>:</w:t>
      </w:r>
      <w:r w:rsidRPr="00EA0D15">
        <w:rPr>
          <w:rFonts w:hint="cs"/>
          <w:b w:val="0"/>
          <w:bCs w:val="0"/>
          <w:szCs w:val="22"/>
          <w:rtl/>
        </w:rPr>
        <w:t xml:space="preserve"> </w:t>
      </w:r>
      <w:r>
        <w:rPr>
          <w:rFonts w:hint="cs"/>
          <w:b w:val="0"/>
          <w:bCs w:val="0"/>
          <w:szCs w:val="22"/>
          <w:rtl/>
        </w:rPr>
        <w:t>בצעירותנו ביקרנו בבית חרושת לשוקולד (עלית? ליבר? אופנהיימר?) וזכורני ששאלנו אם הפועלים יכולים לאכול שוקולד לא הגבלה בשעות העבודה והתשובה שקבלנו: כן, בוודאי, ככה מקבלים את פניהם בתחילת העבודה</w:t>
      </w:r>
      <w:r w:rsidR="00B6463B">
        <w:rPr>
          <w:rFonts w:hint="cs"/>
          <w:b w:val="0"/>
          <w:bCs w:val="0"/>
          <w:szCs w:val="22"/>
          <w:rtl/>
        </w:rPr>
        <w:t>: אתם יכולים לאכול כמה שאתם רוצים</w:t>
      </w:r>
      <w:r>
        <w:rPr>
          <w:rFonts w:hint="cs"/>
          <w:b w:val="0"/>
          <w:bCs w:val="0"/>
          <w:szCs w:val="22"/>
          <w:rtl/>
        </w:rPr>
        <w:t>. אחרי פחות משבוע, הם כבר לא יכולים לחשוב על אכילת שוקולד ... כנראה שכל עוד שהפועל עובד בסוג מסוים של יבול, בעל הבית לא באמת מפסיד הרבה</w:t>
      </w:r>
      <w:r w:rsidR="00B6463B">
        <w:rPr>
          <w:rFonts w:hint="cs"/>
          <w:b w:val="0"/>
          <w:bCs w:val="0"/>
          <w:szCs w:val="22"/>
          <w:rtl/>
        </w:rPr>
        <w:t xml:space="preserve"> (ולא כדאי לא להחליף פועלים).</w:t>
      </w:r>
    </w:p>
    <w:p w:rsidR="00D70D10" w:rsidRPr="00EA0D15" w:rsidRDefault="00D70D10" w:rsidP="00845C62">
      <w:pPr>
        <w:pStyle w:val="ad"/>
        <w:spacing w:line="300" w:lineRule="atLeast"/>
        <w:rPr>
          <w:rFonts w:hint="cs"/>
          <w:b w:val="0"/>
          <w:bCs w:val="0"/>
          <w:szCs w:val="22"/>
          <w:rtl/>
        </w:rPr>
      </w:pPr>
    </w:p>
    <w:sectPr w:rsidR="00D70D10" w:rsidRPr="00EA0D15" w:rsidSect="00F20B92">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91D" w:rsidRDefault="0085191D">
      <w:r>
        <w:separator/>
      </w:r>
    </w:p>
  </w:endnote>
  <w:endnote w:type="continuationSeparator" w:id="0">
    <w:p w:rsidR="0085191D" w:rsidRDefault="0085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84" w:rsidRPr="00F8747C" w:rsidRDefault="00FD7E84"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6463B">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6463B">
      <w:rPr>
        <w:rStyle w:val="af0"/>
        <w:noProof/>
        <w:rtl/>
      </w:rPr>
      <w:t>4</w:t>
    </w:r>
    <w:r w:rsidRPr="00F8747C">
      <w:rPr>
        <w:rStyle w:val="af0"/>
      </w:rPr>
      <w:fldChar w:fldCharType="end"/>
    </w:r>
  </w:p>
  <w:p w:rsidR="00FD7E84" w:rsidRDefault="00FD7E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91D" w:rsidRDefault="0085191D">
      <w:r>
        <w:separator/>
      </w:r>
    </w:p>
  </w:footnote>
  <w:footnote w:type="continuationSeparator" w:id="0">
    <w:p w:rsidR="0085191D" w:rsidRDefault="0085191D">
      <w:r>
        <w:continuationSeparator/>
      </w:r>
    </w:p>
  </w:footnote>
  <w:footnote w:id="1">
    <w:p w:rsidR="00FD7E84" w:rsidRDefault="00FD7E84" w:rsidP="00F20B92">
      <w:pPr>
        <w:pStyle w:val="a3"/>
        <w:rPr>
          <w:rFonts w:hint="cs"/>
          <w:rtl/>
        </w:rPr>
      </w:pPr>
      <w:r>
        <w:rPr>
          <w:rStyle w:val="a5"/>
        </w:rPr>
        <w:footnoteRef/>
      </w:r>
      <w:r>
        <w:rPr>
          <w:rtl/>
        </w:rPr>
        <w:t xml:space="preserve"> </w:t>
      </w:r>
      <w:r>
        <w:rPr>
          <w:rFonts w:hint="cs"/>
          <w:rtl/>
          <w:lang w:val="he-IL"/>
        </w:rPr>
        <w:t xml:space="preserve">בפשט הפסוק, אפשר להבין שמדובר בעובר אורח שמזדמן לשדה קמה או כרם ענבים (או כל פרי אחר כפי שנראה להלן) ומותר לו לקטוף מעט על מנת להשיב את נפשו, בפרט </w:t>
      </w:r>
      <w:r w:rsidR="004006A5">
        <w:rPr>
          <w:rFonts w:hint="cs"/>
          <w:rtl/>
          <w:lang w:val="he-IL"/>
        </w:rPr>
        <w:t>מ</w:t>
      </w:r>
      <w:r>
        <w:rPr>
          <w:rFonts w:hint="cs"/>
          <w:rtl/>
          <w:lang w:val="he-IL"/>
        </w:rPr>
        <w:t xml:space="preserve">תבואה או כרם שבצדי הדרכים. ויוכיחו סיומות הפסוקים: "ואל כליך לא תיתן", "וחרמש לא תניף על קמת רעך". לקטוף מלילות בידך </w:t>
      </w:r>
      <w:r w:rsidR="002C57EF">
        <w:rPr>
          <w:rFonts w:hint="cs"/>
          <w:rtl/>
          <w:lang w:val="he-IL"/>
        </w:rPr>
        <w:t>ו</w:t>
      </w:r>
      <w:r>
        <w:rPr>
          <w:rFonts w:hint="cs"/>
          <w:rtl/>
          <w:lang w:val="he-IL"/>
        </w:rPr>
        <w:t xml:space="preserve">לאכול על מנת להשקיט את רעבון הדרך </w:t>
      </w:r>
      <w:r>
        <w:rPr>
          <w:rtl/>
          <w:lang w:val="he-IL"/>
        </w:rPr>
        <w:t>–</w:t>
      </w:r>
      <w:r>
        <w:rPr>
          <w:rFonts w:hint="cs"/>
          <w:rtl/>
          <w:lang w:val="he-IL"/>
        </w:rPr>
        <w:t xml:space="preserve"> כן, לקצור ולבצור </w:t>
      </w:r>
      <w:r w:rsidR="00F20B92">
        <w:rPr>
          <w:rFonts w:hint="cs"/>
          <w:rtl/>
          <w:lang w:val="he-IL"/>
        </w:rPr>
        <w:t xml:space="preserve">ולתת </w:t>
      </w:r>
      <w:r>
        <w:rPr>
          <w:rFonts w:hint="cs"/>
          <w:rtl/>
          <w:lang w:val="he-IL"/>
        </w:rPr>
        <w:t>בכלי</w:t>
      </w:r>
      <w:r w:rsidR="00F20B92">
        <w:rPr>
          <w:rFonts w:hint="cs"/>
          <w:rtl/>
          <w:lang w:val="he-IL"/>
        </w:rPr>
        <w:t>, אפילו לאכילה בהמשך הדרך</w:t>
      </w:r>
      <w:r>
        <w:rPr>
          <w:rFonts w:hint="cs"/>
          <w:rtl/>
          <w:lang w:val="he-IL"/>
        </w:rPr>
        <w:t xml:space="preserve"> </w:t>
      </w:r>
      <w:r>
        <w:rPr>
          <w:rtl/>
          <w:lang w:val="he-IL"/>
        </w:rPr>
        <w:t>–</w:t>
      </w:r>
      <w:r>
        <w:rPr>
          <w:rFonts w:hint="cs"/>
          <w:rtl/>
          <w:lang w:val="he-IL"/>
        </w:rPr>
        <w:t xml:space="preserve"> לא. </w:t>
      </w:r>
      <w:r w:rsidR="00F20B92">
        <w:rPr>
          <w:rFonts w:hint="cs"/>
          <w:rtl/>
          <w:lang w:val="he-IL"/>
        </w:rPr>
        <w:t xml:space="preserve">המבחן הוא הצבירה </w:t>
      </w:r>
      <w:r>
        <w:rPr>
          <w:rFonts w:hint="cs"/>
          <w:rtl/>
          <w:lang w:val="he-IL"/>
        </w:rPr>
        <w:t xml:space="preserve">בכלי אחסון. אך חכמים לא הבינו כך והעמידו את </w:t>
      </w:r>
      <w:r w:rsidR="00F20B92">
        <w:rPr>
          <w:rFonts w:hint="cs"/>
          <w:rtl/>
          <w:lang w:val="he-IL"/>
        </w:rPr>
        <w:t>ה</w:t>
      </w:r>
      <w:r>
        <w:rPr>
          <w:rFonts w:hint="cs"/>
          <w:rtl/>
          <w:lang w:val="he-IL"/>
        </w:rPr>
        <w:t>דין על פועל העוסק במלאכת הקציר, הבציר או הקטיף ולא בסתם אדם עובר אורח. אם כל עובר אורח "רק יטעם קצת"</w:t>
      </w:r>
      <w:r w:rsidR="002C57EF">
        <w:rPr>
          <w:rFonts w:hint="cs"/>
          <w:rtl/>
          <w:lang w:val="he-IL"/>
        </w:rPr>
        <w:t xml:space="preserve">, </w:t>
      </w:r>
      <w:r>
        <w:rPr>
          <w:rFonts w:hint="cs"/>
          <w:rtl/>
          <w:lang w:val="he-IL"/>
        </w:rPr>
        <w:t xml:space="preserve">מה יישאר לבעל הבית? </w:t>
      </w:r>
      <w:r w:rsidR="002C57EF">
        <w:rPr>
          <w:rFonts w:hint="cs"/>
          <w:rtl/>
          <w:lang w:val="he-IL"/>
        </w:rPr>
        <w:t xml:space="preserve">(ראה תוספות קידושין מ ע"ב על האוכל בשוק), </w:t>
      </w:r>
      <w:r>
        <w:rPr>
          <w:rFonts w:hint="cs"/>
          <w:rtl/>
          <w:lang w:val="he-IL"/>
        </w:rPr>
        <w:t>מה יישאר למתנות עניים? ומה עם תרומות ומעשרות? אבל להלן נראה שהדעה של "פשט הפסוק" איננה דבר רחוק ויש לה שורשים.</w:t>
      </w:r>
    </w:p>
  </w:footnote>
  <w:footnote w:id="2">
    <w:p w:rsidR="00FD7E84" w:rsidRDefault="00FD7E84" w:rsidP="002C57EF">
      <w:pPr>
        <w:pStyle w:val="a3"/>
        <w:rPr>
          <w:rFonts w:hint="cs"/>
          <w:rtl/>
        </w:rPr>
      </w:pPr>
      <w:r>
        <w:rPr>
          <w:rStyle w:val="a5"/>
        </w:rPr>
        <w:footnoteRef/>
      </w:r>
      <w:r>
        <w:rPr>
          <w:rtl/>
        </w:rPr>
        <w:t xml:space="preserve"> </w:t>
      </w:r>
      <w:r>
        <w:rPr>
          <w:rFonts w:hint="cs"/>
          <w:rtl/>
        </w:rPr>
        <w:t>אם למישהו נוצרת האסוציאציה עם דין חסימת (אי חסימת) בעל חיים בשעת מלאכתו (השור הוא רק דוגמא), אין הוא טועה ושני הדינים קשורים ומלמדים זה על זה כפי שנראה להלן. ולא עוד, אלא שלשור יש יתרון על האדם בדין חסימה (</w:t>
      </w:r>
      <w:r w:rsidR="002C57EF">
        <w:rPr>
          <w:rFonts w:hint="cs"/>
          <w:rtl/>
        </w:rPr>
        <w:t xml:space="preserve">וגם זאת </w:t>
      </w:r>
      <w:r>
        <w:rPr>
          <w:rFonts w:hint="cs"/>
          <w:rtl/>
        </w:rPr>
        <w:t>נר</w:t>
      </w:r>
      <w:r w:rsidR="002C57EF">
        <w:rPr>
          <w:rFonts w:hint="cs"/>
          <w:rtl/>
        </w:rPr>
        <w:t>א</w:t>
      </w:r>
      <w:r>
        <w:rPr>
          <w:rFonts w:hint="cs"/>
          <w:rtl/>
        </w:rPr>
        <w:t xml:space="preserve">ה להלן). וכבר אמר בעל ספר </w:t>
      </w:r>
      <w:r>
        <w:rPr>
          <w:rtl/>
        </w:rPr>
        <w:t xml:space="preserve">תהלים </w:t>
      </w:r>
      <w:r>
        <w:rPr>
          <w:rFonts w:hint="cs"/>
          <w:rtl/>
        </w:rPr>
        <w:t>(</w:t>
      </w:r>
      <w:r>
        <w:rPr>
          <w:rtl/>
        </w:rPr>
        <w:t>לו ז)</w:t>
      </w:r>
      <w:r>
        <w:rPr>
          <w:rFonts w:hint="cs"/>
          <w:rtl/>
        </w:rPr>
        <w:t>: "</w:t>
      </w:r>
      <w:r>
        <w:rPr>
          <w:rtl/>
        </w:rPr>
        <w:t xml:space="preserve">צִדְקָתְךָ כְּהַרְרֵי־אֵל מִשְׁפָּטֶךָ תְּהוֹם רַבָּה אָדָם־וּבְהֵמָה תוֹשִׁיעַ </w:t>
      </w:r>
      <w:r>
        <w:rPr>
          <w:rFonts w:hint="cs"/>
          <w:rtl/>
        </w:rPr>
        <w:t>ה' ".</w:t>
      </w:r>
      <w:r w:rsidR="00F20B92">
        <w:rPr>
          <w:rFonts w:hint="cs"/>
          <w:rtl/>
        </w:rPr>
        <w:t xml:space="preserve"> ראה דברינו </w:t>
      </w:r>
      <w:hyperlink r:id="rId1" w:history="1">
        <w:r w:rsidR="00F20B92" w:rsidRPr="00F20B92">
          <w:rPr>
            <w:rStyle w:val="Hyperlink"/>
            <w:rFonts w:hint="cs"/>
            <w:rtl/>
          </w:rPr>
          <w:t>אדם ובהמה תושיע ה'</w:t>
        </w:r>
      </w:hyperlink>
      <w:r w:rsidR="00F20B92">
        <w:rPr>
          <w:rFonts w:hint="cs"/>
          <w:rtl/>
        </w:rPr>
        <w:t xml:space="preserve"> בפרשת נח.</w:t>
      </w:r>
    </w:p>
  </w:footnote>
  <w:footnote w:id="3">
    <w:p w:rsidR="00FD7E84" w:rsidRDefault="00FD7E84" w:rsidP="00033A05">
      <w:pPr>
        <w:pStyle w:val="a3"/>
        <w:rPr>
          <w:rFonts w:hint="cs"/>
          <w:rtl/>
        </w:rPr>
      </w:pPr>
      <w:r>
        <w:rPr>
          <w:rStyle w:val="a5"/>
        </w:rPr>
        <w:footnoteRef/>
      </w:r>
      <w:r>
        <w:rPr>
          <w:rtl/>
        </w:rPr>
        <w:t xml:space="preserve"> </w:t>
      </w:r>
      <w:r>
        <w:rPr>
          <w:rFonts w:hint="cs"/>
          <w:rtl/>
          <w:lang w:val="he-IL"/>
        </w:rPr>
        <w:t xml:space="preserve">כאמור, חכמים באו והעמידו את הדין של "כי תבוא בכרם רעך ואכלת ענבים" ו"כי תבוא בקמת רעך וקטפת מלילות", בפועל העושה במלאכת הקציר או הבציר ובגדרי הלכות מאד ספציפיים, </w:t>
      </w:r>
      <w:r w:rsidR="002C57EF">
        <w:rPr>
          <w:rFonts w:hint="cs"/>
          <w:rtl/>
          <w:lang w:val="he-IL"/>
        </w:rPr>
        <w:t xml:space="preserve">מקצתם </w:t>
      </w:r>
      <w:r>
        <w:rPr>
          <w:rFonts w:hint="cs"/>
          <w:rtl/>
          <w:lang w:val="he-IL"/>
        </w:rPr>
        <w:t>נראה</w:t>
      </w:r>
      <w:r w:rsidR="002C57EF">
        <w:rPr>
          <w:rFonts w:hint="cs"/>
          <w:rtl/>
          <w:lang w:val="he-IL"/>
        </w:rPr>
        <w:t xml:space="preserve"> להלן</w:t>
      </w:r>
      <w:r>
        <w:rPr>
          <w:rFonts w:hint="cs"/>
          <w:rtl/>
          <w:lang w:val="he-IL"/>
        </w:rPr>
        <w:t>, ולא בכל אדם, לא בעוברי אורח. ראה המשך הגמרא שם שאולי לומדים את הדין גם מהמילה "</w:t>
      </w:r>
      <w:r w:rsidR="002C57EF">
        <w:rPr>
          <w:rFonts w:hint="cs"/>
          <w:rtl/>
          <w:lang w:val="he-IL"/>
        </w:rPr>
        <w:t>כ</w:t>
      </w:r>
      <w:r>
        <w:rPr>
          <w:rFonts w:hint="cs"/>
          <w:rtl/>
          <w:lang w:val="he-IL"/>
        </w:rPr>
        <w:t xml:space="preserve">נפשך" </w:t>
      </w:r>
      <w:r w:rsidR="00033A05">
        <w:rPr>
          <w:rFonts w:hint="cs"/>
          <w:rtl/>
          <w:lang w:val="he-IL"/>
        </w:rPr>
        <w:t>ו</w:t>
      </w:r>
      <w:r>
        <w:rPr>
          <w:rFonts w:hint="cs"/>
          <w:rtl/>
          <w:lang w:val="he-IL"/>
        </w:rPr>
        <w:t>מהמילים "ואל כליך לא תיתן</w:t>
      </w:r>
      <w:r w:rsidR="00033A05">
        <w:rPr>
          <w:rFonts w:hint="cs"/>
          <w:rtl/>
          <w:lang w:val="he-IL"/>
        </w:rPr>
        <w:t>"</w:t>
      </w:r>
      <w:r>
        <w:rPr>
          <w:rFonts w:hint="cs"/>
          <w:rtl/>
          <w:lang w:val="he-IL"/>
        </w:rPr>
        <w:t xml:space="preserve"> </w:t>
      </w:r>
      <w:r w:rsidRPr="00094544">
        <w:rPr>
          <w:rtl/>
          <w:lang w:val="he-IL"/>
        </w:rPr>
        <w:t>- בשעה שאתה נותן לכליו של בעל הבית - אתה אוכל, ובשעה שאי אתה נותן לכליו של בעל הבית - אי אתה אוכל</w:t>
      </w:r>
      <w:r>
        <w:rPr>
          <w:rFonts w:hint="cs"/>
          <w:rtl/>
          <w:lang w:val="he-IL"/>
        </w:rPr>
        <w:t>"</w:t>
      </w:r>
      <w:r w:rsidRPr="00094544">
        <w:rPr>
          <w:rtl/>
          <w:lang w:val="he-IL"/>
        </w:rPr>
        <w:t>.</w:t>
      </w:r>
      <w:r>
        <w:rPr>
          <w:rFonts w:hint="cs"/>
          <w:rtl/>
          <w:lang w:val="he-IL"/>
        </w:rPr>
        <w:t xml:space="preserve"> שהרי מה נאמר? שהתורה מזהירה שלא לשים בכלים ולא להניף חרמש ע"י עוברי אורח? הרי פשיטא שזה גזל! ולכן בהכרח מדובר בפועל שנותן לתוך כליו של בעל הבית ומניף חרמש בשעת הקציר </w:t>
      </w:r>
      <w:r w:rsidR="005C55D4">
        <w:rPr>
          <w:rFonts w:hint="cs"/>
          <w:rtl/>
          <w:lang w:val="he-IL"/>
        </w:rPr>
        <w:t xml:space="preserve">ובוצר בכרם </w:t>
      </w:r>
      <w:r>
        <w:rPr>
          <w:rFonts w:hint="cs"/>
          <w:rtl/>
          <w:lang w:val="he-IL"/>
        </w:rPr>
        <w:t>בשליחות בעל הבית. ראה גם הלימוד ב</w:t>
      </w:r>
      <w:r w:rsidRPr="00B645B6">
        <w:rPr>
          <w:rtl/>
          <w:lang w:val="he-IL"/>
        </w:rPr>
        <w:t>מדרש תנאים לדברים פרק כג פסוק כו</w:t>
      </w:r>
      <w:r>
        <w:rPr>
          <w:rFonts w:hint="cs"/>
          <w:rtl/>
          <w:lang w:val="he-IL"/>
        </w:rPr>
        <w:t xml:space="preserve"> שאכן קושר את הדבר עם גזל: "</w:t>
      </w:r>
      <w:r w:rsidRPr="00B645B6">
        <w:rPr>
          <w:rtl/>
          <w:lang w:val="he-IL"/>
        </w:rPr>
        <w:t>כי תב</w:t>
      </w:r>
      <w:r>
        <w:rPr>
          <w:rFonts w:hint="cs"/>
          <w:rtl/>
          <w:lang w:val="he-IL"/>
        </w:rPr>
        <w:t>ו</w:t>
      </w:r>
      <w:r w:rsidRPr="00B645B6">
        <w:rPr>
          <w:rtl/>
          <w:lang w:val="he-IL"/>
        </w:rPr>
        <w:t>א בקמת רע</w:t>
      </w:r>
      <w:r>
        <w:rPr>
          <w:rFonts w:hint="cs"/>
          <w:rtl/>
          <w:lang w:val="he-IL"/>
        </w:rPr>
        <w:t xml:space="preserve">ך - </w:t>
      </w:r>
      <w:r w:rsidRPr="00B645B6">
        <w:rPr>
          <w:rtl/>
          <w:lang w:val="he-IL"/>
        </w:rPr>
        <w:t>בפועל הכת</w:t>
      </w:r>
      <w:r>
        <w:rPr>
          <w:rFonts w:hint="cs"/>
          <w:rtl/>
          <w:lang w:val="he-IL"/>
        </w:rPr>
        <w:t>וב</w:t>
      </w:r>
      <w:r w:rsidRPr="00B645B6">
        <w:rPr>
          <w:rtl/>
          <w:lang w:val="he-IL"/>
        </w:rPr>
        <w:t xml:space="preserve"> מדבר</w:t>
      </w:r>
      <w:r>
        <w:rPr>
          <w:rFonts w:hint="cs"/>
          <w:rtl/>
          <w:lang w:val="he-IL"/>
        </w:rPr>
        <w:t>.</w:t>
      </w:r>
      <w:r w:rsidRPr="00B645B6">
        <w:rPr>
          <w:rtl/>
          <w:lang w:val="he-IL"/>
        </w:rPr>
        <w:t xml:space="preserve"> אתה אומר בפועל הכת</w:t>
      </w:r>
      <w:r>
        <w:rPr>
          <w:rFonts w:hint="cs"/>
          <w:rtl/>
          <w:lang w:val="he-IL"/>
        </w:rPr>
        <w:t>וב</w:t>
      </w:r>
      <w:r w:rsidRPr="00B645B6">
        <w:rPr>
          <w:rtl/>
          <w:lang w:val="he-IL"/>
        </w:rPr>
        <w:t xml:space="preserve"> מדבר</w:t>
      </w:r>
      <w:r>
        <w:rPr>
          <w:rFonts w:hint="cs"/>
          <w:rtl/>
          <w:lang w:val="he-IL"/>
        </w:rPr>
        <w:t>,</w:t>
      </w:r>
      <w:r w:rsidRPr="00B645B6">
        <w:rPr>
          <w:rtl/>
          <w:lang w:val="he-IL"/>
        </w:rPr>
        <w:t xml:space="preserve"> או אינו מדבר אלא בכל אדם</w:t>
      </w:r>
      <w:r>
        <w:rPr>
          <w:rFonts w:hint="cs"/>
          <w:rtl/>
          <w:lang w:val="he-IL"/>
        </w:rPr>
        <w:t>?</w:t>
      </w:r>
      <w:r w:rsidRPr="00B645B6">
        <w:rPr>
          <w:rtl/>
          <w:lang w:val="he-IL"/>
        </w:rPr>
        <w:t xml:space="preserve"> </w:t>
      </w:r>
      <w:r>
        <w:rPr>
          <w:rtl/>
          <w:lang w:val="he-IL"/>
        </w:rPr>
        <w:t>כשהוא אומ</w:t>
      </w:r>
      <w:r>
        <w:rPr>
          <w:rFonts w:hint="cs"/>
          <w:rtl/>
          <w:lang w:val="he-IL"/>
        </w:rPr>
        <w:t xml:space="preserve">ר: </w:t>
      </w:r>
      <w:r w:rsidRPr="00B645B6">
        <w:rPr>
          <w:rtl/>
          <w:lang w:val="he-IL"/>
        </w:rPr>
        <w:t>ולא תגז</w:t>
      </w:r>
      <w:r>
        <w:rPr>
          <w:rFonts w:hint="cs"/>
          <w:rtl/>
          <w:lang w:val="he-IL"/>
        </w:rPr>
        <w:t>ו</w:t>
      </w:r>
      <w:r w:rsidRPr="00B645B6">
        <w:rPr>
          <w:rtl/>
          <w:lang w:val="he-IL"/>
        </w:rPr>
        <w:t>ל הרי כל אדם א</w:t>
      </w:r>
      <w:r>
        <w:rPr>
          <w:rtl/>
          <w:lang w:val="he-IL"/>
        </w:rPr>
        <w:t>ָ</w:t>
      </w:r>
      <w:r w:rsidRPr="00B645B6">
        <w:rPr>
          <w:rtl/>
          <w:lang w:val="he-IL"/>
        </w:rPr>
        <w:t>מו</w:t>
      </w:r>
      <w:r>
        <w:rPr>
          <w:rtl/>
          <w:lang w:val="he-IL"/>
        </w:rPr>
        <w:t>ּ</w:t>
      </w:r>
      <w:r w:rsidRPr="00B645B6">
        <w:rPr>
          <w:rtl/>
          <w:lang w:val="he-IL"/>
        </w:rPr>
        <w:t>ר</w:t>
      </w:r>
      <w:r>
        <w:rPr>
          <w:rFonts w:hint="cs"/>
          <w:rtl/>
          <w:lang w:val="he-IL"/>
        </w:rPr>
        <w:t>.</w:t>
      </w:r>
      <w:r w:rsidRPr="00B645B6">
        <w:rPr>
          <w:rtl/>
          <w:lang w:val="he-IL"/>
        </w:rPr>
        <w:t xml:space="preserve"> הא מה ת</w:t>
      </w:r>
      <w:r>
        <w:rPr>
          <w:rFonts w:hint="cs"/>
          <w:rtl/>
          <w:lang w:val="he-IL"/>
        </w:rPr>
        <w:t xml:space="preserve">למוד לומר: </w:t>
      </w:r>
      <w:r w:rsidRPr="00B645B6">
        <w:rPr>
          <w:rtl/>
          <w:lang w:val="he-IL"/>
        </w:rPr>
        <w:t>כי תב</w:t>
      </w:r>
      <w:r>
        <w:rPr>
          <w:rFonts w:hint="cs"/>
          <w:rtl/>
          <w:lang w:val="he-IL"/>
        </w:rPr>
        <w:t>ו</w:t>
      </w:r>
      <w:r w:rsidRPr="00B645B6">
        <w:rPr>
          <w:rtl/>
          <w:lang w:val="he-IL"/>
        </w:rPr>
        <w:t>א בק</w:t>
      </w:r>
      <w:r>
        <w:rPr>
          <w:rFonts w:hint="cs"/>
          <w:rtl/>
          <w:lang w:val="he-IL"/>
        </w:rPr>
        <w:t>מת</w:t>
      </w:r>
      <w:r w:rsidRPr="00B645B6">
        <w:rPr>
          <w:rtl/>
          <w:lang w:val="he-IL"/>
        </w:rPr>
        <w:t xml:space="preserve"> רע</w:t>
      </w:r>
      <w:r>
        <w:rPr>
          <w:rFonts w:hint="cs"/>
          <w:rtl/>
          <w:lang w:val="he-IL"/>
        </w:rPr>
        <w:t xml:space="preserve">ך? - </w:t>
      </w:r>
      <w:r w:rsidRPr="00B645B6">
        <w:rPr>
          <w:rtl/>
          <w:lang w:val="he-IL"/>
        </w:rPr>
        <w:t>בפועל הכת</w:t>
      </w:r>
      <w:r>
        <w:rPr>
          <w:rFonts w:hint="cs"/>
          <w:rtl/>
          <w:lang w:val="he-IL"/>
        </w:rPr>
        <w:t>וב</w:t>
      </w:r>
      <w:r w:rsidRPr="00B645B6">
        <w:rPr>
          <w:rtl/>
          <w:lang w:val="he-IL"/>
        </w:rPr>
        <w:t xml:space="preserve"> מדבר</w:t>
      </w:r>
      <w:r>
        <w:rPr>
          <w:rFonts w:hint="cs"/>
          <w:rtl/>
          <w:lang w:val="he-IL"/>
        </w:rPr>
        <w:t>".</w:t>
      </w:r>
    </w:p>
  </w:footnote>
  <w:footnote w:id="4">
    <w:p w:rsidR="00FD7E84" w:rsidRDefault="00FD7E84">
      <w:pPr>
        <w:pStyle w:val="a3"/>
        <w:rPr>
          <w:rFonts w:hint="cs"/>
        </w:rPr>
      </w:pPr>
      <w:r>
        <w:rPr>
          <w:rStyle w:val="a5"/>
        </w:rPr>
        <w:footnoteRef/>
      </w:r>
      <w:r>
        <w:rPr>
          <w:rtl/>
        </w:rPr>
        <w:t xml:space="preserve"> </w:t>
      </w:r>
      <w:r>
        <w:rPr>
          <w:rFonts w:hint="cs"/>
          <w:rtl/>
        </w:rPr>
        <w:t>מכאן או מתוך כך למדנו:</w:t>
      </w:r>
    </w:p>
  </w:footnote>
  <w:footnote w:id="5">
    <w:p w:rsidR="00FD7E84" w:rsidRDefault="00FD7E84" w:rsidP="00033A05">
      <w:pPr>
        <w:pStyle w:val="a3"/>
        <w:rPr>
          <w:rFonts w:hint="cs"/>
          <w:rtl/>
        </w:rPr>
      </w:pPr>
      <w:r>
        <w:rPr>
          <w:rStyle w:val="a5"/>
        </w:rPr>
        <w:footnoteRef/>
      </w:r>
      <w:r>
        <w:rPr>
          <w:rtl/>
        </w:rPr>
        <w:t xml:space="preserve"> </w:t>
      </w:r>
      <w:r>
        <w:rPr>
          <w:rFonts w:hint="cs"/>
          <w:rtl/>
          <w:lang w:val="he-IL"/>
        </w:rPr>
        <w:t>הלימוד בירושלמי הא מסיומת הפסוק השני: "וחרמש לא תניף על קמת רעך" שבהכרח מדבר על מי שיש לו רשות בסיסית להניף חרמש על הקמה, היינו פועל, אלא שהוא מוזהר לא לעשות זאת לצורך אכילתו. על סתם אדם שבא בשדה חברו ומניף חרמש על תבואה שאינה שלו, התורה, שמקפידה ומדקדקת מאד על גזל</w:t>
      </w:r>
      <w:r w:rsidR="00033A05">
        <w:rPr>
          <w:rFonts w:hint="cs"/>
          <w:rtl/>
          <w:lang w:val="he-IL"/>
        </w:rPr>
        <w:t xml:space="preserve"> שבגינו חרב העולם במבול</w:t>
      </w:r>
      <w:r>
        <w:rPr>
          <w:rFonts w:hint="cs"/>
          <w:rtl/>
          <w:lang w:val="he-IL"/>
        </w:rPr>
        <w:t xml:space="preserve">, לא צריכה בכלל לדבר. כך נראה לנו להסביר את דברי ר' שמעון בר יוחאי. </w:t>
      </w:r>
      <w:r w:rsidR="00033A05">
        <w:rPr>
          <w:rFonts w:hint="cs"/>
          <w:rtl/>
          <w:lang w:val="he-IL"/>
        </w:rPr>
        <w:t>ו</w:t>
      </w:r>
      <w:r>
        <w:rPr>
          <w:rFonts w:hint="cs"/>
          <w:rtl/>
          <w:lang w:val="he-IL"/>
        </w:rPr>
        <w:t xml:space="preserve">חידוש </w:t>
      </w:r>
      <w:r w:rsidR="00033A05">
        <w:rPr>
          <w:rFonts w:hint="cs"/>
          <w:rtl/>
          <w:lang w:val="he-IL"/>
        </w:rPr>
        <w:t xml:space="preserve">התורה כאן הוא </w:t>
      </w:r>
      <w:r>
        <w:rPr>
          <w:rFonts w:hint="cs"/>
          <w:rtl/>
          <w:lang w:val="he-IL"/>
        </w:rPr>
        <w:t>שלפועל מותר לאכול ואין בזה משום גזל. אבל החידוש הגדול בירושלמי הם דברי איסי בן עקביה שאומר שכן מדובר בכל אדם, כן מדובר בעוברי אורח מזדמנים.</w:t>
      </w:r>
      <w:r>
        <w:rPr>
          <w:rFonts w:hint="cs"/>
          <w:rtl/>
        </w:rPr>
        <w:t xml:space="preserve"> ראה הד נוסף לשיטה זו גם בתלמוד הבבלי, </w:t>
      </w:r>
      <w:r>
        <w:rPr>
          <w:rtl/>
        </w:rPr>
        <w:t>בבא מציעא צב ע</w:t>
      </w:r>
      <w:r>
        <w:rPr>
          <w:rFonts w:hint="cs"/>
          <w:rtl/>
        </w:rPr>
        <w:t>"</w:t>
      </w:r>
      <w:r>
        <w:rPr>
          <w:rtl/>
        </w:rPr>
        <w:t>א</w:t>
      </w:r>
      <w:r>
        <w:rPr>
          <w:rFonts w:hint="cs"/>
          <w:rtl/>
        </w:rPr>
        <w:t>: "</w:t>
      </w:r>
      <w:r>
        <w:rPr>
          <w:rtl/>
        </w:rPr>
        <w:t>אמר רב: מצאתי מגילת סתרים בי רבי חייא, וכתוב בה: איסי בן יהודה אומר</w:t>
      </w:r>
      <w:r>
        <w:rPr>
          <w:rFonts w:hint="cs"/>
          <w:rtl/>
        </w:rPr>
        <w:t>:</w:t>
      </w:r>
      <w:r>
        <w:rPr>
          <w:rtl/>
        </w:rPr>
        <w:t xml:space="preserve"> כי תב</w:t>
      </w:r>
      <w:r>
        <w:rPr>
          <w:rFonts w:hint="cs"/>
          <w:rtl/>
        </w:rPr>
        <w:t>ו</w:t>
      </w:r>
      <w:r>
        <w:rPr>
          <w:rtl/>
        </w:rPr>
        <w:t>א בכרם רעך - בביאת כל אדם הכתוב מדבר</w:t>
      </w:r>
      <w:r w:rsidR="00033A05">
        <w:rPr>
          <w:rFonts w:hint="cs"/>
          <w:rtl/>
        </w:rPr>
        <w:t>"</w:t>
      </w:r>
      <w:r>
        <w:rPr>
          <w:rtl/>
        </w:rPr>
        <w:t>. רב</w:t>
      </w:r>
      <w:r w:rsidR="00033A05">
        <w:rPr>
          <w:rFonts w:hint="cs"/>
          <w:rtl/>
        </w:rPr>
        <w:t xml:space="preserve"> עצמו לא מסכים כמובן עם דין זה ואומר שם</w:t>
      </w:r>
      <w:r>
        <w:rPr>
          <w:rtl/>
        </w:rPr>
        <w:t xml:space="preserve">: </w:t>
      </w:r>
      <w:r w:rsidR="00033A05">
        <w:rPr>
          <w:rFonts w:hint="cs"/>
          <w:rtl/>
        </w:rPr>
        <w:t>"</w:t>
      </w:r>
      <w:r>
        <w:rPr>
          <w:rtl/>
        </w:rPr>
        <w:t>לא שבק איסי חיי לכל בריה</w:t>
      </w:r>
      <w:r>
        <w:rPr>
          <w:rFonts w:hint="cs"/>
          <w:rtl/>
        </w:rPr>
        <w:t>"</w:t>
      </w:r>
      <w:r>
        <w:rPr>
          <w:rtl/>
        </w:rPr>
        <w:t>.</w:t>
      </w:r>
    </w:p>
  </w:footnote>
  <w:footnote w:id="6">
    <w:p w:rsidR="00FD7E84" w:rsidRDefault="00FD7E84">
      <w:pPr>
        <w:pStyle w:val="a3"/>
        <w:rPr>
          <w:rFonts w:hint="cs"/>
        </w:rPr>
      </w:pPr>
      <w:r>
        <w:rPr>
          <w:rStyle w:val="a5"/>
        </w:rPr>
        <w:footnoteRef/>
      </w:r>
      <w:r>
        <w:rPr>
          <w:rtl/>
        </w:rPr>
        <w:t xml:space="preserve"> </w:t>
      </w:r>
      <w:r>
        <w:rPr>
          <w:rFonts w:hint="cs"/>
          <w:rtl/>
        </w:rPr>
        <w:t>עמוד 132, תרגום אברהם שליט, מוסד ביאליק.</w:t>
      </w:r>
    </w:p>
  </w:footnote>
  <w:footnote w:id="7">
    <w:p w:rsidR="00FD7E84" w:rsidRDefault="00FD7E84" w:rsidP="004E42BE">
      <w:pPr>
        <w:pStyle w:val="a3"/>
        <w:rPr>
          <w:rFonts w:hint="cs"/>
          <w:rtl/>
        </w:rPr>
      </w:pPr>
      <w:r>
        <w:rPr>
          <w:rStyle w:val="a5"/>
        </w:rPr>
        <w:footnoteRef/>
      </w:r>
      <w:r>
        <w:rPr>
          <w:rtl/>
        </w:rPr>
        <w:t xml:space="preserve"> </w:t>
      </w:r>
      <w:r>
        <w:rPr>
          <w:rFonts w:hint="cs"/>
          <w:rtl/>
          <w:lang w:val="he-IL"/>
        </w:rPr>
        <w:t xml:space="preserve">יש כאן מספר מוטיבים מעניינים: מידת הנדיבות כמובן, השפע כסימן להשגחה מלמעלה ובחירה, השפע כשותפות כלל אנושית (ראה דברים רבה ז ז על הגשמים שהם שמחה משותפת לכל עמי האזור), הזמנת אנשים לבוא להשתתף בשפע ולא רק בהזדמנות - "כי תבוא", יחסי ישראל והעמים ועוד. ואולי מעל לכל, </w:t>
      </w:r>
      <w:r w:rsidR="00033A05">
        <w:rPr>
          <w:rFonts w:hint="cs"/>
          <w:rtl/>
          <w:lang w:val="he-IL"/>
        </w:rPr>
        <w:t xml:space="preserve">בולט כאן </w:t>
      </w:r>
      <w:r>
        <w:rPr>
          <w:rFonts w:hint="cs"/>
          <w:rtl/>
          <w:lang w:val="he-IL"/>
        </w:rPr>
        <w:t xml:space="preserve">רצונו של יוסף בן מתתיהו להציג בפני </w:t>
      </w:r>
      <w:r w:rsidR="00033A05">
        <w:rPr>
          <w:rFonts w:hint="cs"/>
          <w:rtl/>
          <w:lang w:val="he-IL"/>
        </w:rPr>
        <w:t xml:space="preserve">בעלי חסותו </w:t>
      </w:r>
      <w:r>
        <w:rPr>
          <w:rFonts w:hint="cs"/>
          <w:rtl/>
          <w:lang w:val="he-IL"/>
        </w:rPr>
        <w:t xml:space="preserve">הרומאים את נאורות דיני התורה ויפי תרבותו של עם ישראל. ראה גמרא בבא קמא לח ע"א על השליחים מרומא שבאו ללמוד או לבחון את תורת ישראל. בלי להיכנס למידת דיוקיו ההיסטוריים ואמינותו של יוסף בן מתתיהו, במקרה דנן יש לו סימוכין הן בירושלמי  </w:t>
      </w:r>
      <w:r>
        <w:rPr>
          <w:rtl/>
          <w:lang w:val="he-IL"/>
        </w:rPr>
        <w:t>–</w:t>
      </w:r>
      <w:r>
        <w:rPr>
          <w:rFonts w:hint="cs"/>
          <w:rtl/>
          <w:lang w:val="he-IL"/>
        </w:rPr>
        <w:t xml:space="preserve"> שיטתו של איסי בן עקביה והן בבבלי </w:t>
      </w:r>
      <w:r>
        <w:rPr>
          <w:rtl/>
          <w:lang w:val="he-IL"/>
        </w:rPr>
        <w:t>–</w:t>
      </w:r>
      <w:r>
        <w:rPr>
          <w:rFonts w:hint="cs"/>
          <w:rtl/>
          <w:lang w:val="he-IL"/>
        </w:rPr>
        <w:t xml:space="preserve"> שיטת איסי בן יהודה במגילת הסתרים שמצא רב בבית מדרשו של רבי חייא (הערה 5 לעיל). ראה גם </w:t>
      </w:r>
      <w:r w:rsidRPr="0025652C">
        <w:rPr>
          <w:rtl/>
          <w:lang w:val="he-IL"/>
        </w:rPr>
        <w:t>רמב"ם הלכות שכירות פרק יב הלכה א</w:t>
      </w:r>
      <w:r>
        <w:rPr>
          <w:rFonts w:hint="cs"/>
          <w:rtl/>
          <w:lang w:val="he-IL"/>
        </w:rPr>
        <w:t xml:space="preserve"> שנדרש להתמודד עם הנושא הזה: "</w:t>
      </w:r>
      <w:r w:rsidRPr="0025652C">
        <w:rPr>
          <w:rtl/>
          <w:lang w:val="he-IL"/>
        </w:rPr>
        <w:t>מפי השמועה למדו שאין הכתוב מדבר אלא בשכיר</w:t>
      </w:r>
      <w:r>
        <w:rPr>
          <w:rFonts w:hint="cs"/>
          <w:rtl/>
          <w:lang w:val="he-IL"/>
        </w:rPr>
        <w:t>.</w:t>
      </w:r>
      <w:r w:rsidRPr="0025652C">
        <w:rPr>
          <w:rtl/>
          <w:lang w:val="he-IL"/>
        </w:rPr>
        <w:t xml:space="preserve"> וכי אילו לא שכרו</w:t>
      </w:r>
      <w:r>
        <w:rPr>
          <w:rFonts w:hint="cs"/>
          <w:rtl/>
          <w:lang w:val="he-IL"/>
        </w:rPr>
        <w:t>,</w:t>
      </w:r>
      <w:r w:rsidRPr="0025652C">
        <w:rPr>
          <w:rtl/>
          <w:lang w:val="he-IL"/>
        </w:rPr>
        <w:t xml:space="preserve"> מי התיר לו שיב</w:t>
      </w:r>
      <w:r>
        <w:rPr>
          <w:rFonts w:hint="cs"/>
          <w:rtl/>
          <w:lang w:val="he-IL"/>
        </w:rPr>
        <w:t>ו</w:t>
      </w:r>
      <w:r w:rsidRPr="0025652C">
        <w:rPr>
          <w:rtl/>
          <w:lang w:val="he-IL"/>
        </w:rPr>
        <w:t>א בכרם רעהו בקמה שלו שלא מדעתו</w:t>
      </w:r>
      <w:r>
        <w:rPr>
          <w:rFonts w:hint="cs"/>
          <w:rtl/>
          <w:lang w:val="he-IL"/>
        </w:rPr>
        <w:t>?</w:t>
      </w:r>
      <w:r w:rsidRPr="0025652C">
        <w:rPr>
          <w:rtl/>
          <w:lang w:val="he-IL"/>
        </w:rPr>
        <w:t xml:space="preserve"> אלא כך הוא אומר</w:t>
      </w:r>
      <w:r>
        <w:rPr>
          <w:rFonts w:hint="cs"/>
          <w:rtl/>
          <w:lang w:val="he-IL"/>
        </w:rPr>
        <w:t>:</w:t>
      </w:r>
      <w:r w:rsidRPr="0025652C">
        <w:rPr>
          <w:rtl/>
          <w:lang w:val="he-IL"/>
        </w:rPr>
        <w:t xml:space="preserve"> כי תב</w:t>
      </w:r>
      <w:r>
        <w:rPr>
          <w:rFonts w:hint="cs"/>
          <w:rtl/>
          <w:lang w:val="he-IL"/>
        </w:rPr>
        <w:t>ו</w:t>
      </w:r>
      <w:r w:rsidRPr="0025652C">
        <w:rPr>
          <w:rtl/>
          <w:lang w:val="he-IL"/>
        </w:rPr>
        <w:t>א לרשות בעלים לעבודה</w:t>
      </w:r>
      <w:r>
        <w:rPr>
          <w:rFonts w:hint="cs"/>
          <w:rtl/>
          <w:lang w:val="he-IL"/>
        </w:rPr>
        <w:t>,</w:t>
      </w:r>
      <w:r w:rsidRPr="0025652C">
        <w:rPr>
          <w:rtl/>
          <w:lang w:val="he-IL"/>
        </w:rPr>
        <w:t xml:space="preserve"> תאכל</w:t>
      </w:r>
      <w:r>
        <w:rPr>
          <w:rFonts w:hint="cs"/>
          <w:rtl/>
          <w:lang w:val="he-IL"/>
        </w:rPr>
        <w:t>"</w:t>
      </w:r>
      <w:r w:rsidRPr="0025652C">
        <w:rPr>
          <w:rtl/>
          <w:lang w:val="he-IL"/>
        </w:rPr>
        <w:t>.</w:t>
      </w:r>
      <w:r>
        <w:rPr>
          <w:rFonts w:hint="cs"/>
          <w:rtl/>
          <w:lang w:val="he-IL"/>
        </w:rPr>
        <w:t xml:space="preserve"> ראה גם פירוש </w:t>
      </w:r>
      <w:r w:rsidRPr="00896EED">
        <w:rPr>
          <w:rtl/>
          <w:lang w:val="he-IL"/>
        </w:rPr>
        <w:t xml:space="preserve">משך חכמה דברים פרק כג </w:t>
      </w:r>
      <w:r>
        <w:rPr>
          <w:rFonts w:hint="cs"/>
          <w:rtl/>
          <w:lang w:val="he-IL"/>
        </w:rPr>
        <w:t xml:space="preserve">פסוק </w:t>
      </w:r>
      <w:r w:rsidRPr="00896EED">
        <w:rPr>
          <w:rtl/>
          <w:lang w:val="he-IL"/>
        </w:rPr>
        <w:t>כה</w:t>
      </w:r>
      <w:r>
        <w:rPr>
          <w:rFonts w:hint="cs"/>
          <w:rtl/>
          <w:lang w:val="he-IL"/>
        </w:rPr>
        <w:t xml:space="preserve"> שמתייחס לעניין. כך או כך, תודה לדר' משה רענן שהפנה אותי למקור של יוסף בן מתתיהו וציין ששמע אותו מפי הרב שג"ר ז"ל.</w:t>
      </w:r>
      <w:r>
        <w:rPr>
          <w:rFonts w:hint="cs"/>
          <w:rtl/>
        </w:rPr>
        <w:t xml:space="preserve"> ואולי "מגילת סתרים" שמוזכרת בבבלי, היא ספרו של יוסף בן מתתיהו שהיה מוכר לחכמים.</w:t>
      </w:r>
    </w:p>
  </w:footnote>
  <w:footnote w:id="8">
    <w:p w:rsidR="00FD7E84" w:rsidRDefault="00FD7E84" w:rsidP="005C55D4">
      <w:pPr>
        <w:pStyle w:val="a3"/>
        <w:rPr>
          <w:rFonts w:hint="cs"/>
          <w:rtl/>
        </w:rPr>
      </w:pPr>
      <w:r>
        <w:rPr>
          <w:rStyle w:val="a5"/>
        </w:rPr>
        <w:footnoteRef/>
      </w:r>
      <w:r>
        <w:rPr>
          <w:rtl/>
        </w:rPr>
        <w:t xml:space="preserve"> </w:t>
      </w:r>
      <w:r>
        <w:rPr>
          <w:rFonts w:hint="cs"/>
          <w:rtl/>
        </w:rPr>
        <w:t>לאחר שבמשנה הקודמת, הפותחת את פרק ז במסכת בבא מציעא, מובא הדין הכללי של מתן אוכל לפועלים, והמסקנה שם היא "הכל כמנהג המדינה"</w:t>
      </w:r>
      <w:r w:rsidR="005C55D4">
        <w:rPr>
          <w:rFonts w:hint="cs"/>
          <w:rtl/>
        </w:rPr>
        <w:t xml:space="preserve">, אך </w:t>
      </w:r>
      <w:r>
        <w:rPr>
          <w:rFonts w:hint="cs"/>
          <w:rtl/>
        </w:rPr>
        <w:t>מומלץ לקבוע מראש, לקצוץ בלשון חז"ל, אם מקבלים הפועלים אוכל ומה בדיוק הם מקבלים (כי אחרת "אפילו אתה עושה להם כסעודת שלמה בשעתו לא יצאת ידי חובה"); באה משנה זו ודנה בדין אכילת פועל מהתורה, כנזכר בפרשתנו. היינו, פועל העוסק בקציר, קטיף או בציר, שאוכל בזכות שמוקנית לו מן התורה. אלא שלזכות זו יש סייגים ודינים רבים ונראה שאין זו זכות קניינית לכל דבר.</w:t>
      </w:r>
    </w:p>
  </w:footnote>
  <w:footnote w:id="9">
    <w:p w:rsidR="00FD7E84" w:rsidRDefault="00FD7E84" w:rsidP="00610635">
      <w:pPr>
        <w:pStyle w:val="a3"/>
        <w:rPr>
          <w:rFonts w:hint="cs"/>
          <w:rtl/>
        </w:rPr>
      </w:pPr>
      <w:r>
        <w:rPr>
          <w:rStyle w:val="a5"/>
        </w:rPr>
        <w:footnoteRef/>
      </w:r>
      <w:r>
        <w:rPr>
          <w:rtl/>
        </w:rPr>
        <w:t xml:space="preserve"> </w:t>
      </w:r>
      <w:r>
        <w:rPr>
          <w:rFonts w:hint="cs"/>
          <w:rtl/>
        </w:rPr>
        <w:t xml:space="preserve">יש כאן צמצום. היתר אכילת הפועל הוא רק בצמוד לפעולות איסוף היבול החקלאי כאשר נגמרה מלאכת הגידול והיבול עדיין במחובר לקרקע, או כאשר היבול כבר תלוש אבל מלאכת הגורן (עשיית הכרי) טרם הושלמה ולא נגמרה מלאכתו לחיוב תרומות ומעשרות. שים לב לשתי המשמעויות השונות של "גמר מלאכה" כאן. ומנין לומדים על דין תלוש? הרי הפסוקים שלנו מדברים על פועל שקוצר או בוצר והיבול עדיין מחובר? התשובה: מהיקש שור לאדם, מההשוואה בין "לא תחסום שור בדישו" ובין "כי תבוא בקמת רעך". ראה גמרא </w:t>
      </w:r>
      <w:r>
        <w:rPr>
          <w:rtl/>
        </w:rPr>
        <w:t>בבא מציעא פח ע</w:t>
      </w:r>
      <w:r>
        <w:rPr>
          <w:rFonts w:hint="cs"/>
          <w:rtl/>
        </w:rPr>
        <w:t>"ב בקל וחומר דו-צדדי (שלא קשה להפריכו): "</w:t>
      </w:r>
      <w:r>
        <w:rPr>
          <w:rtl/>
        </w:rPr>
        <w:t xml:space="preserve">אשכחן אדם במחובר ושור בתלוש, אדם בתלוש מנלן? - קל וחומר משור: ומה שור שאינו אוכל במחובר - אוכל בתלוש, אדם שאוכל במחובר - אינו דין שאוכל בתלוש! </w:t>
      </w:r>
      <w:r>
        <w:rPr>
          <w:rFonts w:hint="cs"/>
          <w:rtl/>
        </w:rPr>
        <w:t>...</w:t>
      </w:r>
      <w:r>
        <w:rPr>
          <w:rtl/>
        </w:rPr>
        <w:t xml:space="preserve"> שור במחובר מנלן? - קל וח</w:t>
      </w:r>
      <w:r>
        <w:rPr>
          <w:rFonts w:hint="cs"/>
          <w:rtl/>
        </w:rPr>
        <w:t>ו</w:t>
      </w:r>
      <w:r>
        <w:rPr>
          <w:rtl/>
        </w:rPr>
        <w:t>מר מאדם: ומה אדם שאינו אוכל בתלוש - אוכל במחובר, שור שאוכל בתלוש - אינו דין שאוכל במחובר?</w:t>
      </w:r>
      <w:r>
        <w:rPr>
          <w:rFonts w:hint="cs"/>
          <w:rtl/>
        </w:rPr>
        <w:t>".</w:t>
      </w:r>
    </w:p>
  </w:footnote>
  <w:footnote w:id="10">
    <w:p w:rsidR="00FD7E84" w:rsidRDefault="00FD7E84" w:rsidP="007A4F7A">
      <w:pPr>
        <w:pStyle w:val="a3"/>
        <w:rPr>
          <w:rFonts w:hint="cs"/>
          <w:rtl/>
        </w:rPr>
      </w:pPr>
      <w:r>
        <w:rPr>
          <w:rStyle w:val="a5"/>
        </w:rPr>
        <w:footnoteRef/>
      </w:r>
      <w:r>
        <w:rPr>
          <w:rtl/>
        </w:rPr>
        <w:t xml:space="preserve"> </w:t>
      </w:r>
      <w:r>
        <w:rPr>
          <w:rFonts w:hint="cs"/>
          <w:rtl/>
        </w:rPr>
        <w:t>ויש גם הרחבה. לא מדובר רק בתבואה או בכרם ככתוב בתורה, אלא בכל דבר שגידולו מהקרקע: תבואות, פירות וירקות. ראה לימוד עניין זה בגמרא בבא מציעא פז ע"ב בשיטת "הצד השווה": "</w:t>
      </w:r>
      <w:r>
        <w:rPr>
          <w:rtl/>
        </w:rPr>
        <w:t>מה לקמה שכן חייבת בחלה - כרם יוכיח. - מה לכרם - שכן חייב בעוללות - קמה תוכיח. וחזר הדין, לא ראי זה כראי זה, הצד השוה שבהן: שכן דבר שגידולי קרקע ובשעת גמר מלאכה פועל אוכל בו, אף כל דבר שגידולי קרקע בשעת גמר מלאכה פועל אוכל בו</w:t>
      </w:r>
      <w:r>
        <w:rPr>
          <w:rFonts w:hint="cs"/>
          <w:rtl/>
        </w:rPr>
        <w:t>"</w:t>
      </w:r>
      <w:r>
        <w:rPr>
          <w:rtl/>
        </w:rPr>
        <w:t>.</w:t>
      </w:r>
    </w:p>
  </w:footnote>
  <w:footnote w:id="11">
    <w:p w:rsidR="00FD7E84" w:rsidRDefault="00FD7E84" w:rsidP="00033A05">
      <w:pPr>
        <w:pStyle w:val="a3"/>
        <w:rPr>
          <w:rFonts w:hint="cs"/>
          <w:rtl/>
        </w:rPr>
      </w:pPr>
      <w:r>
        <w:rPr>
          <w:rStyle w:val="a5"/>
        </w:rPr>
        <w:footnoteRef/>
      </w:r>
      <w:r>
        <w:rPr>
          <w:rtl/>
        </w:rPr>
        <w:t xml:space="preserve"> </w:t>
      </w:r>
      <w:r>
        <w:rPr>
          <w:rFonts w:hint="cs"/>
          <w:rtl/>
        </w:rPr>
        <w:t xml:space="preserve">גם בלימוד דין זה, שלכאורה מיותר שכן הוא משלים לדין הקודם, מתבססת הגמרא (בבא מציעא פט ע"א) על הקשר של "לא תחסום שור בדישו" עם אכילת </w:t>
      </w:r>
      <w:r w:rsidR="00033A05">
        <w:rPr>
          <w:rFonts w:hint="cs"/>
          <w:rtl/>
        </w:rPr>
        <w:t>פ</w:t>
      </w:r>
      <w:r>
        <w:rPr>
          <w:rFonts w:hint="cs"/>
          <w:rtl/>
        </w:rPr>
        <w:t>ועל בכרם: "</w:t>
      </w:r>
      <w:r>
        <w:rPr>
          <w:rtl/>
        </w:rPr>
        <w:t>תנו רבנן: דיש, מה דיש מיוחד - דבר שגידולי קרקע ובשעת גמר מלאכה ופועל אוכל בו, אף כל שגידולי קרקע - פועל אוכל בו. יצא החולב והמחבץ והמגבן שאין גידולי קרקע ואין פועל אוכל בו</w:t>
      </w:r>
      <w:r>
        <w:rPr>
          <w:rFonts w:hint="cs"/>
          <w:rtl/>
        </w:rPr>
        <w:t xml:space="preserve"> ...</w:t>
      </w:r>
      <w:r>
        <w:rPr>
          <w:rtl/>
        </w:rPr>
        <w:t xml:space="preserve"> תניא אידך: דיש, מה דיש מיוחד - דבר שבשעת גמר מלאכה פועל אוכל בו, אף כל שהוא בשעת גמר מלאכה פועל אוכל בו. יצא המנכש בשומים ובבצלים, הואיל ואין גמר מלאכה - אין פועל אוכל בהם</w:t>
      </w:r>
      <w:r>
        <w:rPr>
          <w:rFonts w:hint="cs"/>
          <w:rtl/>
        </w:rPr>
        <w:t xml:space="preserve"> ...</w:t>
      </w:r>
      <w:r>
        <w:rPr>
          <w:rtl/>
        </w:rPr>
        <w:t xml:space="preserve"> תניא אידך: דיש, מה דיש מיוחד - דבר שלא נגמרה מלאכתו למעשר פועל אוכל בו, אף כל שלא נגמרה מלאכתו למעשר פועל אוכל בו. יצא הבודל בתמרים ובגרוגרות, הואיל ונגמרה מלאכתו למעשר - אין פועל אוכל בו</w:t>
      </w:r>
      <w:r>
        <w:rPr>
          <w:rFonts w:hint="cs"/>
          <w:rtl/>
        </w:rPr>
        <w:t>"</w:t>
      </w:r>
      <w:r>
        <w:rPr>
          <w:rtl/>
        </w:rPr>
        <w:t>.</w:t>
      </w:r>
      <w:r>
        <w:rPr>
          <w:rFonts w:hint="cs"/>
          <w:rtl/>
        </w:rPr>
        <w:t xml:space="preserve"> אגב אורחא, הזכרנו את עניין המעשרות</w:t>
      </w:r>
      <w:r w:rsidR="00033A05">
        <w:rPr>
          <w:rFonts w:hint="cs"/>
          <w:rtl/>
        </w:rPr>
        <w:t xml:space="preserve">, </w:t>
      </w:r>
      <w:r>
        <w:rPr>
          <w:rFonts w:hint="cs"/>
          <w:rtl/>
        </w:rPr>
        <w:t>אכילת הפועל פטורה ממעשרות וגם זה חלק ממה ש"זיכתה לו התורה". ראה הלכות מעשר ברמב"ם פרק ה שמביא שם הלכות רבות שקשורות לנושא שלנו ולא נוכל להאריך בזה.</w:t>
      </w:r>
    </w:p>
  </w:footnote>
  <w:footnote w:id="12">
    <w:p w:rsidR="00FD7E84" w:rsidRDefault="00FD7E84" w:rsidP="00D70D10">
      <w:pPr>
        <w:pStyle w:val="a3"/>
        <w:rPr>
          <w:rFonts w:hint="cs"/>
        </w:rPr>
      </w:pPr>
      <w:r>
        <w:rPr>
          <w:rStyle w:val="a5"/>
        </w:rPr>
        <w:footnoteRef/>
      </w:r>
      <w:r>
        <w:rPr>
          <w:rtl/>
        </w:rPr>
        <w:t xml:space="preserve"> </w:t>
      </w:r>
      <w:r>
        <w:rPr>
          <w:rFonts w:hint="cs"/>
          <w:rtl/>
        </w:rPr>
        <w:t xml:space="preserve">נראה שר' יוסי לוקח את ההשוואה אדם </w:t>
      </w:r>
      <w:r>
        <w:rPr>
          <w:rtl/>
        </w:rPr>
        <w:t>–</w:t>
      </w:r>
      <w:r>
        <w:rPr>
          <w:rFonts w:hint="cs"/>
          <w:rtl/>
        </w:rPr>
        <w:t xml:space="preserve"> שור, עד לקיצוניות: "</w:t>
      </w:r>
      <w:r>
        <w:rPr>
          <w:rtl/>
        </w:rPr>
        <w:t>מאי טעמא דרבי יוסי ברבי יהודה? - כי שור, מה שור עד שיעשה בידיו וברגליו - אף פועל עד שיעשה בידיו וברגליו</w:t>
      </w:r>
      <w:r>
        <w:rPr>
          <w:rFonts w:hint="cs"/>
          <w:rtl/>
        </w:rPr>
        <w:t>" (</w:t>
      </w:r>
      <w:r>
        <w:rPr>
          <w:rtl/>
        </w:rPr>
        <w:t>בבא מציעא דף צא עמוד ב</w:t>
      </w:r>
      <w:r>
        <w:rPr>
          <w:rFonts w:hint="cs"/>
          <w:rtl/>
        </w:rPr>
        <w:t>). וכן הוא ב</w:t>
      </w:r>
      <w:r>
        <w:rPr>
          <w:rtl/>
        </w:rPr>
        <w:t>תוספתא בבא מציעא ח</w:t>
      </w:r>
      <w:r>
        <w:rPr>
          <w:rFonts w:hint="cs"/>
          <w:rtl/>
        </w:rPr>
        <w:t xml:space="preserve"> ז: "</w:t>
      </w:r>
      <w:r>
        <w:rPr>
          <w:rtl/>
        </w:rPr>
        <w:t>ר' יוסה בר' יהודה אומ</w:t>
      </w:r>
      <w:r>
        <w:rPr>
          <w:rFonts w:hint="cs"/>
          <w:rtl/>
        </w:rPr>
        <w:t xml:space="preserve">ר: </w:t>
      </w:r>
      <w:r>
        <w:rPr>
          <w:rtl/>
        </w:rPr>
        <w:t>מה שור מיוחד דבר שעושה בידיו וברגליו ובגופו</w:t>
      </w:r>
      <w:r>
        <w:rPr>
          <w:rFonts w:hint="cs"/>
          <w:rtl/>
        </w:rPr>
        <w:t>,</w:t>
      </w:r>
      <w:r>
        <w:rPr>
          <w:rtl/>
        </w:rPr>
        <w:t xml:space="preserve"> יצא עושה בידיו אבל לא ברגליו</w:t>
      </w:r>
      <w:r>
        <w:rPr>
          <w:rFonts w:hint="cs"/>
          <w:rtl/>
        </w:rPr>
        <w:t>,</w:t>
      </w:r>
      <w:r>
        <w:rPr>
          <w:rtl/>
        </w:rPr>
        <w:t xml:space="preserve"> ברגליו אבל לא בגופו</w:t>
      </w:r>
      <w:r>
        <w:rPr>
          <w:rFonts w:hint="cs"/>
          <w:rtl/>
        </w:rPr>
        <w:t>". אבל חכמים חולקים ומבדילים בין שור לאדם: "</w:t>
      </w:r>
      <w:r>
        <w:rPr>
          <w:rtl/>
        </w:rPr>
        <w:t>כי תב</w:t>
      </w:r>
      <w:r>
        <w:rPr>
          <w:rFonts w:hint="cs"/>
          <w:rtl/>
        </w:rPr>
        <w:t>ו</w:t>
      </w:r>
      <w:r>
        <w:rPr>
          <w:rtl/>
        </w:rPr>
        <w:t>א בכרם רעך - בכל מאי דעביד</w:t>
      </w:r>
      <w:r>
        <w:rPr>
          <w:rFonts w:hint="cs"/>
          <w:rtl/>
        </w:rPr>
        <w:t>" (גמרא בבא מציעא שם).</w:t>
      </w:r>
      <w:r w:rsidR="00033A05">
        <w:rPr>
          <w:rFonts w:hint="cs"/>
          <w:rtl/>
        </w:rPr>
        <w:t xml:space="preserve"> ושיטת ר' יוס</w:t>
      </w:r>
      <w:r w:rsidR="00D70D10">
        <w:rPr>
          <w:rFonts w:hint="cs"/>
          <w:rtl/>
        </w:rPr>
        <w:t>י</w:t>
      </w:r>
      <w:r w:rsidR="00033A05">
        <w:rPr>
          <w:rFonts w:hint="cs"/>
          <w:rtl/>
        </w:rPr>
        <w:t xml:space="preserve"> צריכה עיון.</w:t>
      </w:r>
      <w:r>
        <w:rPr>
          <w:rtl/>
        </w:rPr>
        <w:t xml:space="preserve"> </w:t>
      </w:r>
    </w:p>
  </w:footnote>
  <w:footnote w:id="13">
    <w:p w:rsidR="00FD7E84" w:rsidRDefault="00FD7E84" w:rsidP="00033A05">
      <w:pPr>
        <w:pStyle w:val="a3"/>
        <w:rPr>
          <w:rFonts w:hint="cs"/>
          <w:rtl/>
        </w:rPr>
      </w:pPr>
      <w:r>
        <w:rPr>
          <w:rStyle w:val="a5"/>
        </w:rPr>
        <w:footnoteRef/>
      </w:r>
      <w:r>
        <w:rPr>
          <w:rtl/>
        </w:rPr>
        <w:t xml:space="preserve"> </w:t>
      </w:r>
      <w:r>
        <w:rPr>
          <w:rFonts w:hint="cs"/>
          <w:rtl/>
        </w:rPr>
        <w:t xml:space="preserve">דין אכילת הפועל, הוא דווקא באותו המין ובשעת העיסוק בו. היינו בהקשר צמוד למלאכתו. ראה בעקבות משנה זו דיון בגמרא (בבא מציעא צא ע"ב) אם הפועל יכול לאכול מגפן מרוחקת מזו שהוא בוצר בה: "היה </w:t>
      </w:r>
      <w:r>
        <w:rPr>
          <w:rtl/>
        </w:rPr>
        <w:t>עושה בגפן זה, מהו שיאכל בגפן אחר?</w:t>
      </w:r>
      <w:r>
        <w:rPr>
          <w:rFonts w:hint="cs"/>
          <w:rtl/>
        </w:rPr>
        <w:t xml:space="preserve">" ראה הדקדוקים שם, כולל המקרה שאשתו ובניו עובדים גם שם והדין אם </w:t>
      </w:r>
      <w:r w:rsidR="00033A05">
        <w:rPr>
          <w:rFonts w:hint="cs"/>
          <w:rtl/>
        </w:rPr>
        <w:t>"</w:t>
      </w:r>
      <w:r>
        <w:rPr>
          <w:rFonts w:hint="cs"/>
          <w:rtl/>
        </w:rPr>
        <w:t>מ</w:t>
      </w:r>
      <w:r w:rsidR="00D70D10">
        <w:rPr>
          <w:rFonts w:hint="eastAsia"/>
          <w:rtl/>
        </w:rPr>
        <w:t>ְ</w:t>
      </w:r>
      <w:r>
        <w:rPr>
          <w:rFonts w:hint="cs"/>
          <w:rtl/>
        </w:rPr>
        <w:t>ה</w:t>
      </w:r>
      <w:r w:rsidR="00D70D10">
        <w:rPr>
          <w:rFonts w:hint="eastAsia"/>
          <w:rtl/>
        </w:rPr>
        <w:t>ַ</w:t>
      </w:r>
      <w:r>
        <w:rPr>
          <w:rFonts w:hint="cs"/>
          <w:rtl/>
        </w:rPr>
        <w:t>ל</w:t>
      </w:r>
      <w:r w:rsidR="00D70D10">
        <w:rPr>
          <w:rFonts w:hint="eastAsia"/>
          <w:rtl/>
        </w:rPr>
        <w:t>ֵ</w:t>
      </w:r>
      <w:r>
        <w:rPr>
          <w:rFonts w:hint="cs"/>
          <w:rtl/>
        </w:rPr>
        <w:t>ך כעושה מע</w:t>
      </w:r>
      <w:r w:rsidR="00033A05">
        <w:rPr>
          <w:rFonts w:hint="cs"/>
          <w:rtl/>
        </w:rPr>
        <w:t>ש</w:t>
      </w:r>
      <w:r>
        <w:rPr>
          <w:rFonts w:hint="cs"/>
          <w:rtl/>
        </w:rPr>
        <w:t xml:space="preserve">ה דמי" או לא. לסיכום, נראה שהפועל לא רשאי לעזוב את הגפן שבה הוא בוצר וללכת לאכול מגפן אחרת. ראה </w:t>
      </w:r>
      <w:r>
        <w:rPr>
          <w:rtl/>
        </w:rPr>
        <w:t>שולחן ערוך חושן משפט הלכות שכירות פועלים סימן שלז</w:t>
      </w:r>
      <w:r>
        <w:rPr>
          <w:rFonts w:hint="cs"/>
          <w:rtl/>
        </w:rPr>
        <w:t xml:space="preserve"> </w:t>
      </w:r>
      <w:r>
        <w:rPr>
          <w:rtl/>
        </w:rPr>
        <w:t>סעיף י</w:t>
      </w:r>
      <w:r>
        <w:rPr>
          <w:rFonts w:hint="cs"/>
          <w:rtl/>
        </w:rPr>
        <w:t>: "ה</w:t>
      </w:r>
      <w:r>
        <w:rPr>
          <w:rtl/>
        </w:rPr>
        <w:t>יה עושה בגפן זה לא יאכל בגפן אחר</w:t>
      </w:r>
      <w:r>
        <w:rPr>
          <w:rFonts w:hint="cs"/>
          <w:rtl/>
        </w:rPr>
        <w:t xml:space="preserve">. </w:t>
      </w:r>
      <w:r>
        <w:rPr>
          <w:rtl/>
        </w:rPr>
        <w:t>ואי אכל לא מפקינן מיניה ולא מנכינן מאגריה</w:t>
      </w:r>
      <w:r>
        <w:rPr>
          <w:rFonts w:hint="cs"/>
          <w:rtl/>
        </w:rPr>
        <w:t>"</w:t>
      </w:r>
      <w:r>
        <w:rPr>
          <w:rtl/>
        </w:rPr>
        <w:t xml:space="preserve">. </w:t>
      </w:r>
    </w:p>
  </w:footnote>
  <w:footnote w:id="14">
    <w:p w:rsidR="00FD7E84" w:rsidRDefault="00FD7E84" w:rsidP="007777B2">
      <w:pPr>
        <w:pStyle w:val="a3"/>
        <w:rPr>
          <w:rFonts w:hint="cs"/>
          <w:rtl/>
        </w:rPr>
      </w:pPr>
      <w:r>
        <w:rPr>
          <w:rStyle w:val="a5"/>
        </w:rPr>
        <w:footnoteRef/>
      </w:r>
      <w:r>
        <w:rPr>
          <w:rtl/>
        </w:rPr>
        <w:t xml:space="preserve"> </w:t>
      </w:r>
      <w:r>
        <w:rPr>
          <w:rFonts w:hint="cs"/>
          <w:rtl/>
        </w:rPr>
        <w:t>או</w:t>
      </w:r>
      <w:r>
        <w:rPr>
          <w:rFonts w:hint="eastAsia"/>
          <w:rtl/>
        </w:rPr>
        <w:t>ֹ</w:t>
      </w:r>
      <w:r>
        <w:rPr>
          <w:rFonts w:hint="cs"/>
          <w:rtl/>
        </w:rPr>
        <w:t>מ</w:t>
      </w:r>
      <w:r>
        <w:rPr>
          <w:rFonts w:hint="eastAsia"/>
          <w:rtl/>
        </w:rPr>
        <w:t>ֶ</w:t>
      </w:r>
      <w:r>
        <w:rPr>
          <w:rFonts w:hint="cs"/>
          <w:rtl/>
        </w:rPr>
        <w:t>ן (קהתי) או או</w:t>
      </w:r>
      <w:r>
        <w:rPr>
          <w:rFonts w:hint="eastAsia"/>
          <w:rtl/>
        </w:rPr>
        <w:t>ֹ</w:t>
      </w:r>
      <w:r>
        <w:rPr>
          <w:rFonts w:hint="cs"/>
          <w:rtl/>
        </w:rPr>
        <w:t>מ</w:t>
      </w:r>
      <w:r>
        <w:rPr>
          <w:rFonts w:hint="eastAsia"/>
          <w:rtl/>
        </w:rPr>
        <w:t>ָ</w:t>
      </w:r>
      <w:r>
        <w:rPr>
          <w:rFonts w:hint="cs"/>
          <w:rtl/>
        </w:rPr>
        <w:t>ן (אבן שושן) הוא שורה בכרם. ראה מסכת פאה פרק ד משנה ה: "נותנים פאה מכל אומן ואומן".</w:t>
      </w:r>
    </w:p>
  </w:footnote>
  <w:footnote w:id="15">
    <w:p w:rsidR="00FD7E84" w:rsidRDefault="00FD7E84" w:rsidP="00033A05">
      <w:pPr>
        <w:pStyle w:val="a3"/>
        <w:rPr>
          <w:rFonts w:hint="cs"/>
          <w:rtl/>
        </w:rPr>
      </w:pPr>
      <w:r>
        <w:rPr>
          <w:rStyle w:val="a5"/>
        </w:rPr>
        <w:footnoteRef/>
      </w:r>
      <w:r>
        <w:rPr>
          <w:rtl/>
        </w:rPr>
        <w:t xml:space="preserve"> </w:t>
      </w:r>
      <w:r>
        <w:rPr>
          <w:rFonts w:hint="cs"/>
          <w:rtl/>
        </w:rPr>
        <w:t xml:space="preserve">אם אכילת הפועל מוגבלת בצמוד למלאכתו, אז אולי בקטעים שהוא הולך ממקום למקום, לצורך העבודה, ועושה עבודות עקיפות, חשובות אבל לא ישירות בקציר או בבציר, לא יוכל לאכול? מחדשת המשנה שיש כאן בעצם אינטרס של בעל הבית (אולי גם של הפועל) </w:t>
      </w:r>
      <w:r w:rsidR="00033A05">
        <w:rPr>
          <w:rFonts w:hint="cs"/>
          <w:rtl/>
        </w:rPr>
        <w:t xml:space="preserve">לנצל </w:t>
      </w:r>
      <w:r>
        <w:rPr>
          <w:rFonts w:hint="cs"/>
          <w:rtl/>
        </w:rPr>
        <w:t xml:space="preserve">את זמן ההליכה </w:t>
      </w:r>
      <w:r w:rsidR="00033A05">
        <w:rPr>
          <w:rFonts w:hint="cs"/>
          <w:rtl/>
        </w:rPr>
        <w:t xml:space="preserve">או ההפסקה </w:t>
      </w:r>
      <w:r>
        <w:rPr>
          <w:rFonts w:hint="cs"/>
          <w:rtl/>
        </w:rPr>
        <w:t>בין מלאכה אחת לשנייה לאכילה, שלא ע"ח זמן העבודה עצמה</w:t>
      </w:r>
      <w:r w:rsidR="00033A05">
        <w:rPr>
          <w:rFonts w:hint="cs"/>
          <w:rtl/>
        </w:rPr>
        <w:t xml:space="preserve"> ולא במהלכה</w:t>
      </w:r>
      <w:r>
        <w:rPr>
          <w:rFonts w:hint="cs"/>
          <w:rtl/>
        </w:rPr>
        <w:t xml:space="preserve">. אבל בגמרא משמע שזה מדין מיוחד מכוח "השבת אבידה" ולא מדין התורה המיוחד </w:t>
      </w:r>
      <w:r w:rsidR="00033A05">
        <w:rPr>
          <w:rFonts w:hint="cs"/>
          <w:rtl/>
        </w:rPr>
        <w:t>ש</w:t>
      </w:r>
      <w:r>
        <w:rPr>
          <w:rFonts w:hint="cs"/>
          <w:rtl/>
        </w:rPr>
        <w:t xml:space="preserve">"זיכתה לו תורה". ראה שוב </w:t>
      </w:r>
      <w:r>
        <w:rPr>
          <w:rtl/>
        </w:rPr>
        <w:t>שולחן ערוך חושן משפט הלכות שכירות פועלים סימן שלז סעיף יא</w:t>
      </w:r>
      <w:r>
        <w:rPr>
          <w:rFonts w:hint="cs"/>
          <w:rtl/>
        </w:rPr>
        <w:t>: "א</w:t>
      </w:r>
      <w:r>
        <w:rPr>
          <w:rtl/>
        </w:rPr>
        <w:t>ין רשאי לאכול אלא בשעת עשיית מלאכה, ולא שישב ויאמר: מנעתי עצמי עד עתה ולא בטלתי לאכול ועל כן אשב עתה ואוכל. ומפני תקנת בעל הבית שלא יתבטל ממלאכתו, אמרו חכמים שאחר שגמר מלאכת שורה זו והולך להתחיל שורה אחרת</w:t>
      </w:r>
      <w:r w:rsidR="00033A05">
        <w:rPr>
          <w:rFonts w:hint="cs"/>
          <w:rtl/>
        </w:rPr>
        <w:t>,</w:t>
      </w:r>
      <w:r>
        <w:rPr>
          <w:rtl/>
        </w:rPr>
        <w:t xml:space="preserve"> יכול לאכול אף על פי שאינו בשעת מלאכה, שטוב הוא לבעל הבית כדי שלא יתבטל</w:t>
      </w:r>
      <w:r>
        <w:rPr>
          <w:rFonts w:hint="cs"/>
          <w:rtl/>
        </w:rPr>
        <w:t>"</w:t>
      </w:r>
      <w:r>
        <w:rPr>
          <w:rtl/>
        </w:rPr>
        <w:t>.</w:t>
      </w:r>
    </w:p>
  </w:footnote>
  <w:footnote w:id="16">
    <w:p w:rsidR="00FD7E84" w:rsidRDefault="00FD7E84" w:rsidP="004006A5">
      <w:pPr>
        <w:pStyle w:val="a3"/>
        <w:rPr>
          <w:rFonts w:hint="cs"/>
          <w:rtl/>
        </w:rPr>
      </w:pPr>
      <w:r>
        <w:rPr>
          <w:rStyle w:val="a5"/>
        </w:rPr>
        <w:footnoteRef/>
      </w:r>
      <w:r>
        <w:rPr>
          <w:rtl/>
        </w:rPr>
        <w:t xml:space="preserve"> </w:t>
      </w:r>
      <w:r>
        <w:rPr>
          <w:rFonts w:hint="cs"/>
          <w:rtl/>
          <w:lang w:val="he-IL"/>
        </w:rPr>
        <w:t>היינו שלא יגרום לכך שבעלי הבתים יימנעו מלשכור אותו. בגמרא, בבא מציעא דף צב ע"א, מתעורר סביב משנה זו דיון בנושא שהוא אולי היסודי והמהותי בדין אכילת פועל: "משלו הוא אוכל או משל שמים הוא אוכל?" היינו, האם אכילת הפועל היא זכות מיוחדת (סוציאלית) המוקנית לו מהתורה</w:t>
      </w:r>
      <w:r w:rsidR="00033A05">
        <w:rPr>
          <w:rFonts w:hint="cs"/>
          <w:rtl/>
          <w:lang w:val="he-IL"/>
        </w:rPr>
        <w:t>:</w:t>
      </w:r>
      <w:r>
        <w:rPr>
          <w:rFonts w:hint="cs"/>
          <w:rtl/>
          <w:lang w:val="he-IL"/>
        </w:rPr>
        <w:t xml:space="preserve"> "התורה זיכתה לו"; או שהוא זכות ממונית, כחלק משכרו ותנאי עבודתו. מתנא קמא במשנה: "</w:t>
      </w:r>
      <w:r w:rsidRPr="00422D49">
        <w:rPr>
          <w:rtl/>
          <w:lang w:val="he-IL"/>
        </w:rPr>
        <w:t>אוכל פועל קישות אפילו בדינר</w:t>
      </w:r>
      <w:r>
        <w:rPr>
          <w:rFonts w:hint="cs"/>
          <w:rtl/>
          <w:lang w:val="he-IL"/>
        </w:rPr>
        <w:t>,</w:t>
      </w:r>
      <w:r w:rsidRPr="00422D49">
        <w:rPr>
          <w:rtl/>
          <w:lang w:val="he-IL"/>
        </w:rPr>
        <w:t xml:space="preserve"> וכותבת אפילו בדינר</w:t>
      </w:r>
      <w:r>
        <w:rPr>
          <w:rFonts w:hint="cs"/>
          <w:rtl/>
          <w:lang w:val="he-IL"/>
        </w:rPr>
        <w:t xml:space="preserve">" מסיקה הגמרא שהוא בוודאי סובר "משל שמים", שהרי איזה מין חשבון כלכלי הוא שפועל יאכל יתר על שכרו! אבל ר' אלעזר וחכמים נחלקים בדיוק בנקודה הזו. ר' אלעזר חסמא סבור "משלו הוא אוכל" ולכן יש מגבלה באשר לערך אכילתו של הפועל, וחכמים סבורים "משל שמים הוא אוכל". אבל גם הם מסכימים שמלמדים אותו לא להיות רעבתן </w:t>
      </w:r>
      <w:r w:rsidR="00033A05">
        <w:rPr>
          <w:rFonts w:hint="cs"/>
          <w:rtl/>
          <w:lang w:val="he-IL"/>
        </w:rPr>
        <w:t xml:space="preserve">וחמדן </w:t>
      </w:r>
      <w:r>
        <w:rPr>
          <w:rFonts w:hint="cs"/>
          <w:rtl/>
          <w:lang w:val="he-IL"/>
        </w:rPr>
        <w:t xml:space="preserve">ולהתנהג בהיגיון. נראה שמסקנת הפוסקים היא "משל שמים" ואין לפועל שום זכות קניינית בפירות שניתנים לו לאכול אגב עבודתו ותו לא. ראה </w:t>
      </w:r>
      <w:r w:rsidRPr="00FF65BD">
        <w:rPr>
          <w:rtl/>
          <w:lang w:val="he-IL"/>
        </w:rPr>
        <w:t>רמב"ם הלכות שכירות פרק יב הלכה יג</w:t>
      </w:r>
      <w:r>
        <w:rPr>
          <w:rFonts w:hint="cs"/>
          <w:rtl/>
          <w:lang w:val="he-IL"/>
        </w:rPr>
        <w:t>: "</w:t>
      </w:r>
      <w:r w:rsidRPr="00FF65BD">
        <w:rPr>
          <w:rtl/>
          <w:lang w:val="he-IL"/>
        </w:rPr>
        <w:t>פועל שאמר תנו לאשתי ובני מה שאני אוכל</w:t>
      </w:r>
      <w:r>
        <w:rPr>
          <w:rFonts w:hint="cs"/>
          <w:rtl/>
          <w:lang w:val="he-IL"/>
        </w:rPr>
        <w:t>,</w:t>
      </w:r>
      <w:r w:rsidRPr="00FF65BD">
        <w:rPr>
          <w:rtl/>
          <w:lang w:val="he-IL"/>
        </w:rPr>
        <w:t xml:space="preserve"> או שאמר הריני נותן מעט מזה שנטלתי לאכול לאשתי ובני</w:t>
      </w:r>
      <w:r>
        <w:rPr>
          <w:rFonts w:hint="cs"/>
          <w:rtl/>
          <w:lang w:val="he-IL"/>
        </w:rPr>
        <w:t>,</w:t>
      </w:r>
      <w:r w:rsidRPr="00FF65BD">
        <w:rPr>
          <w:rtl/>
          <w:lang w:val="he-IL"/>
        </w:rPr>
        <w:t xml:space="preserve"> אין שומעין לו</w:t>
      </w:r>
      <w:r>
        <w:rPr>
          <w:rFonts w:hint="cs"/>
          <w:rtl/>
          <w:lang w:val="he-IL"/>
        </w:rPr>
        <w:t>.</w:t>
      </w:r>
      <w:r>
        <w:rPr>
          <w:rtl/>
          <w:lang w:val="he-IL"/>
        </w:rPr>
        <w:t xml:space="preserve"> שלא זכתה תורה אלא לפועל עצמו</w:t>
      </w:r>
      <w:r>
        <w:rPr>
          <w:rFonts w:hint="cs"/>
          <w:rtl/>
          <w:lang w:val="he-IL"/>
        </w:rPr>
        <w:t>".</w:t>
      </w:r>
      <w:r w:rsidR="004006A5">
        <w:rPr>
          <w:rFonts w:hint="cs"/>
          <w:rtl/>
        </w:rPr>
        <w:t xml:space="preserve"> בהקשר זה ראה דברי </w:t>
      </w:r>
      <w:r w:rsidR="004006A5">
        <w:rPr>
          <w:rtl/>
        </w:rPr>
        <w:t>תורה תמימה דברים כג</w:t>
      </w:r>
      <w:r w:rsidR="004006A5">
        <w:rPr>
          <w:rFonts w:hint="cs"/>
          <w:rtl/>
        </w:rPr>
        <w:t xml:space="preserve"> כה</w:t>
      </w:r>
      <w:r w:rsidR="004006A5">
        <w:rPr>
          <w:rtl/>
        </w:rPr>
        <w:t xml:space="preserve"> הערה קנ </w:t>
      </w:r>
      <w:r w:rsidR="004006A5">
        <w:rPr>
          <w:rFonts w:hint="cs"/>
          <w:rtl/>
        </w:rPr>
        <w:t xml:space="preserve">שמביא את דברי </w:t>
      </w:r>
      <w:r w:rsidR="004006A5">
        <w:rPr>
          <w:rtl/>
        </w:rPr>
        <w:t xml:space="preserve">הסמ"ע </w:t>
      </w:r>
      <w:r w:rsidR="004006A5">
        <w:rPr>
          <w:rFonts w:hint="cs"/>
          <w:rtl/>
        </w:rPr>
        <w:t>שזכות הפועל איננה תוספת שכר, אלא: "</w:t>
      </w:r>
      <w:r w:rsidR="004006A5">
        <w:rPr>
          <w:rtl/>
        </w:rPr>
        <w:t>מחמת חנינה וחסד כשאר מתנות עניים</w:t>
      </w:r>
      <w:r w:rsidR="004006A5">
        <w:rPr>
          <w:rFonts w:hint="cs"/>
          <w:rtl/>
        </w:rPr>
        <w:t>". אך הוא, בעל תורה תמימה, מציע שהיתר הפועל לאכול הוא לעצמו ולבעל הבית: "</w:t>
      </w:r>
      <w:r w:rsidR="004006A5">
        <w:rPr>
          <w:rtl/>
        </w:rPr>
        <w:t>שלא יהא הפועל מקמץ כסף משכירתו למחית בני ביתו והוא בעצמו ירעב ויתענה בשעת מלאכה, וע"י זה יחלש כ</w:t>
      </w:r>
      <w:r w:rsidR="00033A05">
        <w:rPr>
          <w:rFonts w:hint="cs"/>
          <w:rtl/>
        </w:rPr>
        <w:t>ו</w:t>
      </w:r>
      <w:r w:rsidR="004006A5">
        <w:rPr>
          <w:rtl/>
        </w:rPr>
        <w:t>חו ויתרשל במלאכתו</w:t>
      </w:r>
      <w:r w:rsidR="004006A5">
        <w:rPr>
          <w:rFonts w:hint="cs"/>
          <w:rtl/>
        </w:rPr>
        <w:t>". ראה דבריו הנמלצים שם.</w:t>
      </w:r>
    </w:p>
  </w:footnote>
  <w:footnote w:id="17">
    <w:p w:rsidR="00FD7E84" w:rsidRDefault="00FD7E84">
      <w:pPr>
        <w:pStyle w:val="a3"/>
        <w:rPr>
          <w:rFonts w:hint="cs"/>
        </w:rPr>
      </w:pPr>
      <w:r>
        <w:rPr>
          <w:rStyle w:val="a5"/>
        </w:rPr>
        <w:footnoteRef/>
      </w:r>
      <w:r>
        <w:rPr>
          <w:rtl/>
        </w:rPr>
        <w:t xml:space="preserve"> </w:t>
      </w:r>
      <w:r>
        <w:rPr>
          <w:rFonts w:hint="cs"/>
          <w:rtl/>
        </w:rPr>
        <w:t>אבל אינו רשאי לטבול את הענבים עצמם במלח, אבל רשאי להבהב את החיטה עצמה באו</w:t>
      </w:r>
      <w:r w:rsidR="00B6463B">
        <w:rPr>
          <w:rFonts w:hint="eastAsia"/>
          <w:rtl/>
        </w:rPr>
        <w:t>ּ</w:t>
      </w:r>
      <w:r>
        <w:rPr>
          <w:rFonts w:hint="cs"/>
          <w:rtl/>
        </w:rPr>
        <w:t>ר (בבא מציעא פט ע"א-ע"ב).</w:t>
      </w:r>
    </w:p>
  </w:footnote>
  <w:footnote w:id="18">
    <w:p w:rsidR="00FD7E84" w:rsidRDefault="00FD7E84" w:rsidP="00033A05">
      <w:pPr>
        <w:pStyle w:val="a3"/>
        <w:rPr>
          <w:rFonts w:hint="cs"/>
          <w:rtl/>
        </w:rPr>
      </w:pPr>
      <w:r>
        <w:rPr>
          <w:rStyle w:val="a5"/>
        </w:rPr>
        <w:footnoteRef/>
      </w:r>
      <w:r>
        <w:rPr>
          <w:rtl/>
        </w:rPr>
        <w:t xml:space="preserve"> </w:t>
      </w:r>
      <w:r>
        <w:rPr>
          <w:rFonts w:hint="cs"/>
          <w:rtl/>
          <w:lang w:val="he-IL"/>
        </w:rPr>
        <w:t xml:space="preserve">אחרי שהעמידו חז"ל את דין אכילה בכרם ובשדה בפועל ולא בכל אדם, וגם אחרי כל הדינים היפים והחברתיים, מסתבר שיש מתח בין הפועל ובעל הבית ואינטרסים מנוגדים. מה גם שלעתים קרובות הפועל הוא גם בעל בית ועובד במקצת הזמן בשדהו שלו ומקצת הזמן משכיר עצמו כפועל לעבודה בשדות אחרים וטוב לו לאכול אצל רעהו ולא שיאכלו אצלו. הערמה זו היא בדיני אדם וצריכה עיון. רוב ההערמות </w:t>
      </w:r>
      <w:r w:rsidR="00033A05">
        <w:rPr>
          <w:rFonts w:hint="cs"/>
          <w:rtl/>
          <w:lang w:val="he-IL"/>
        </w:rPr>
        <w:t xml:space="preserve">שחז"ל מזכירים </w:t>
      </w:r>
      <w:r>
        <w:rPr>
          <w:rFonts w:hint="cs"/>
          <w:rtl/>
          <w:lang w:val="he-IL"/>
        </w:rPr>
        <w:t>הם בדיני שמים, כגון: "מערים אדם על תבואתו" (ברכות לא א), "</w:t>
      </w:r>
      <w:r w:rsidRPr="00D6267C">
        <w:rPr>
          <w:rtl/>
          <w:lang w:val="he-IL"/>
        </w:rPr>
        <w:t>מערים אדם על המשמרת ביום טוב</w:t>
      </w:r>
      <w:r>
        <w:rPr>
          <w:rFonts w:hint="cs"/>
          <w:rtl/>
          <w:lang w:val="he-IL"/>
        </w:rPr>
        <w:t>" (</w:t>
      </w:r>
      <w:r w:rsidRPr="00D6267C">
        <w:rPr>
          <w:rtl/>
          <w:lang w:val="he-IL"/>
        </w:rPr>
        <w:t>שבת קלט ע</w:t>
      </w:r>
      <w:r>
        <w:rPr>
          <w:rFonts w:hint="cs"/>
          <w:rtl/>
          <w:lang w:val="he-IL"/>
        </w:rPr>
        <w:t>"ב), הערמה בדיני בישול מיום טוב לשבת (</w:t>
      </w:r>
      <w:r w:rsidRPr="001C7DC5">
        <w:rPr>
          <w:rtl/>
          <w:lang w:val="he-IL"/>
        </w:rPr>
        <w:t>ביצה יז ע</w:t>
      </w:r>
      <w:r>
        <w:rPr>
          <w:rFonts w:hint="cs"/>
          <w:rtl/>
          <w:lang w:val="he-IL"/>
        </w:rPr>
        <w:t>"ב), הערמה בהפקרת רכוש (ירושלמי פאה ו א) ועוד. וכאן, ובעוד מקומות מועטים, יש הערמה בין אדם חבירו</w:t>
      </w:r>
      <w:r w:rsidR="00033A05">
        <w:rPr>
          <w:rFonts w:hint="cs"/>
          <w:rtl/>
          <w:lang w:val="he-IL"/>
        </w:rPr>
        <w:t>!</w:t>
      </w:r>
      <w:r>
        <w:rPr>
          <w:rFonts w:hint="cs"/>
          <w:rtl/>
          <w:lang w:val="he-IL"/>
        </w:rPr>
        <w:t xml:space="preserve"> וכל היכול להחכימנו בדין מיוחד זה ודומיו, אנא יחיש שמועתו אלינו במהרה.</w:t>
      </w:r>
    </w:p>
  </w:footnote>
  <w:footnote w:id="19">
    <w:p w:rsidR="00FD7E84" w:rsidRDefault="00FD7E84" w:rsidP="00033A05">
      <w:pPr>
        <w:pStyle w:val="a3"/>
        <w:rPr>
          <w:rFonts w:hint="cs"/>
        </w:rPr>
      </w:pPr>
      <w:r>
        <w:rPr>
          <w:rStyle w:val="a5"/>
        </w:rPr>
        <w:footnoteRef/>
      </w:r>
      <w:r>
        <w:rPr>
          <w:rtl/>
        </w:rPr>
        <w:t xml:space="preserve"> </w:t>
      </w:r>
      <w:r>
        <w:rPr>
          <w:rFonts w:hint="cs"/>
          <w:rtl/>
        </w:rPr>
        <w:t xml:space="preserve">נפשו של הפועל מוקשת לנפשו של בעל הבית. למאי נפקא מיניה? אחד, לדיני מעשרות. כמו שבעל הבית פטור ממעשרות באוכלו בשדה, טרם שהביא את היבול לביתו ולחצרו, כך גם הפועל פטור. וגם אם נגיד "משלו הוא אוכל" ויש לפועל דין של לוקח שחייב במעשרות, הלוא על כך בדיוק </w:t>
      </w:r>
      <w:r w:rsidR="00033A05">
        <w:rPr>
          <w:rFonts w:hint="cs"/>
          <w:rtl/>
        </w:rPr>
        <w:t xml:space="preserve">בא </w:t>
      </w:r>
      <w:r>
        <w:rPr>
          <w:rFonts w:hint="cs"/>
          <w:rtl/>
        </w:rPr>
        <w:t xml:space="preserve">דין התורה שזיכתה לו לאכול "כנפשך". ראה גם להלן בגמרא (צב ע"א): "כנפשך </w:t>
      </w:r>
      <w:r>
        <w:rPr>
          <w:rtl/>
        </w:rPr>
        <w:t>–</w:t>
      </w:r>
      <w:r>
        <w:rPr>
          <w:rFonts w:hint="cs"/>
          <w:rtl/>
        </w:rPr>
        <w:t xml:space="preserve"> בדבר שמוסר נפשו עליו". אבל מהעבר השני, לא יהיה הפועל יתר על בעל הבית ואם זה האחרון שם מחסום לפיו ולא אוכל בשעת מלאכה ממש (להוציא אכילה בשעת הפסקות בעבודה), גם הפועל נחסם</w:t>
      </w:r>
      <w:r w:rsidR="00033A05">
        <w:rPr>
          <w:rFonts w:hint="cs"/>
          <w:rtl/>
        </w:rPr>
        <w:t>!</w:t>
      </w:r>
      <w:r>
        <w:rPr>
          <w:rFonts w:hint="cs"/>
          <w:rtl/>
        </w:rPr>
        <w:t xml:space="preserve"> מעין "ואהבת לרעך כמוך" ולא יותר מעצמך. ובכך גדול השור מהאדם. לגבי השור, לא יכול בעל הבית לומר אם אני אינני אוכל, גם השור לא יאכל. לגבי האדם כן. ודין זה שמותר לחסום את הפועל צריך עיון נוסף, בפרט אחרי כל מה שראינו שאכילתו היא זכות שניתנה לו מהתורה!</w:t>
      </w:r>
    </w:p>
  </w:footnote>
  <w:footnote w:id="20">
    <w:p w:rsidR="00FD7E84" w:rsidRDefault="00FD7E84" w:rsidP="009273E6">
      <w:pPr>
        <w:pStyle w:val="a3"/>
        <w:rPr>
          <w:rFonts w:hint="cs"/>
          <w:rtl/>
        </w:rPr>
      </w:pPr>
      <w:r>
        <w:rPr>
          <w:rStyle w:val="a5"/>
        </w:rPr>
        <w:footnoteRef/>
      </w:r>
      <w:r>
        <w:rPr>
          <w:rtl/>
        </w:rPr>
        <w:t xml:space="preserve"> </w:t>
      </w:r>
      <w:r>
        <w:rPr>
          <w:rFonts w:hint="cs"/>
          <w:rtl/>
        </w:rPr>
        <w:t>ובנוסחאות אחרות: קפדה, מלשון הקפדה. לא הקפידה התורה וכו'.</w:t>
      </w:r>
    </w:p>
  </w:footnote>
  <w:footnote w:id="21">
    <w:p w:rsidR="00FD7E84" w:rsidRDefault="00FD7E84" w:rsidP="00B6463B">
      <w:pPr>
        <w:pStyle w:val="a3"/>
        <w:rPr>
          <w:rFonts w:hint="cs"/>
          <w:rtl/>
        </w:rPr>
      </w:pPr>
      <w:r>
        <w:rPr>
          <w:rStyle w:val="a5"/>
        </w:rPr>
        <w:footnoteRef/>
      </w:r>
      <w:r>
        <w:rPr>
          <w:rtl/>
        </w:rPr>
        <w:t xml:space="preserve"> </w:t>
      </w:r>
      <w:r>
        <w:rPr>
          <w:rFonts w:hint="cs"/>
          <w:rtl/>
        </w:rPr>
        <w:t xml:space="preserve">כבר הבאנו מדרש זה בדברינו בשבח השלום: </w:t>
      </w:r>
      <w:hyperlink r:id="rId2" w:history="1">
        <w:r w:rsidRPr="00CD167C">
          <w:rPr>
            <w:rStyle w:val="Hyperlink"/>
            <w:rFonts w:hint="cs"/>
            <w:rtl/>
          </w:rPr>
          <w:t>וקראת לשלום</w:t>
        </w:r>
      </w:hyperlink>
      <w:r>
        <w:rPr>
          <w:rFonts w:hint="cs"/>
          <w:rtl/>
        </w:rPr>
        <w:t xml:space="preserve"> בפרשת שופטים ו</w:t>
      </w:r>
      <w:r w:rsidR="00CD167C">
        <w:rPr>
          <w:rFonts w:hint="cs"/>
          <w:rtl/>
        </w:rPr>
        <w:t>כ</w:t>
      </w:r>
      <w:r>
        <w:rPr>
          <w:rFonts w:hint="cs"/>
          <w:rtl/>
        </w:rPr>
        <w:t xml:space="preserve">ן בדברינו </w:t>
      </w:r>
      <w:hyperlink r:id="rId3" w:history="1">
        <w:r w:rsidRPr="00CD167C">
          <w:rPr>
            <w:rStyle w:val="Hyperlink"/>
            <w:rFonts w:hint="cs"/>
            <w:rtl/>
          </w:rPr>
          <w:t>כי יקרא קן ציפור לפניך</w:t>
        </w:r>
      </w:hyperlink>
      <w:r>
        <w:rPr>
          <w:rFonts w:hint="cs"/>
          <w:rtl/>
        </w:rPr>
        <w:t xml:space="preserve"> בפרשתנו והפעם עינינו נשואות לדין שלנו "המתחבא" ברשימת המצוות שאין האדם מצווה לרדוף אחריה</w:t>
      </w:r>
      <w:r w:rsidR="00033A05">
        <w:rPr>
          <w:rFonts w:hint="cs"/>
          <w:rtl/>
        </w:rPr>
        <w:t>ן</w:t>
      </w:r>
      <w:r>
        <w:rPr>
          <w:rFonts w:hint="cs"/>
          <w:rtl/>
        </w:rPr>
        <w:t xml:space="preserve">. אם הזדמנו לו </w:t>
      </w:r>
      <w:r>
        <w:rPr>
          <w:rtl/>
        </w:rPr>
        <w:t>–</w:t>
      </w:r>
      <w:r>
        <w:rPr>
          <w:rFonts w:hint="cs"/>
          <w:rtl/>
        </w:rPr>
        <w:t xml:space="preserve"> ודאי יקיימן ואם לאו, לאו. וכבר שם ציינו שגם בתוך קבוצת המצוות שנמצאות בחברת שילוח הקן, ואינן כמצוות השלום שיש לרדוף אחריה, ניתן למצוא הבדלים</w:t>
      </w:r>
      <w:r w:rsidR="00033A05">
        <w:rPr>
          <w:rFonts w:hint="cs"/>
          <w:rtl/>
        </w:rPr>
        <w:t xml:space="preserve"> משמעותיים</w:t>
      </w:r>
      <w:r>
        <w:rPr>
          <w:rFonts w:hint="cs"/>
          <w:rtl/>
        </w:rPr>
        <w:t xml:space="preserve">. במצוות סיוע לנעזב בדרך (שור אויבך וחמור שונאך) וכן מצוות מתנות עניים (כי תחבוט זיתך וכי תבצור כרמך) </w:t>
      </w:r>
      <w:r>
        <w:rPr>
          <w:rtl/>
        </w:rPr>
        <w:t>–</w:t>
      </w:r>
      <w:r>
        <w:rPr>
          <w:rFonts w:hint="cs"/>
          <w:rtl/>
        </w:rPr>
        <w:t xml:space="preserve"> יש מצווה אמתית מרגע שנולדה הסיטואציה</w:t>
      </w:r>
      <w:r w:rsidR="00033A05">
        <w:rPr>
          <w:rFonts w:hint="cs"/>
          <w:rtl/>
        </w:rPr>
        <w:t xml:space="preserve"> ויש לרדוף אחריה</w:t>
      </w:r>
      <w:r>
        <w:rPr>
          <w:rFonts w:hint="cs"/>
          <w:rtl/>
        </w:rPr>
        <w:t xml:space="preserve">. במצוות שילוח הקן, לעומת זאת, הצענו שלא רק שלא צריך לרוץ על פני הגבעות וההרים לחפש קיני ציפורים, אלא גם מי שהולך לתומו בדרך ומוצא קן ציפור ובו אם רובצת ומגוננת על האפרוחים או על הביצים, אם אין לו צורך מיוחד, אולי טוב מכל שפשוט יניח לאם לנפשה וימשיך </w:t>
      </w:r>
      <w:r w:rsidR="00033A05">
        <w:rPr>
          <w:rFonts w:hint="cs"/>
          <w:rtl/>
        </w:rPr>
        <w:t xml:space="preserve">את </w:t>
      </w:r>
      <w:r>
        <w:rPr>
          <w:rFonts w:hint="cs"/>
          <w:rtl/>
        </w:rPr>
        <w:t>טיולו בחיק הטבע. לאן שייכת אם כך מצוותנו: "כי תבוא בכרם רעך"? מה כאן "לא פקדה תורה לרדוף אחר המצווה"? אפשר ששוב יש כאן הד לפירוש הפסוק על פי פשוטו שמדובר בעובר אורח. הכי טוב, אומר המדרש, שלא תקטוף כלום ותאכל מהצידה שיש בצקלונך או שתהנה את פונדקי הדרכים ותקנה מהם אוכל</w:t>
      </w:r>
      <w:r w:rsidR="00D70D10">
        <w:rPr>
          <w:rFonts w:hint="cs"/>
          <w:rtl/>
        </w:rPr>
        <w:t xml:space="preserve"> (ראה </w:t>
      </w:r>
      <w:r w:rsidR="00D70D10" w:rsidRPr="00920A1E">
        <w:rPr>
          <w:rFonts w:hint="cs"/>
          <w:rtl/>
          <w:lang w:val="he-IL"/>
        </w:rPr>
        <w:t>במדבר רבה יט טו</w:t>
      </w:r>
      <w:r w:rsidR="00B6463B">
        <w:rPr>
          <w:rFonts w:hint="cs"/>
          <w:rtl/>
          <w:lang w:val="he-IL"/>
        </w:rPr>
        <w:t>: "</w:t>
      </w:r>
      <w:r w:rsidR="00D70D10" w:rsidRPr="00920A1E">
        <w:rPr>
          <w:rFonts w:hint="cs"/>
          <w:rtl/>
          <w:lang w:val="he-IL"/>
        </w:rPr>
        <w:t xml:space="preserve">לימדתך תורה דרך ארץ, שההולך לארץ שאינו שלו, ויש בידו צורכו, לא יאכל ממה שבידו, אלא </w:t>
      </w:r>
      <w:r w:rsidR="00B6463B">
        <w:rPr>
          <w:rFonts w:hint="cs"/>
          <w:rtl/>
          <w:lang w:val="he-IL"/>
        </w:rPr>
        <w:t xml:space="preserve">... </w:t>
      </w:r>
      <w:r w:rsidR="00D70D10" w:rsidRPr="00920A1E">
        <w:rPr>
          <w:rFonts w:hint="cs"/>
          <w:rtl/>
          <w:lang w:val="he-IL"/>
        </w:rPr>
        <w:t>יקנה מן החנווני בשביל לההנותו</w:t>
      </w:r>
      <w:r w:rsidR="00B6463B">
        <w:rPr>
          <w:rFonts w:hint="cs"/>
          <w:rtl/>
          <w:lang w:val="he-IL"/>
        </w:rPr>
        <w:t xml:space="preserve">", בדברינו </w:t>
      </w:r>
      <w:hyperlink r:id="rId4" w:history="1">
        <w:r w:rsidR="00B6463B" w:rsidRPr="00B6463B">
          <w:rPr>
            <w:rStyle w:val="Hyperlink"/>
            <w:rFonts w:hint="cs"/>
            <w:rtl/>
            <w:lang w:val="he-IL"/>
          </w:rPr>
          <w:t>לימדה תורה דרך ארץ</w:t>
        </w:r>
      </w:hyperlink>
      <w:r w:rsidR="00B6463B">
        <w:rPr>
          <w:rFonts w:hint="cs"/>
          <w:rtl/>
          <w:lang w:val="he-IL"/>
        </w:rPr>
        <w:t xml:space="preserve"> בפרשת חוקת)</w:t>
      </w:r>
      <w:r>
        <w:rPr>
          <w:rFonts w:hint="cs"/>
          <w:rtl/>
        </w:rPr>
        <w:t xml:space="preserve">. ואם כשיטת חז"ל שמדובר בפועל, אפשר שיש כאן מוסר לפועל לא "לנצל את זכויותיו" עד תום. גם אם התירה </w:t>
      </w:r>
      <w:r w:rsidR="00033A05">
        <w:rPr>
          <w:rFonts w:hint="cs"/>
          <w:rtl/>
        </w:rPr>
        <w:t xml:space="preserve">לך </w:t>
      </w:r>
      <w:r>
        <w:rPr>
          <w:rFonts w:hint="cs"/>
          <w:rtl/>
        </w:rPr>
        <w:t>התורה לאכול ענבים "כנפשך שבעך", ודאי שאין מצווה לאכול אכילה גסה, לחפש אחר הפרי היפה דווקא, להפגין רעבתנות ולהערים על בעל השדה בכל מיני הערמות ופטנטים, שיגרמו לו להערים עליך עד כדי חסימתך באופן גרוע מהשור. תבוא ברכה על מי שיסתפק במועט, יעבוד בחריצות</w:t>
      </w:r>
      <w:r w:rsidR="00033A05">
        <w:rPr>
          <w:rFonts w:hint="cs"/>
          <w:rtl/>
        </w:rPr>
        <w:t xml:space="preserve"> ובנאמנות,</w:t>
      </w:r>
      <w:r>
        <w:rPr>
          <w:rFonts w:hint="cs"/>
          <w:rtl/>
        </w:rPr>
        <w:t xml:space="preserve"> </w:t>
      </w:r>
      <w:r w:rsidR="00033A05">
        <w:rPr>
          <w:rFonts w:hint="cs"/>
          <w:rtl/>
        </w:rPr>
        <w:t xml:space="preserve">יקדש שם שמים, </w:t>
      </w:r>
      <w:r>
        <w:rPr>
          <w:rFonts w:hint="cs"/>
          <w:rtl/>
        </w:rPr>
        <w:t xml:space="preserve">ויגרום לכך שירצו </w:t>
      </w:r>
      <w:r w:rsidR="00033A05">
        <w:rPr>
          <w:rFonts w:hint="cs"/>
          <w:rtl/>
        </w:rPr>
        <w:t>גם בעתיד</w:t>
      </w:r>
      <w:r w:rsidR="00D70D10">
        <w:rPr>
          <w:rFonts w:hint="cs"/>
          <w:rtl/>
        </w:rPr>
        <w:t xml:space="preserve"> את </w:t>
      </w:r>
      <w:r>
        <w:rPr>
          <w:rFonts w:hint="cs"/>
          <w:rtl/>
        </w:rPr>
        <w:t>שירותיו.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84" w:rsidRDefault="00FD7E84" w:rsidP="00F20B92">
    <w:pPr>
      <w:pStyle w:val="1"/>
      <w:tabs>
        <w:tab w:val="clear" w:pos="9469"/>
        <w:tab w:val="right" w:pos="9299"/>
        <w:tab w:val="right" w:pos="9639"/>
      </w:tabs>
      <w:rPr>
        <w:rFonts w:hint="cs"/>
        <w:rtl/>
      </w:rPr>
    </w:pPr>
    <w:r>
      <w:rPr>
        <w:rtl/>
      </w:rPr>
      <w:t xml:space="preserve">פרשת </w:t>
    </w:r>
    <w:fldSimple w:instr=" SUBJECT  \* MERGEFORMAT ">
      <w:r w:rsidR="003813B4">
        <w:rPr>
          <w:rtl/>
        </w:rPr>
        <w:t>כי תצא, חמישית לנחמה</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84" w:rsidRDefault="00FD7E8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813B4">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B294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2C7"/>
    <w:rsid w:val="000143D1"/>
    <w:rsid w:val="000143FF"/>
    <w:rsid w:val="00015FAE"/>
    <w:rsid w:val="00033A05"/>
    <w:rsid w:val="000346DD"/>
    <w:rsid w:val="00046A6F"/>
    <w:rsid w:val="000478C1"/>
    <w:rsid w:val="00073666"/>
    <w:rsid w:val="000817E7"/>
    <w:rsid w:val="00087E38"/>
    <w:rsid w:val="00093FB4"/>
    <w:rsid w:val="00094544"/>
    <w:rsid w:val="00096E49"/>
    <w:rsid w:val="000A0C1A"/>
    <w:rsid w:val="000D1375"/>
    <w:rsid w:val="000D2D01"/>
    <w:rsid w:val="000F61AD"/>
    <w:rsid w:val="001044D7"/>
    <w:rsid w:val="00132296"/>
    <w:rsid w:val="00136C41"/>
    <w:rsid w:val="00145129"/>
    <w:rsid w:val="00155BDC"/>
    <w:rsid w:val="00162A3C"/>
    <w:rsid w:val="00163581"/>
    <w:rsid w:val="00170CAB"/>
    <w:rsid w:val="001771A7"/>
    <w:rsid w:val="001865C3"/>
    <w:rsid w:val="00195D46"/>
    <w:rsid w:val="0019661F"/>
    <w:rsid w:val="001A5180"/>
    <w:rsid w:val="001C7DC5"/>
    <w:rsid w:val="001D6355"/>
    <w:rsid w:val="001E042A"/>
    <w:rsid w:val="001E240E"/>
    <w:rsid w:val="001E54C9"/>
    <w:rsid w:val="001F6070"/>
    <w:rsid w:val="002017C2"/>
    <w:rsid w:val="00206663"/>
    <w:rsid w:val="002068B8"/>
    <w:rsid w:val="00210538"/>
    <w:rsid w:val="00213373"/>
    <w:rsid w:val="00213743"/>
    <w:rsid w:val="00216350"/>
    <w:rsid w:val="00226881"/>
    <w:rsid w:val="00234D86"/>
    <w:rsid w:val="00237C3B"/>
    <w:rsid w:val="00240BB3"/>
    <w:rsid w:val="0025487C"/>
    <w:rsid w:val="0025652C"/>
    <w:rsid w:val="00256D60"/>
    <w:rsid w:val="0026025C"/>
    <w:rsid w:val="00294EEF"/>
    <w:rsid w:val="00295B5D"/>
    <w:rsid w:val="002A0CEF"/>
    <w:rsid w:val="002A3A06"/>
    <w:rsid w:val="002B6D71"/>
    <w:rsid w:val="002C29F0"/>
    <w:rsid w:val="002C3AEF"/>
    <w:rsid w:val="002C57EF"/>
    <w:rsid w:val="002D18B9"/>
    <w:rsid w:val="002D3E4A"/>
    <w:rsid w:val="002D4B07"/>
    <w:rsid w:val="002F3783"/>
    <w:rsid w:val="00302209"/>
    <w:rsid w:val="00320318"/>
    <w:rsid w:val="00325668"/>
    <w:rsid w:val="003272E4"/>
    <w:rsid w:val="00330E9F"/>
    <w:rsid w:val="0033216C"/>
    <w:rsid w:val="00332C31"/>
    <w:rsid w:val="00333B6C"/>
    <w:rsid w:val="00337F38"/>
    <w:rsid w:val="00340894"/>
    <w:rsid w:val="00340AA2"/>
    <w:rsid w:val="00350EE9"/>
    <w:rsid w:val="003605E7"/>
    <w:rsid w:val="00366DE6"/>
    <w:rsid w:val="003807BC"/>
    <w:rsid w:val="003813B4"/>
    <w:rsid w:val="00394985"/>
    <w:rsid w:val="003A0A41"/>
    <w:rsid w:val="003A3655"/>
    <w:rsid w:val="003B656D"/>
    <w:rsid w:val="003C0080"/>
    <w:rsid w:val="003C3880"/>
    <w:rsid w:val="003C5441"/>
    <w:rsid w:val="003E00F1"/>
    <w:rsid w:val="003E30F4"/>
    <w:rsid w:val="003F2E39"/>
    <w:rsid w:val="004006A5"/>
    <w:rsid w:val="00422BFC"/>
    <w:rsid w:val="00422D49"/>
    <w:rsid w:val="00435376"/>
    <w:rsid w:val="00443715"/>
    <w:rsid w:val="004457BE"/>
    <w:rsid w:val="00466077"/>
    <w:rsid w:val="004719B7"/>
    <w:rsid w:val="00476DA0"/>
    <w:rsid w:val="00493816"/>
    <w:rsid w:val="004B10B5"/>
    <w:rsid w:val="004B486F"/>
    <w:rsid w:val="004C1309"/>
    <w:rsid w:val="004C4BFF"/>
    <w:rsid w:val="004D61E2"/>
    <w:rsid w:val="004E42BE"/>
    <w:rsid w:val="00510A37"/>
    <w:rsid w:val="005136D6"/>
    <w:rsid w:val="005162F9"/>
    <w:rsid w:val="0055019E"/>
    <w:rsid w:val="00553DD2"/>
    <w:rsid w:val="00563E0A"/>
    <w:rsid w:val="005715B8"/>
    <w:rsid w:val="00581555"/>
    <w:rsid w:val="00584C60"/>
    <w:rsid w:val="00586839"/>
    <w:rsid w:val="005A363D"/>
    <w:rsid w:val="005A4EB8"/>
    <w:rsid w:val="005B0AA9"/>
    <w:rsid w:val="005B37F1"/>
    <w:rsid w:val="005B537E"/>
    <w:rsid w:val="005C34C6"/>
    <w:rsid w:val="005C55D4"/>
    <w:rsid w:val="005C598D"/>
    <w:rsid w:val="005D1223"/>
    <w:rsid w:val="005D60E4"/>
    <w:rsid w:val="005F2E01"/>
    <w:rsid w:val="00610635"/>
    <w:rsid w:val="00612A08"/>
    <w:rsid w:val="0062081A"/>
    <w:rsid w:val="00622D5E"/>
    <w:rsid w:val="006318CB"/>
    <w:rsid w:val="00632872"/>
    <w:rsid w:val="00633572"/>
    <w:rsid w:val="00640BD1"/>
    <w:rsid w:val="0064325E"/>
    <w:rsid w:val="0064669D"/>
    <w:rsid w:val="00656B67"/>
    <w:rsid w:val="00661193"/>
    <w:rsid w:val="006612F3"/>
    <w:rsid w:val="00671EE2"/>
    <w:rsid w:val="00677436"/>
    <w:rsid w:val="006800FB"/>
    <w:rsid w:val="00690641"/>
    <w:rsid w:val="00690D9A"/>
    <w:rsid w:val="00696291"/>
    <w:rsid w:val="006A3CDB"/>
    <w:rsid w:val="006B2197"/>
    <w:rsid w:val="006C2E7D"/>
    <w:rsid w:val="006C4F9F"/>
    <w:rsid w:val="006D002C"/>
    <w:rsid w:val="006D2DEB"/>
    <w:rsid w:val="006E4C6A"/>
    <w:rsid w:val="006E5D84"/>
    <w:rsid w:val="00715024"/>
    <w:rsid w:val="007405BC"/>
    <w:rsid w:val="007442B6"/>
    <w:rsid w:val="00750B63"/>
    <w:rsid w:val="007526F5"/>
    <w:rsid w:val="007777B2"/>
    <w:rsid w:val="007802D0"/>
    <w:rsid w:val="00791A58"/>
    <w:rsid w:val="007A18DC"/>
    <w:rsid w:val="007A46FF"/>
    <w:rsid w:val="007A4F7A"/>
    <w:rsid w:val="007B057E"/>
    <w:rsid w:val="007C1810"/>
    <w:rsid w:val="007D03B2"/>
    <w:rsid w:val="007D0E9A"/>
    <w:rsid w:val="007D4CF4"/>
    <w:rsid w:val="007E10E4"/>
    <w:rsid w:val="007F6E28"/>
    <w:rsid w:val="0080362E"/>
    <w:rsid w:val="00810CC1"/>
    <w:rsid w:val="0082547E"/>
    <w:rsid w:val="00827905"/>
    <w:rsid w:val="00833F92"/>
    <w:rsid w:val="00836BD8"/>
    <w:rsid w:val="00845C62"/>
    <w:rsid w:val="0085191D"/>
    <w:rsid w:val="0085264D"/>
    <w:rsid w:val="008551A8"/>
    <w:rsid w:val="00881446"/>
    <w:rsid w:val="008842C1"/>
    <w:rsid w:val="00896EED"/>
    <w:rsid w:val="008A4A07"/>
    <w:rsid w:val="008D3208"/>
    <w:rsid w:val="008D50BB"/>
    <w:rsid w:val="008F4347"/>
    <w:rsid w:val="0091707F"/>
    <w:rsid w:val="00926B96"/>
    <w:rsid w:val="009273E6"/>
    <w:rsid w:val="00931FB0"/>
    <w:rsid w:val="00936C33"/>
    <w:rsid w:val="00941938"/>
    <w:rsid w:val="00951829"/>
    <w:rsid w:val="00986AC5"/>
    <w:rsid w:val="00992159"/>
    <w:rsid w:val="009A034C"/>
    <w:rsid w:val="009A340B"/>
    <w:rsid w:val="009B3840"/>
    <w:rsid w:val="009C1E58"/>
    <w:rsid w:val="009D15B1"/>
    <w:rsid w:val="009F56A8"/>
    <w:rsid w:val="00A1041B"/>
    <w:rsid w:val="00A1301D"/>
    <w:rsid w:val="00A166BB"/>
    <w:rsid w:val="00A16A4D"/>
    <w:rsid w:val="00A228D2"/>
    <w:rsid w:val="00A239B6"/>
    <w:rsid w:val="00A23C11"/>
    <w:rsid w:val="00A244C2"/>
    <w:rsid w:val="00A32E18"/>
    <w:rsid w:val="00A446E8"/>
    <w:rsid w:val="00A560A9"/>
    <w:rsid w:val="00A632E6"/>
    <w:rsid w:val="00A74A09"/>
    <w:rsid w:val="00A7755A"/>
    <w:rsid w:val="00A77F55"/>
    <w:rsid w:val="00A865A5"/>
    <w:rsid w:val="00A96322"/>
    <w:rsid w:val="00AA0538"/>
    <w:rsid w:val="00AA3BB6"/>
    <w:rsid w:val="00AA69F7"/>
    <w:rsid w:val="00AB5703"/>
    <w:rsid w:val="00AD4DEF"/>
    <w:rsid w:val="00AE374E"/>
    <w:rsid w:val="00AF071E"/>
    <w:rsid w:val="00AF687B"/>
    <w:rsid w:val="00B04480"/>
    <w:rsid w:val="00B33AC3"/>
    <w:rsid w:val="00B35C4F"/>
    <w:rsid w:val="00B45C86"/>
    <w:rsid w:val="00B45CD0"/>
    <w:rsid w:val="00B509C3"/>
    <w:rsid w:val="00B52FCF"/>
    <w:rsid w:val="00B5336E"/>
    <w:rsid w:val="00B645B6"/>
    <w:rsid w:val="00B6463B"/>
    <w:rsid w:val="00B80E92"/>
    <w:rsid w:val="00B86480"/>
    <w:rsid w:val="00B90271"/>
    <w:rsid w:val="00B92A7A"/>
    <w:rsid w:val="00B97791"/>
    <w:rsid w:val="00B97882"/>
    <w:rsid w:val="00BB32FE"/>
    <w:rsid w:val="00BC00EF"/>
    <w:rsid w:val="00BE5441"/>
    <w:rsid w:val="00BF1BE2"/>
    <w:rsid w:val="00BF4D08"/>
    <w:rsid w:val="00BF6D68"/>
    <w:rsid w:val="00C000DB"/>
    <w:rsid w:val="00C00A22"/>
    <w:rsid w:val="00C05E86"/>
    <w:rsid w:val="00C06A6D"/>
    <w:rsid w:val="00C10C1F"/>
    <w:rsid w:val="00C12AF3"/>
    <w:rsid w:val="00C3031C"/>
    <w:rsid w:val="00C358B3"/>
    <w:rsid w:val="00C56C39"/>
    <w:rsid w:val="00C70BD8"/>
    <w:rsid w:val="00C77044"/>
    <w:rsid w:val="00C84E71"/>
    <w:rsid w:val="00CA19DE"/>
    <w:rsid w:val="00CB366A"/>
    <w:rsid w:val="00CB549E"/>
    <w:rsid w:val="00CC19A4"/>
    <w:rsid w:val="00CC7195"/>
    <w:rsid w:val="00CD0D26"/>
    <w:rsid w:val="00CD133F"/>
    <w:rsid w:val="00CD167C"/>
    <w:rsid w:val="00CD2573"/>
    <w:rsid w:val="00CD7694"/>
    <w:rsid w:val="00CE0F6F"/>
    <w:rsid w:val="00CF06BA"/>
    <w:rsid w:val="00CF6DB2"/>
    <w:rsid w:val="00D03019"/>
    <w:rsid w:val="00D042F1"/>
    <w:rsid w:val="00D1185F"/>
    <w:rsid w:val="00D145ED"/>
    <w:rsid w:val="00D171F8"/>
    <w:rsid w:val="00D33686"/>
    <w:rsid w:val="00D353C0"/>
    <w:rsid w:val="00D4209A"/>
    <w:rsid w:val="00D6118C"/>
    <w:rsid w:val="00D6267C"/>
    <w:rsid w:val="00D632AC"/>
    <w:rsid w:val="00D639E1"/>
    <w:rsid w:val="00D70D10"/>
    <w:rsid w:val="00D82988"/>
    <w:rsid w:val="00D86B49"/>
    <w:rsid w:val="00DF2612"/>
    <w:rsid w:val="00DF5F77"/>
    <w:rsid w:val="00DF66CF"/>
    <w:rsid w:val="00E06B77"/>
    <w:rsid w:val="00E300BF"/>
    <w:rsid w:val="00E3155A"/>
    <w:rsid w:val="00E3248E"/>
    <w:rsid w:val="00E34AC8"/>
    <w:rsid w:val="00E363C6"/>
    <w:rsid w:val="00E37402"/>
    <w:rsid w:val="00E53CF6"/>
    <w:rsid w:val="00E66957"/>
    <w:rsid w:val="00E7187F"/>
    <w:rsid w:val="00E72577"/>
    <w:rsid w:val="00E846A2"/>
    <w:rsid w:val="00E87C28"/>
    <w:rsid w:val="00E91FF1"/>
    <w:rsid w:val="00EA0D15"/>
    <w:rsid w:val="00EC3938"/>
    <w:rsid w:val="00EC7F89"/>
    <w:rsid w:val="00EE030D"/>
    <w:rsid w:val="00EE148F"/>
    <w:rsid w:val="00EE7E86"/>
    <w:rsid w:val="00EF324E"/>
    <w:rsid w:val="00F1085C"/>
    <w:rsid w:val="00F129C5"/>
    <w:rsid w:val="00F20B92"/>
    <w:rsid w:val="00F20CB5"/>
    <w:rsid w:val="00F33BDD"/>
    <w:rsid w:val="00F40EA3"/>
    <w:rsid w:val="00F41C5E"/>
    <w:rsid w:val="00F4438E"/>
    <w:rsid w:val="00F670AE"/>
    <w:rsid w:val="00F7151B"/>
    <w:rsid w:val="00F716AB"/>
    <w:rsid w:val="00F83016"/>
    <w:rsid w:val="00F85A93"/>
    <w:rsid w:val="00F8659E"/>
    <w:rsid w:val="00FB132E"/>
    <w:rsid w:val="00FB1E58"/>
    <w:rsid w:val="00FB294B"/>
    <w:rsid w:val="00FB48AC"/>
    <w:rsid w:val="00FC0B41"/>
    <w:rsid w:val="00FC4DCB"/>
    <w:rsid w:val="00FC507A"/>
    <w:rsid w:val="00FD40B3"/>
    <w:rsid w:val="00FD6958"/>
    <w:rsid w:val="00FD6E12"/>
    <w:rsid w:val="00FD7E84"/>
    <w:rsid w:val="00FE3DE3"/>
    <w:rsid w:val="00FF6421"/>
    <w:rsid w:val="00FF65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BA9DAC0-A5AB-4D59-8EBE-51999D31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294B"/>
    <w:pPr>
      <w:bidi/>
    </w:pPr>
    <w:rPr>
      <w:rFonts w:cs="Narkisim"/>
      <w:sz w:val="22"/>
      <w:szCs w:val="22"/>
      <w:lang w:eastAsia="he-IL"/>
    </w:rPr>
  </w:style>
  <w:style w:type="paragraph" w:styleId="1">
    <w:name w:val="heading 1"/>
    <w:basedOn w:val="a"/>
    <w:next w:val="a"/>
    <w:link w:val="10"/>
    <w:qFormat/>
    <w:rsid w:val="00FB294B"/>
    <w:pPr>
      <w:keepNext/>
      <w:tabs>
        <w:tab w:val="right" w:pos="9469"/>
      </w:tabs>
      <w:jc w:val="both"/>
      <w:outlineLvl w:val="0"/>
    </w:pPr>
    <w:rPr>
      <w:rFonts w:cs="David"/>
      <w:b/>
      <w:bCs/>
      <w:szCs w:val="28"/>
    </w:rPr>
  </w:style>
  <w:style w:type="character" w:default="1" w:styleId="a0">
    <w:name w:val="Default Paragraph Font"/>
    <w:uiPriority w:val="1"/>
    <w:semiHidden/>
    <w:unhideWhenUsed/>
    <w:rsid w:val="00FB294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B294B"/>
  </w:style>
  <w:style w:type="paragraph" w:styleId="a3">
    <w:name w:val="footnote text"/>
    <w:basedOn w:val="a"/>
    <w:link w:val="a4"/>
    <w:rsid w:val="00FB294B"/>
    <w:pPr>
      <w:ind w:left="170" w:hanging="170"/>
      <w:jc w:val="both"/>
    </w:pPr>
    <w:rPr>
      <w:sz w:val="20"/>
      <w:szCs w:val="20"/>
    </w:rPr>
  </w:style>
  <w:style w:type="character" w:styleId="a5">
    <w:name w:val="footnote reference"/>
    <w:semiHidden/>
    <w:rsid w:val="00FB294B"/>
    <w:rPr>
      <w:vertAlign w:val="superscript"/>
    </w:rPr>
  </w:style>
  <w:style w:type="paragraph" w:styleId="a6">
    <w:name w:val="header"/>
    <w:basedOn w:val="a"/>
    <w:link w:val="a7"/>
    <w:rsid w:val="00FB294B"/>
    <w:pPr>
      <w:tabs>
        <w:tab w:val="center" w:pos="4153"/>
        <w:tab w:val="right" w:pos="8306"/>
      </w:tabs>
    </w:pPr>
  </w:style>
  <w:style w:type="paragraph" w:styleId="a8">
    <w:name w:val="footer"/>
    <w:basedOn w:val="a"/>
    <w:link w:val="a9"/>
    <w:rsid w:val="00FB294B"/>
    <w:pPr>
      <w:tabs>
        <w:tab w:val="center" w:pos="4153"/>
        <w:tab w:val="right" w:pos="8306"/>
      </w:tabs>
    </w:pPr>
  </w:style>
  <w:style w:type="paragraph" w:customStyle="1" w:styleId="aa">
    <w:name w:val="כותרת"/>
    <w:basedOn w:val="a"/>
    <w:rsid w:val="00FB294B"/>
    <w:pPr>
      <w:spacing w:before="240" w:line="320" w:lineRule="atLeast"/>
      <w:jc w:val="center"/>
    </w:pPr>
    <w:rPr>
      <w:rFonts w:cs="David"/>
      <w:b/>
      <w:bCs/>
      <w:spacing w:val="20"/>
      <w:szCs w:val="32"/>
    </w:rPr>
  </w:style>
  <w:style w:type="paragraph" w:customStyle="1" w:styleId="ab">
    <w:name w:val="כותרת קטע"/>
    <w:basedOn w:val="a"/>
    <w:rsid w:val="00FB294B"/>
    <w:pPr>
      <w:spacing w:before="240" w:line="300" w:lineRule="atLeast"/>
    </w:pPr>
    <w:rPr>
      <w:rFonts w:cs="Arial"/>
      <w:b/>
      <w:bCs/>
      <w:szCs w:val="24"/>
    </w:rPr>
  </w:style>
  <w:style w:type="paragraph" w:customStyle="1" w:styleId="ac">
    <w:name w:val="מקור"/>
    <w:basedOn w:val="a"/>
    <w:rsid w:val="00FB294B"/>
    <w:pPr>
      <w:spacing w:line="320" w:lineRule="atLeast"/>
      <w:jc w:val="both"/>
    </w:pPr>
    <w:rPr>
      <w:rFonts w:cs="David"/>
      <w:szCs w:val="24"/>
    </w:rPr>
  </w:style>
  <w:style w:type="paragraph" w:customStyle="1" w:styleId="ad">
    <w:name w:val="מחלקי המים"/>
    <w:basedOn w:val="a"/>
    <w:rsid w:val="00FB294B"/>
    <w:pPr>
      <w:spacing w:line="320" w:lineRule="atLeast"/>
      <w:jc w:val="both"/>
    </w:pPr>
    <w:rPr>
      <w:b/>
      <w:bCs/>
      <w:szCs w:val="24"/>
    </w:rPr>
  </w:style>
  <w:style w:type="character" w:styleId="Hyperlink">
    <w:name w:val="Hyperlink"/>
    <w:rsid w:val="00FB294B"/>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FB294B"/>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FB294B"/>
    <w:rPr>
      <w:rFonts w:cs="Narkisim"/>
      <w:lang w:eastAsia="he-IL"/>
    </w:rPr>
  </w:style>
  <w:style w:type="character" w:customStyle="1" w:styleId="10">
    <w:name w:val="כותרת 1 תו"/>
    <w:link w:val="1"/>
    <w:rsid w:val="00FB294B"/>
    <w:rPr>
      <w:rFonts w:cs="David"/>
      <w:b/>
      <w:bCs/>
      <w:sz w:val="22"/>
      <w:szCs w:val="28"/>
      <w:lang w:eastAsia="he-IL"/>
    </w:rPr>
  </w:style>
  <w:style w:type="character" w:customStyle="1" w:styleId="a7">
    <w:name w:val="כותרת עליונה תו"/>
    <w:link w:val="a6"/>
    <w:rsid w:val="00FB294B"/>
    <w:rPr>
      <w:rFonts w:cs="Narkisim"/>
      <w:sz w:val="22"/>
      <w:szCs w:val="22"/>
      <w:lang w:eastAsia="he-IL"/>
    </w:rPr>
  </w:style>
  <w:style w:type="character" w:customStyle="1" w:styleId="a9">
    <w:name w:val="כותרת תחתונה תו"/>
    <w:link w:val="a8"/>
    <w:rsid w:val="00FB294B"/>
    <w:rPr>
      <w:rFonts w:cs="Narkisim"/>
      <w:sz w:val="22"/>
      <w:szCs w:val="22"/>
      <w:lang w:eastAsia="he-IL"/>
    </w:rPr>
  </w:style>
  <w:style w:type="character" w:customStyle="1" w:styleId="af">
    <w:name w:val="טקסט בלונים תו"/>
    <w:link w:val="ae"/>
    <w:uiPriority w:val="99"/>
    <w:semiHidden/>
    <w:rsid w:val="00FB294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9-%d7%99%d7%a7%d7%a8%d7%90-%d7%a7%d7%9f-%d7%a6%d7%99%d7%a4%d7%95%d7%a8-%d7%9c%d7%a4%d7%a0%d7%99%d7%9a1" TargetMode="External"/><Relationship Id="rId2" Type="http://schemas.openxmlformats.org/officeDocument/2006/relationships/hyperlink" Target="http://www.mayim.org.il/?parasha=%D7%95%D7%A7%D7%A8%D7%90%D7%AA-%D7%9C%D7%A9%D7%9C%D7%95%D7%9D" TargetMode="External"/><Relationship Id="rId1" Type="http://schemas.openxmlformats.org/officeDocument/2006/relationships/hyperlink" Target="https://www.mayim.org.il/?parasha=%D7%90%D7%93%D7%9D-%D7%95%D7%91%D7%94%D7%9E%D7%94-%D7%AA%D7%95%D7%A9%D7%99%D7%A2-%D7%94" TargetMode="External"/><Relationship Id="rId4" Type="http://schemas.openxmlformats.org/officeDocument/2006/relationships/hyperlink" Target="https://www.mayim.org.il/?parasha=%D7%9C%D7%99%D7%9E%D7%93%D7%94-%D7%AA%D7%95%D7%A8%D7%94-%D7%93%D7%A8%D7%9A-%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CA8A-7426-4151-B8BA-E73D7346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703</Words>
  <Characters>3520</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מתנות עניים</vt:lpstr>
      <vt:lpstr>מתנות עניים</vt:lpstr>
    </vt:vector>
  </TitlesOfParts>
  <Company>Microsoft</Company>
  <LinksUpToDate>false</LinksUpToDate>
  <CharactersWithSpaces>4215</CharactersWithSpaces>
  <SharedDoc>false</SharedDoc>
  <HLinks>
    <vt:vector size="24" baseType="variant">
      <vt:variant>
        <vt:i4>6291502</vt:i4>
      </vt:variant>
      <vt:variant>
        <vt:i4>9</vt:i4>
      </vt:variant>
      <vt:variant>
        <vt:i4>0</vt:i4>
      </vt:variant>
      <vt:variant>
        <vt:i4>5</vt:i4>
      </vt:variant>
      <vt:variant>
        <vt:lpwstr>https://www.mayim.org.il/?parasha=%D7%9C%D7%99%D7%9E%D7%93%D7%94-%D7%AA%D7%95%D7%A8%D7%94-%D7%93%D7%A8%D7%9A-%D7%90%D7%A8%D7%A5</vt:lpwstr>
      </vt:variant>
      <vt:variant>
        <vt:lpwstr/>
      </vt:variant>
      <vt:variant>
        <vt:i4>4128811</vt:i4>
      </vt:variant>
      <vt:variant>
        <vt:i4>6</vt:i4>
      </vt:variant>
      <vt:variant>
        <vt:i4>0</vt:i4>
      </vt:variant>
      <vt:variant>
        <vt:i4>5</vt:i4>
      </vt:variant>
      <vt:variant>
        <vt:lpwstr>http://www.mayim.org.il/?parasha=%d7%9b%d7%99-%d7%99%d7%a7%d7%a8%d7%90-%d7%a7%d7%9f-%d7%a6%d7%99%d7%a4%d7%95%d7%a8-%d7%9c%d7%a4%d7%a0%d7%99%d7%9a1</vt:lpwstr>
      </vt:variant>
      <vt:variant>
        <vt:lpwstr/>
      </vt:variant>
      <vt:variant>
        <vt:i4>8061045</vt:i4>
      </vt:variant>
      <vt:variant>
        <vt:i4>3</vt:i4>
      </vt:variant>
      <vt:variant>
        <vt:i4>0</vt:i4>
      </vt:variant>
      <vt:variant>
        <vt:i4>5</vt:i4>
      </vt:variant>
      <vt:variant>
        <vt:lpwstr>http://www.mayim.org.il/?parasha=%D7%95%D7%A7%D7%A8%D7%90%D7%AA-%D7%9C%D7%A9%D7%9C%D7%95%D7%9D</vt:lpwstr>
      </vt:variant>
      <vt:variant>
        <vt:lpwstr/>
      </vt:variant>
      <vt:variant>
        <vt:i4>1572958</vt:i4>
      </vt:variant>
      <vt:variant>
        <vt:i4>0</vt:i4>
      </vt:variant>
      <vt:variant>
        <vt:i4>0</vt:i4>
      </vt:variant>
      <vt:variant>
        <vt:i4>5</vt:i4>
      </vt:variant>
      <vt:variant>
        <vt:lpwstr>https://www.mayim.org.il/?parasha=%D7%90%D7%93%D7%9D-%D7%95%D7%91%D7%94%D7%9E%D7%94-%D7%AA%D7%95%D7%A9%D7%99%D7%A2-%D7%94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מתנות עניים</dc:title>
  <dc:subject>כי תצא, חמישית לנחמה</dc:subject>
  <dc:creator>Asher Yuval</dc:creator>
  <cp:keywords/>
  <cp:lastModifiedBy>שמעון אפק</cp:lastModifiedBy>
  <cp:revision>2</cp:revision>
  <cp:lastPrinted>2014-09-08T04:39:00Z</cp:lastPrinted>
  <dcterms:created xsi:type="dcterms:W3CDTF">2018-08-21T07:42:00Z</dcterms:created>
  <dcterms:modified xsi:type="dcterms:W3CDTF">2018-08-21T07:42:00Z</dcterms:modified>
</cp:coreProperties>
</file>