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542D" w:rsidRDefault="0082542D">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התוכחה</w:t>
      </w:r>
      <w:r>
        <w:rPr>
          <w:rtl/>
        </w:rPr>
        <w:fldChar w:fldCharType="end"/>
      </w:r>
    </w:p>
    <w:p w:rsidR="0082542D" w:rsidRDefault="00D15403" w:rsidP="00D15403">
      <w:pPr>
        <w:pStyle w:val="ab"/>
        <w:spacing w:line="320" w:lineRule="atLeast"/>
        <w:jc w:val="both"/>
        <w:rPr>
          <w:rFonts w:hint="cs"/>
          <w:rtl/>
        </w:rPr>
      </w:pPr>
      <w:r w:rsidRPr="00D15403">
        <w:rPr>
          <w:rFonts w:cs="David"/>
          <w:rtl/>
        </w:rPr>
        <w:t xml:space="preserve">וְהָיָה אִם־לֹא תִשְׁמַע בְּקוֹל </w:t>
      </w:r>
      <w:r>
        <w:rPr>
          <w:rFonts w:cs="David" w:hint="cs"/>
          <w:rtl/>
        </w:rPr>
        <w:t>ה'</w:t>
      </w:r>
      <w:r w:rsidRPr="00D15403">
        <w:rPr>
          <w:rFonts w:cs="David"/>
          <w:rtl/>
        </w:rPr>
        <w:t xml:space="preserve"> אֱלֹהֶיךָ לִשְׁמֹר לַעֲשׂוֹת אֶת־כָּל־מִצְוֹתָיו וְחֻקֹּתָיו אֲשֶׁר אָנֹכִי מְצַוְּךָ הַיּוֹם וּבָאוּ עָלֶיךָ כָּל־הַקְּלָלוֹת הָאֵלֶּה וְהִשִּׂיגוּךָ:</w:t>
      </w:r>
      <w:r>
        <w:rPr>
          <w:rFonts w:cs="David" w:hint="cs"/>
          <w:rtl/>
        </w:rPr>
        <w:t xml:space="preserve"> </w:t>
      </w:r>
      <w:r w:rsidR="0082542D">
        <w:rPr>
          <w:rFonts w:cs="David" w:hint="cs"/>
          <w:rtl/>
          <w:lang w:eastAsia="en-US"/>
        </w:rPr>
        <w:t xml:space="preserve"> </w:t>
      </w:r>
      <w:r w:rsidR="0082542D">
        <w:rPr>
          <w:rFonts w:cs="Narkisim"/>
          <w:b w:val="0"/>
          <w:bCs w:val="0"/>
          <w:szCs w:val="22"/>
          <w:rtl/>
          <w:lang w:eastAsia="en-US"/>
        </w:rPr>
        <w:t>(</w:t>
      </w:r>
      <w:r w:rsidR="0082542D">
        <w:rPr>
          <w:rFonts w:cs="Narkisim" w:hint="cs"/>
          <w:b w:val="0"/>
          <w:bCs w:val="0"/>
          <w:szCs w:val="22"/>
          <w:rtl/>
          <w:lang w:eastAsia="en-US"/>
        </w:rPr>
        <w:t>דברים כח טו</w:t>
      </w:r>
      <w:r w:rsidR="0082542D">
        <w:rPr>
          <w:rFonts w:cs="Narkisim"/>
          <w:b w:val="0"/>
          <w:bCs w:val="0"/>
          <w:szCs w:val="22"/>
          <w:rtl/>
          <w:lang w:eastAsia="en-US"/>
        </w:rPr>
        <w:t>)</w:t>
      </w:r>
      <w:r w:rsidR="00EC2344">
        <w:rPr>
          <w:rFonts w:cs="Narkisim" w:hint="cs"/>
          <w:b w:val="0"/>
          <w:bCs w:val="0"/>
          <w:szCs w:val="22"/>
          <w:rtl/>
          <w:lang w:eastAsia="en-US"/>
        </w:rPr>
        <w:t>.</w:t>
      </w:r>
      <w:r w:rsidR="0082542D">
        <w:rPr>
          <w:rStyle w:val="a5"/>
          <w:rFonts w:cs="Narkisim"/>
          <w:b w:val="0"/>
          <w:bCs w:val="0"/>
          <w:szCs w:val="22"/>
          <w:rtl/>
          <w:lang w:eastAsia="en-US"/>
        </w:rPr>
        <w:footnoteReference w:id="1"/>
      </w:r>
    </w:p>
    <w:p w:rsidR="00C67B4F" w:rsidRDefault="00C67B4F" w:rsidP="00C67B4F">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דף</w:t>
      </w:r>
      <w:r>
        <w:rPr>
          <w:rtl/>
          <w:lang w:eastAsia="en-US"/>
        </w:rPr>
        <w:t xml:space="preserve"> </w:t>
      </w:r>
      <w:r>
        <w:rPr>
          <w:rFonts w:hint="eastAsia"/>
          <w:rtl/>
          <w:lang w:eastAsia="en-US"/>
        </w:rPr>
        <w:t>פח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65344A" w:rsidRDefault="00C67B4F" w:rsidP="00F03F20">
      <w:pPr>
        <w:pStyle w:val="ac"/>
        <w:rPr>
          <w:rFonts w:hint="cs"/>
          <w:rtl/>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בוא</w:t>
      </w:r>
      <w:r>
        <w:rPr>
          <w:rtl/>
          <w:lang w:eastAsia="en-US"/>
        </w:rPr>
        <w:t xml:space="preserve"> </w:t>
      </w:r>
      <w:r>
        <w:rPr>
          <w:rFonts w:hint="eastAsia"/>
          <w:rtl/>
          <w:lang w:eastAsia="en-US"/>
        </w:rPr>
        <w:t>וראה</w:t>
      </w:r>
      <w:r>
        <w:rPr>
          <w:rtl/>
          <w:lang w:eastAsia="en-US"/>
        </w:rPr>
        <w:t xml:space="preserve"> </w:t>
      </w:r>
      <w:r>
        <w:rPr>
          <w:rFonts w:hint="eastAsia"/>
          <w:rtl/>
          <w:lang w:eastAsia="en-US"/>
        </w:rPr>
        <w:t>שלא</w:t>
      </w:r>
      <w:r>
        <w:rPr>
          <w:rtl/>
          <w:lang w:eastAsia="en-US"/>
        </w:rPr>
        <w:t xml:space="preserve"> </w:t>
      </w:r>
      <w:r>
        <w:rPr>
          <w:rFonts w:hint="eastAsia"/>
          <w:rtl/>
          <w:lang w:eastAsia="en-US"/>
        </w:rPr>
        <w:t>כמ</w:t>
      </w:r>
      <w:r>
        <w:rPr>
          <w:rFonts w:hint="cs"/>
          <w:rtl/>
          <w:lang w:eastAsia="en-US"/>
        </w:rPr>
        <w:t>י</w:t>
      </w:r>
      <w:r>
        <w:rPr>
          <w:rFonts w:hint="eastAsia"/>
          <w:rtl/>
          <w:lang w:eastAsia="en-US"/>
        </w:rPr>
        <w:t>דת</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w:t>
      </w:r>
      <w:r>
        <w:rPr>
          <w:rFonts w:hint="cs"/>
          <w:rtl/>
          <w:lang w:eastAsia="en-US"/>
        </w:rPr>
        <w:t>י</w:t>
      </w:r>
      <w:r>
        <w:rPr>
          <w:rFonts w:hint="eastAsia"/>
          <w:rtl/>
          <w:lang w:eastAsia="en-US"/>
        </w:rPr>
        <w:t>דת</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sidR="00F03F20">
        <w:rPr>
          <w:rFonts w:hint="cs"/>
          <w:rtl/>
          <w:lang w:eastAsia="en-US"/>
        </w:rPr>
        <w:t>.</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ברך</w:t>
      </w:r>
      <w:r>
        <w:rPr>
          <w:rtl/>
          <w:lang w:eastAsia="en-US"/>
        </w:rPr>
        <w:t xml:space="preserve"> </w:t>
      </w:r>
      <w:r>
        <w:rPr>
          <w:rFonts w:hint="eastAsia"/>
          <w:rtl/>
          <w:lang w:eastAsia="en-US"/>
        </w:rPr>
        <w:t>ישראל</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w:t>
      </w:r>
      <w:r w:rsidR="00F03F20">
        <w:rPr>
          <w:rFonts w:hint="cs"/>
          <w:rtl/>
          <w:lang w:eastAsia="en-US"/>
        </w:rPr>
        <w:t>ו</w:t>
      </w:r>
      <w:r>
        <w:rPr>
          <w:rFonts w:hint="eastAsia"/>
          <w:rtl/>
          <w:lang w:eastAsia="en-US"/>
        </w:rPr>
        <w:t>נה</w:t>
      </w:r>
      <w:r w:rsidR="00F03F20">
        <w:rPr>
          <w:rFonts w:hint="cs"/>
          <w:rtl/>
          <w:lang w:eastAsia="en-US"/>
        </w:rPr>
        <w:t>:</w:t>
      </w:r>
      <w:r>
        <w:rPr>
          <w:rtl/>
          <w:lang w:eastAsia="en-US"/>
        </w:rPr>
        <w:t xml:space="preserve"> </w:t>
      </w:r>
      <w:r>
        <w:rPr>
          <w:rFonts w:hint="eastAsia"/>
          <w:rtl/>
          <w:lang w:eastAsia="en-US"/>
        </w:rPr>
        <w:t>ברכן</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Pr>
          <w:rFonts w:hint="cs"/>
          <w:rtl/>
          <w:lang w:eastAsia="en-US"/>
        </w:rPr>
        <w:t xml:space="preserve"> </w:t>
      </w:r>
      <w:r>
        <w:rPr>
          <w:rtl/>
          <w:lang w:eastAsia="en-US"/>
        </w:rPr>
        <w:t xml:space="preserve">– </w:t>
      </w:r>
      <w:r>
        <w:rPr>
          <w:rFonts w:hint="eastAsia"/>
          <w:rtl/>
          <w:lang w:eastAsia="en-US"/>
        </w:rPr>
        <w:t>מ</w:t>
      </w:r>
      <w:r>
        <w:rPr>
          <w:rFonts w:hint="cs"/>
          <w:rtl/>
          <w:lang w:eastAsia="en-US"/>
        </w:rPr>
        <w:t>"</w:t>
      </w:r>
      <w:r>
        <w:rPr>
          <w:rFonts w:hint="eastAsia"/>
          <w:rtl/>
          <w:lang w:eastAsia="en-US"/>
        </w:rPr>
        <w:t>אם</w:t>
      </w:r>
      <w:r>
        <w:rPr>
          <w:rtl/>
          <w:lang w:eastAsia="en-US"/>
        </w:rPr>
        <w:t xml:space="preserve"> </w:t>
      </w:r>
      <w:r>
        <w:rPr>
          <w:rFonts w:hint="eastAsia"/>
          <w:rtl/>
          <w:lang w:eastAsia="en-US"/>
        </w:rPr>
        <w:t>בח</w:t>
      </w:r>
      <w:r w:rsidR="00A27406">
        <w:rPr>
          <w:rFonts w:hint="cs"/>
          <w:rtl/>
          <w:lang w:eastAsia="en-US"/>
        </w:rPr>
        <w:t>ו</w:t>
      </w:r>
      <w:r>
        <w:rPr>
          <w:rFonts w:hint="eastAsia"/>
          <w:rtl/>
          <w:lang w:eastAsia="en-US"/>
        </w:rPr>
        <w:t>קותי</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cs"/>
          <w:rtl/>
          <w:lang w:eastAsia="en-US"/>
        </w:rPr>
        <w:t>"</w:t>
      </w:r>
      <w:r>
        <w:rPr>
          <w:rFonts w:hint="eastAsia"/>
          <w:rtl/>
          <w:lang w:eastAsia="en-US"/>
        </w:rPr>
        <w:t>קוממיות</w:t>
      </w:r>
      <w:r>
        <w:rPr>
          <w:rFonts w:hint="cs"/>
          <w:rtl/>
          <w:lang w:eastAsia="en-US"/>
        </w:rPr>
        <w:t>" (ו</w:t>
      </w:r>
      <w:r>
        <w:rPr>
          <w:rFonts w:hint="eastAsia"/>
          <w:rtl/>
          <w:lang w:eastAsia="en-US"/>
        </w:rPr>
        <w:t>יקרא</w:t>
      </w:r>
      <w:r>
        <w:rPr>
          <w:rtl/>
          <w:lang w:eastAsia="en-US"/>
        </w:rPr>
        <w:t xml:space="preserve"> </w:t>
      </w:r>
      <w:r>
        <w:rPr>
          <w:rFonts w:hint="eastAsia"/>
          <w:rtl/>
          <w:lang w:eastAsia="en-US"/>
        </w:rPr>
        <w:t>כו</w:t>
      </w:r>
      <w:r>
        <w:rPr>
          <w:rFonts w:hint="cs"/>
          <w:rtl/>
          <w:lang w:eastAsia="en-US"/>
        </w:rPr>
        <w:t xml:space="preserve"> ג-יג)</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בשמונה</w:t>
      </w:r>
      <w:r>
        <w:rPr>
          <w:rtl/>
          <w:lang w:eastAsia="en-US"/>
        </w:rPr>
        <w:t xml:space="preserve"> – </w:t>
      </w:r>
      <w:r>
        <w:rPr>
          <w:rFonts w:hint="eastAsia"/>
          <w:rtl/>
          <w:lang w:eastAsia="en-US"/>
        </w:rPr>
        <w:t>מ</w:t>
      </w:r>
      <w:r>
        <w:rPr>
          <w:rFonts w:hint="cs"/>
          <w:rtl/>
          <w:lang w:eastAsia="en-US"/>
        </w:rPr>
        <w:t>"</w:t>
      </w:r>
      <w:r>
        <w:rPr>
          <w:rFonts w:hint="eastAsia"/>
          <w:rtl/>
          <w:lang w:eastAsia="en-US"/>
        </w:rPr>
        <w:t>ואם</w:t>
      </w:r>
      <w:r>
        <w:rPr>
          <w:rtl/>
          <w:lang w:eastAsia="en-US"/>
        </w:rPr>
        <w:t xml:space="preserve"> </w:t>
      </w:r>
      <w:r>
        <w:rPr>
          <w:rFonts w:hint="eastAsia"/>
          <w:rtl/>
          <w:lang w:eastAsia="en-US"/>
        </w:rPr>
        <w:t>בחקותי</w:t>
      </w:r>
      <w:r>
        <w:rPr>
          <w:rtl/>
          <w:lang w:eastAsia="en-US"/>
        </w:rPr>
        <w:t xml:space="preserve"> </w:t>
      </w:r>
      <w:r>
        <w:rPr>
          <w:rFonts w:hint="eastAsia"/>
          <w:rtl/>
          <w:lang w:eastAsia="en-US"/>
        </w:rPr>
        <w:t>תמאס</w:t>
      </w:r>
      <w:r>
        <w:rPr>
          <w:rFonts w:hint="cs"/>
          <w:rtl/>
          <w:lang w:eastAsia="en-US"/>
        </w:rPr>
        <w:t xml:space="preserve">" </w:t>
      </w:r>
      <w:r>
        <w:rPr>
          <w:rFonts w:hint="eastAsia"/>
          <w:rtl/>
          <w:lang w:eastAsia="en-US"/>
        </w:rPr>
        <w:t>ועד</w:t>
      </w:r>
      <w:r>
        <w:rPr>
          <w:rtl/>
          <w:lang w:eastAsia="en-US"/>
        </w:rPr>
        <w:t xml:space="preserve"> </w:t>
      </w:r>
      <w:r>
        <w:rPr>
          <w:rFonts w:hint="cs"/>
          <w:rtl/>
          <w:lang w:eastAsia="en-US"/>
        </w:rPr>
        <w:t>"</w:t>
      </w:r>
      <w:r>
        <w:rPr>
          <w:rFonts w:hint="eastAsia"/>
          <w:rtl/>
          <w:lang w:eastAsia="en-US"/>
        </w:rPr>
        <w:t>ואת</w:t>
      </w:r>
      <w:r>
        <w:rPr>
          <w:rtl/>
          <w:lang w:eastAsia="en-US"/>
        </w:rPr>
        <w:t xml:space="preserve"> </w:t>
      </w:r>
      <w:r>
        <w:rPr>
          <w:rFonts w:hint="eastAsia"/>
          <w:rtl/>
          <w:lang w:eastAsia="en-US"/>
        </w:rPr>
        <w:t>ח</w:t>
      </w:r>
      <w:r w:rsidR="00E0102E">
        <w:rPr>
          <w:rFonts w:hint="cs"/>
          <w:rtl/>
          <w:lang w:eastAsia="en-US"/>
        </w:rPr>
        <w:t>ו</w:t>
      </w:r>
      <w:r>
        <w:rPr>
          <w:rFonts w:hint="eastAsia"/>
          <w:rtl/>
          <w:lang w:eastAsia="en-US"/>
        </w:rPr>
        <w:t>קותי</w:t>
      </w:r>
      <w:r>
        <w:rPr>
          <w:rtl/>
          <w:lang w:eastAsia="en-US"/>
        </w:rPr>
        <w:t xml:space="preserve"> </w:t>
      </w:r>
      <w:r>
        <w:rPr>
          <w:rFonts w:hint="eastAsia"/>
          <w:rtl/>
          <w:lang w:eastAsia="en-US"/>
        </w:rPr>
        <w:t>געלה</w:t>
      </w:r>
      <w:r>
        <w:rPr>
          <w:rtl/>
          <w:lang w:eastAsia="en-US"/>
        </w:rPr>
        <w:t xml:space="preserve"> </w:t>
      </w:r>
      <w:r>
        <w:rPr>
          <w:rFonts w:hint="eastAsia"/>
          <w:rtl/>
          <w:lang w:eastAsia="en-US"/>
        </w:rPr>
        <w:t>נפשם</w:t>
      </w:r>
      <w:r>
        <w:rPr>
          <w:rFonts w:hint="cs"/>
          <w:rtl/>
          <w:lang w:eastAsia="en-US"/>
        </w:rPr>
        <w:t xml:space="preserve">" (שם </w:t>
      </w:r>
      <w:r w:rsidRPr="00F06953">
        <w:rPr>
          <w:rFonts w:hint="cs"/>
          <w:rtl/>
          <w:lang w:eastAsia="en-US"/>
        </w:rPr>
        <w:t>טו-מג).</w:t>
      </w:r>
      <w:r w:rsidRPr="00F06953">
        <w:rPr>
          <w:rStyle w:val="a5"/>
          <w:rtl/>
          <w:lang w:eastAsia="en-US"/>
        </w:rPr>
        <w:footnoteReference w:id="2"/>
      </w:r>
      <w:r w:rsidRPr="00F06953">
        <w:rPr>
          <w:rtl/>
          <w:lang w:eastAsia="en-US"/>
        </w:rPr>
        <w:t xml:space="preserve"> </w:t>
      </w:r>
      <w:r w:rsidRPr="00F06953">
        <w:rPr>
          <w:rFonts w:hint="eastAsia"/>
          <w:rtl/>
          <w:lang w:eastAsia="en-US"/>
        </w:rPr>
        <w:t>ואילו</w:t>
      </w:r>
      <w:r w:rsidRPr="00F06953">
        <w:rPr>
          <w:rtl/>
          <w:lang w:eastAsia="en-US"/>
        </w:rPr>
        <w:t xml:space="preserve"> </w:t>
      </w:r>
      <w:r w:rsidRPr="00F06953">
        <w:rPr>
          <w:rFonts w:hint="eastAsia"/>
          <w:rtl/>
          <w:lang w:eastAsia="en-US"/>
        </w:rPr>
        <w:t>משה</w:t>
      </w:r>
      <w:r w:rsidRPr="00F06953">
        <w:rPr>
          <w:rtl/>
          <w:lang w:eastAsia="en-US"/>
        </w:rPr>
        <w:t xml:space="preserve"> </w:t>
      </w:r>
      <w:r w:rsidRPr="00F06953">
        <w:rPr>
          <w:rFonts w:hint="eastAsia"/>
          <w:rtl/>
          <w:lang w:eastAsia="en-US"/>
        </w:rPr>
        <w:t>רבינו</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w:t>
      </w:r>
      <w:r w:rsidRPr="00F06953">
        <w:rPr>
          <w:rFonts w:hint="eastAsia"/>
          <w:rtl/>
          <w:lang w:eastAsia="en-US"/>
        </w:rPr>
        <w:t>וקללן</w:t>
      </w:r>
      <w:r w:rsidRPr="00F06953">
        <w:rPr>
          <w:rtl/>
          <w:lang w:eastAsia="en-US"/>
        </w:rPr>
        <w:t xml:space="preserve"> </w:t>
      </w:r>
      <w:r w:rsidRPr="00F06953">
        <w:rPr>
          <w:rFonts w:hint="eastAsia"/>
          <w:rtl/>
          <w:lang w:eastAsia="en-US"/>
        </w:rPr>
        <w:t>בעשרים</w:t>
      </w:r>
      <w:r w:rsidRPr="00F06953">
        <w:rPr>
          <w:rtl/>
          <w:lang w:eastAsia="en-US"/>
        </w:rPr>
        <w:t xml:space="preserve"> </w:t>
      </w:r>
      <w:r w:rsidRPr="00F06953">
        <w:rPr>
          <w:rFonts w:hint="eastAsia"/>
          <w:rtl/>
          <w:lang w:eastAsia="en-US"/>
        </w:rPr>
        <w:t>ושתים</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 </w:t>
      </w:r>
      <w:r w:rsidRPr="00F06953">
        <w:rPr>
          <w:rFonts w:hint="eastAsia"/>
          <w:rtl/>
        </w:rPr>
        <w:t>מ</w:t>
      </w:r>
      <w:r w:rsidRPr="00F06953">
        <w:rPr>
          <w:rFonts w:hint="cs"/>
          <w:rtl/>
        </w:rPr>
        <w:t>"</w:t>
      </w:r>
      <w:r w:rsidRPr="00F06953">
        <w:rPr>
          <w:rFonts w:hint="eastAsia"/>
          <w:rtl/>
        </w:rPr>
        <w:t>והיה</w:t>
      </w:r>
      <w:r w:rsidRPr="00F06953">
        <w:rPr>
          <w:rtl/>
        </w:rPr>
        <w:t xml:space="preserve"> </w:t>
      </w:r>
      <w:r w:rsidRPr="00F06953">
        <w:rPr>
          <w:rFonts w:hint="eastAsia"/>
          <w:rtl/>
        </w:rPr>
        <w:t>אם</w:t>
      </w:r>
      <w:r w:rsidRPr="00F06953">
        <w:rPr>
          <w:rtl/>
        </w:rPr>
        <w:t xml:space="preserve"> </w:t>
      </w:r>
      <w:r w:rsidRPr="00F06953">
        <w:rPr>
          <w:rFonts w:hint="eastAsia"/>
          <w:rtl/>
        </w:rPr>
        <w:t>שמוע</w:t>
      </w:r>
      <w:r w:rsidRPr="00F06953">
        <w:rPr>
          <w:rtl/>
        </w:rPr>
        <w:t xml:space="preserve"> </w:t>
      </w:r>
      <w:r w:rsidRPr="00F06953">
        <w:rPr>
          <w:rFonts w:hint="eastAsia"/>
          <w:rtl/>
        </w:rPr>
        <w:t>תשמע</w:t>
      </w:r>
      <w:r w:rsidRPr="00F06953">
        <w:rPr>
          <w:rFonts w:hint="cs"/>
          <w:rtl/>
        </w:rPr>
        <w:t>"</w:t>
      </w:r>
      <w:r w:rsidRPr="00F06953">
        <w:rPr>
          <w:rtl/>
        </w:rPr>
        <w:t xml:space="preserve"> </w:t>
      </w:r>
      <w:r w:rsidRPr="00F06953">
        <w:rPr>
          <w:rFonts w:hint="eastAsia"/>
          <w:rtl/>
        </w:rPr>
        <w:t>ועד</w:t>
      </w:r>
      <w:r w:rsidRPr="00F06953">
        <w:rPr>
          <w:rtl/>
        </w:rPr>
        <w:t xml:space="preserve"> </w:t>
      </w:r>
      <w:r w:rsidRPr="00F06953">
        <w:rPr>
          <w:rFonts w:hint="cs"/>
          <w:rtl/>
        </w:rPr>
        <w:t>"</w:t>
      </w:r>
      <w:r w:rsidRPr="00F06953">
        <w:rPr>
          <w:rFonts w:hint="eastAsia"/>
          <w:rtl/>
        </w:rPr>
        <w:t>לעבדם</w:t>
      </w:r>
      <w:r w:rsidRPr="00F06953">
        <w:rPr>
          <w:rFonts w:hint="cs"/>
          <w:rtl/>
        </w:rPr>
        <w:t>" (</w:t>
      </w:r>
      <w:r w:rsidRPr="00F06953">
        <w:rPr>
          <w:rFonts w:hint="eastAsia"/>
          <w:rtl/>
        </w:rPr>
        <w:t>דברים</w:t>
      </w:r>
      <w:r w:rsidRPr="00F06953">
        <w:rPr>
          <w:rtl/>
        </w:rPr>
        <w:t xml:space="preserve"> </w:t>
      </w:r>
      <w:r w:rsidRPr="00F06953">
        <w:rPr>
          <w:rFonts w:hint="eastAsia"/>
          <w:rtl/>
        </w:rPr>
        <w:t>כח</w:t>
      </w:r>
      <w:r w:rsidRPr="00F06953">
        <w:rPr>
          <w:rFonts w:hint="cs"/>
          <w:rtl/>
        </w:rPr>
        <w:t xml:space="preserve"> א-יד),</w:t>
      </w:r>
      <w:r w:rsidRPr="00F06953">
        <w:rPr>
          <w:rtl/>
        </w:rPr>
        <w:t xml:space="preserve"> </w:t>
      </w:r>
      <w:r w:rsidRPr="00F06953">
        <w:rPr>
          <w:rFonts w:hint="eastAsia"/>
          <w:rtl/>
        </w:rPr>
        <w:t>וקללן</w:t>
      </w:r>
      <w:r w:rsidRPr="00B55847">
        <w:rPr>
          <w:rtl/>
        </w:rPr>
        <w:t xml:space="preserve"> </w:t>
      </w:r>
      <w:r w:rsidRPr="00B55847">
        <w:rPr>
          <w:rFonts w:hint="eastAsia"/>
          <w:rtl/>
        </w:rPr>
        <w:t>בעשרים</w:t>
      </w:r>
      <w:r w:rsidRPr="00B55847">
        <w:rPr>
          <w:rtl/>
        </w:rPr>
        <w:t xml:space="preserve"> </w:t>
      </w:r>
      <w:r w:rsidRPr="00B55847">
        <w:rPr>
          <w:rFonts w:hint="eastAsia"/>
          <w:rtl/>
        </w:rPr>
        <w:t>ושתים</w:t>
      </w:r>
      <w:r w:rsidRPr="00B55847">
        <w:rPr>
          <w:rtl/>
        </w:rPr>
        <w:t xml:space="preserve"> </w:t>
      </w:r>
      <w:r>
        <w:rPr>
          <w:rtl/>
        </w:rPr>
        <w:t>–</w:t>
      </w:r>
      <w:r w:rsidRPr="00B55847">
        <w:rPr>
          <w:rtl/>
        </w:rPr>
        <w:t xml:space="preserve"> </w:t>
      </w:r>
      <w:r w:rsidRPr="00B55847">
        <w:rPr>
          <w:rFonts w:hint="eastAsia"/>
          <w:rtl/>
        </w:rPr>
        <w:t>מ</w:t>
      </w:r>
      <w:r>
        <w:rPr>
          <w:rFonts w:hint="cs"/>
          <w:rtl/>
        </w:rPr>
        <w:t>"</w:t>
      </w:r>
      <w:r w:rsidRPr="00B55847">
        <w:rPr>
          <w:rFonts w:hint="eastAsia"/>
          <w:rtl/>
        </w:rPr>
        <w:t>והיה</w:t>
      </w:r>
      <w:r w:rsidRPr="00B55847">
        <w:rPr>
          <w:rtl/>
        </w:rPr>
        <w:t xml:space="preserve"> </w:t>
      </w:r>
      <w:r w:rsidRPr="00B55847">
        <w:rPr>
          <w:rFonts w:hint="eastAsia"/>
          <w:rtl/>
        </w:rPr>
        <w:t>אם</w:t>
      </w:r>
      <w:r w:rsidRPr="00B55847">
        <w:rPr>
          <w:rtl/>
        </w:rPr>
        <w:t xml:space="preserve"> </w:t>
      </w:r>
      <w:r w:rsidRPr="00B55847">
        <w:rPr>
          <w:rFonts w:hint="eastAsia"/>
          <w:rtl/>
        </w:rPr>
        <w:t>לא</w:t>
      </w:r>
      <w:r w:rsidRPr="00B55847">
        <w:rPr>
          <w:rtl/>
        </w:rPr>
        <w:t xml:space="preserve"> </w:t>
      </w:r>
      <w:r w:rsidRPr="00B55847">
        <w:rPr>
          <w:rFonts w:hint="eastAsia"/>
          <w:rtl/>
        </w:rPr>
        <w:t>תשמע</w:t>
      </w:r>
      <w:r>
        <w:rPr>
          <w:rFonts w:hint="cs"/>
          <w:rtl/>
        </w:rPr>
        <w:t>"</w:t>
      </w:r>
      <w:r w:rsidRPr="00B55847">
        <w:rPr>
          <w:rtl/>
        </w:rPr>
        <w:t xml:space="preserve"> </w:t>
      </w:r>
      <w:r w:rsidRPr="00B55847">
        <w:rPr>
          <w:rFonts w:hint="eastAsia"/>
          <w:rtl/>
        </w:rPr>
        <w:t>עד</w:t>
      </w:r>
      <w:r w:rsidRPr="00B55847">
        <w:rPr>
          <w:rtl/>
        </w:rPr>
        <w:t xml:space="preserve"> </w:t>
      </w:r>
      <w:r>
        <w:rPr>
          <w:rFonts w:hint="cs"/>
          <w:rtl/>
        </w:rPr>
        <w:t>"</w:t>
      </w:r>
      <w:r w:rsidRPr="00B55847">
        <w:rPr>
          <w:rFonts w:hint="eastAsia"/>
          <w:rtl/>
        </w:rPr>
        <w:t>ואין</w:t>
      </w:r>
      <w:r w:rsidRPr="00B55847">
        <w:rPr>
          <w:rtl/>
        </w:rPr>
        <w:t xml:space="preserve"> </w:t>
      </w:r>
      <w:r w:rsidRPr="00B55847">
        <w:rPr>
          <w:rFonts w:hint="eastAsia"/>
          <w:rtl/>
        </w:rPr>
        <w:t>קונה</w:t>
      </w:r>
      <w:r>
        <w:rPr>
          <w:rFonts w:hint="cs"/>
          <w:rtl/>
        </w:rPr>
        <w:t>" (שם טו-סט).</w:t>
      </w:r>
      <w:r w:rsidR="00D61846">
        <w:rPr>
          <w:rStyle w:val="a5"/>
          <w:rtl/>
        </w:rPr>
        <w:footnoteReference w:id="3"/>
      </w:r>
    </w:p>
    <w:p w:rsidR="00702893" w:rsidRDefault="00702893" w:rsidP="00702893">
      <w:pPr>
        <w:pStyle w:val="ab"/>
        <w:rPr>
          <w:rtl/>
        </w:rPr>
      </w:pPr>
      <w:r>
        <w:rPr>
          <w:rtl/>
        </w:rPr>
        <w:t xml:space="preserve">דברים רבה א ד </w:t>
      </w:r>
    </w:p>
    <w:p w:rsidR="00702893" w:rsidRDefault="00702893" w:rsidP="00702893">
      <w:pPr>
        <w:pStyle w:val="ac"/>
        <w:rPr>
          <w:rFonts w:hint="cs"/>
          <w:rtl/>
        </w:rPr>
      </w:pPr>
      <w:r>
        <w:rPr>
          <w:rtl/>
        </w:rPr>
        <w:t>"אלה הדברים אשר דבר משה אל כל ישראל" - 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אוהבם ברכם. אמר הקב"ה: יוכיחם משה שאוהבן ויברכם בלעם ששונאם כדי שיתבררו הברכות והתוכחות ביד ישראל.</w:t>
      </w:r>
      <w:r w:rsidR="00DF6588">
        <w:rPr>
          <w:rStyle w:val="a5"/>
          <w:rtl/>
        </w:rPr>
        <w:footnoteReference w:id="4"/>
      </w:r>
    </w:p>
    <w:p w:rsidR="0082542D" w:rsidRDefault="0082542D">
      <w:pPr>
        <w:pStyle w:val="ab"/>
        <w:rPr>
          <w:rFonts w:hint="cs"/>
          <w:rtl/>
        </w:rPr>
      </w:pPr>
      <w:r>
        <w:rPr>
          <w:rFonts w:hint="cs"/>
          <w:rtl/>
        </w:rPr>
        <w:t>אוצר המדרשים (אייזנשטיין) עמוד שנה</w:t>
      </w:r>
      <w:r>
        <w:rPr>
          <w:rStyle w:val="a5"/>
          <w:rtl/>
        </w:rPr>
        <w:footnoteReference w:id="5"/>
      </w:r>
    </w:p>
    <w:p w:rsidR="0082542D" w:rsidRDefault="0082542D">
      <w:pPr>
        <w:pStyle w:val="ac"/>
        <w:rPr>
          <w:rFonts w:hint="cs"/>
          <w:b/>
          <w:bCs/>
          <w:rtl/>
        </w:rPr>
      </w:pPr>
      <w:r>
        <w:rPr>
          <w:rFonts w:hint="cs"/>
          <w:b/>
          <w:bCs/>
          <w:rtl/>
        </w:rPr>
        <w:t xml:space="preserve">אמר רב: </w:t>
      </w:r>
    </w:p>
    <w:p w:rsidR="0082542D" w:rsidRDefault="0082542D">
      <w:pPr>
        <w:pStyle w:val="ac"/>
        <w:rPr>
          <w:rFonts w:hint="cs"/>
          <w:rtl/>
        </w:rPr>
      </w:pPr>
      <w:r>
        <w:rPr>
          <w:rFonts w:hint="cs"/>
          <w:rtl/>
        </w:rPr>
        <w:t xml:space="preserve">אמר הקב"ה לישראל: </w:t>
      </w:r>
    </w:p>
    <w:p w:rsidR="0082542D" w:rsidRDefault="0082542D">
      <w:pPr>
        <w:pStyle w:val="ac"/>
        <w:rPr>
          <w:rFonts w:hint="cs"/>
          <w:rtl/>
        </w:rPr>
      </w:pPr>
      <w:r>
        <w:rPr>
          <w:rFonts w:hint="cs"/>
          <w:rtl/>
        </w:rPr>
        <w:t xml:space="preserve">לא יועילו בכם </w:t>
      </w:r>
    </w:p>
    <w:p w:rsidR="0082542D" w:rsidRDefault="0082542D">
      <w:pPr>
        <w:pStyle w:val="ac"/>
        <w:rPr>
          <w:rFonts w:hint="cs"/>
          <w:rtl/>
        </w:rPr>
      </w:pPr>
      <w:r>
        <w:rPr>
          <w:rFonts w:hint="cs"/>
          <w:rtl/>
        </w:rPr>
        <w:t xml:space="preserve">לא הייסורין ולא התוכחות </w:t>
      </w:r>
    </w:p>
    <w:p w:rsidR="0082542D" w:rsidRDefault="0082542D">
      <w:pPr>
        <w:pStyle w:val="ac"/>
        <w:rPr>
          <w:rFonts w:hint="cs"/>
          <w:rtl/>
        </w:rPr>
      </w:pPr>
      <w:r>
        <w:rPr>
          <w:rFonts w:hint="cs"/>
          <w:rtl/>
        </w:rPr>
        <w:lastRenderedPageBreak/>
        <w:t xml:space="preserve">ולא התראה ולא הבטחה </w:t>
      </w:r>
    </w:p>
    <w:p w:rsidR="0082542D" w:rsidRDefault="0082542D">
      <w:pPr>
        <w:pStyle w:val="ac"/>
        <w:rPr>
          <w:rFonts w:hint="cs"/>
          <w:rtl/>
        </w:rPr>
      </w:pPr>
      <w:r>
        <w:rPr>
          <w:rFonts w:hint="cs"/>
          <w:rtl/>
        </w:rPr>
        <w:t xml:space="preserve">ולא טלטול ולא אריכות ימים ולא אריכות רוח </w:t>
      </w:r>
    </w:p>
    <w:p w:rsidR="0082542D" w:rsidRDefault="0082542D">
      <w:pPr>
        <w:pStyle w:val="ac"/>
        <w:rPr>
          <w:rFonts w:hint="cs"/>
          <w:rtl/>
        </w:rPr>
      </w:pPr>
      <w:r>
        <w:rPr>
          <w:rFonts w:hint="cs"/>
          <w:rtl/>
        </w:rPr>
        <w:t xml:space="preserve">ולא שליח ולא צווי ולא קללות ולא חרמות ולא נחמות </w:t>
      </w:r>
    </w:p>
    <w:p w:rsidR="0082542D" w:rsidRDefault="0082542D">
      <w:pPr>
        <w:pStyle w:val="ac"/>
        <w:rPr>
          <w:rFonts w:hint="cs"/>
          <w:rtl/>
        </w:rPr>
      </w:pPr>
      <w:r>
        <w:rPr>
          <w:rFonts w:hint="cs"/>
          <w:rtl/>
        </w:rPr>
        <w:t xml:space="preserve">ולא בושה ולא פחד ולא אימת העוה"ב ולא אימת חשבון ולא אימת דין גהינום </w:t>
      </w:r>
    </w:p>
    <w:p w:rsidR="0082542D" w:rsidRDefault="0082542D">
      <w:pPr>
        <w:pStyle w:val="ac"/>
        <w:rPr>
          <w:rFonts w:hint="cs"/>
          <w:rtl/>
        </w:rPr>
      </w:pPr>
      <w:r>
        <w:rPr>
          <w:rFonts w:hint="cs"/>
          <w:rtl/>
        </w:rPr>
        <w:t>ולא שמי המתחלל בגויים על ידיכם.</w:t>
      </w:r>
      <w:r>
        <w:rPr>
          <w:rStyle w:val="a5"/>
          <w:rtl/>
        </w:rPr>
        <w:footnoteReference w:id="6"/>
      </w:r>
      <w:r>
        <w:rPr>
          <w:rFonts w:hint="cs"/>
          <w:rtl/>
        </w:rPr>
        <w:t xml:space="preserve"> </w:t>
      </w:r>
    </w:p>
    <w:p w:rsidR="0082542D" w:rsidRDefault="0082542D">
      <w:pPr>
        <w:pStyle w:val="ac"/>
        <w:rPr>
          <w:rFonts w:hint="cs"/>
          <w:rtl/>
        </w:rPr>
      </w:pPr>
      <w:r>
        <w:rPr>
          <w:rFonts w:hint="cs"/>
          <w:rtl/>
        </w:rPr>
        <w:t xml:space="preserve">..... </w:t>
      </w:r>
      <w:r>
        <w:rPr>
          <w:rStyle w:val="a5"/>
          <w:rtl/>
        </w:rPr>
        <w:footnoteReference w:id="7"/>
      </w:r>
    </w:p>
    <w:p w:rsidR="0082542D" w:rsidRDefault="0082542D">
      <w:pPr>
        <w:pStyle w:val="ac"/>
        <w:rPr>
          <w:rFonts w:hint="cs"/>
          <w:rtl/>
        </w:rPr>
      </w:pPr>
      <w:r>
        <w:rPr>
          <w:rFonts w:hint="cs"/>
          <w:rtl/>
        </w:rPr>
        <w:t xml:space="preserve">אשרי מי שיראתו על פניו, אשרי הנשמר מעונות, </w:t>
      </w:r>
    </w:p>
    <w:p w:rsidR="0082542D" w:rsidRDefault="0082542D">
      <w:pPr>
        <w:pStyle w:val="ac"/>
        <w:rPr>
          <w:rFonts w:hint="cs"/>
          <w:rtl/>
        </w:rPr>
      </w:pPr>
      <w:r>
        <w:rPr>
          <w:rFonts w:hint="cs"/>
          <w:rtl/>
        </w:rPr>
        <w:t xml:space="preserve">אשרי מי שהוא עניו, אשרי המשבחים אותו המוניו, </w:t>
      </w:r>
    </w:p>
    <w:p w:rsidR="0082542D" w:rsidRDefault="0082542D">
      <w:pPr>
        <w:pStyle w:val="ac"/>
        <w:rPr>
          <w:rFonts w:hint="cs"/>
          <w:rtl/>
        </w:rPr>
      </w:pPr>
      <w:r>
        <w:rPr>
          <w:rFonts w:hint="cs"/>
          <w:rtl/>
        </w:rPr>
        <w:t xml:space="preserve">אשרי מי שהוא שפל בעיניו, </w:t>
      </w:r>
    </w:p>
    <w:p w:rsidR="0082542D" w:rsidRDefault="0082542D">
      <w:pPr>
        <w:pStyle w:val="ac"/>
        <w:rPr>
          <w:rFonts w:hint="cs"/>
          <w:rtl/>
        </w:rPr>
      </w:pPr>
      <w:r>
        <w:rPr>
          <w:rFonts w:hint="cs"/>
          <w:rtl/>
        </w:rPr>
        <w:t xml:space="preserve">אשרי מי שמטה אזניו </w:t>
      </w:r>
    </w:p>
    <w:p w:rsidR="0082542D" w:rsidRDefault="0082542D">
      <w:pPr>
        <w:pStyle w:val="ac"/>
        <w:rPr>
          <w:rFonts w:hint="cs"/>
          <w:rtl/>
        </w:rPr>
      </w:pPr>
      <w:r>
        <w:rPr>
          <w:rFonts w:hint="cs"/>
          <w:rtl/>
        </w:rPr>
        <w:t xml:space="preserve">לשמוע דברי תורה, </w:t>
      </w:r>
    </w:p>
    <w:p w:rsidR="0082542D" w:rsidRDefault="0082542D">
      <w:pPr>
        <w:pStyle w:val="ac"/>
        <w:rPr>
          <w:rFonts w:hint="cs"/>
          <w:rtl/>
        </w:rPr>
      </w:pPr>
      <w:r>
        <w:rPr>
          <w:rFonts w:hint="cs"/>
          <w:rtl/>
        </w:rPr>
        <w:t xml:space="preserve">אשרי השומע דברי תורה בכל יום ... </w:t>
      </w:r>
    </w:p>
    <w:p w:rsidR="0082542D" w:rsidRDefault="0082542D">
      <w:pPr>
        <w:pStyle w:val="ac"/>
        <w:spacing w:before="120"/>
        <w:rPr>
          <w:rFonts w:hint="cs"/>
          <w:rtl/>
        </w:rPr>
      </w:pPr>
      <w:r>
        <w:rPr>
          <w:rFonts w:hint="cs"/>
          <w:rtl/>
        </w:rPr>
        <w:t xml:space="preserve">הנה באתי ללמדך </w:t>
      </w:r>
    </w:p>
    <w:p w:rsidR="0082542D" w:rsidRDefault="0082542D">
      <w:pPr>
        <w:pStyle w:val="ac"/>
        <w:rPr>
          <w:rFonts w:hint="cs"/>
          <w:rtl/>
        </w:rPr>
      </w:pPr>
      <w:r>
        <w:rPr>
          <w:rFonts w:hint="cs"/>
          <w:rtl/>
        </w:rPr>
        <w:t xml:space="preserve">על כן יצאתי לקראתך </w:t>
      </w:r>
    </w:p>
    <w:p w:rsidR="0082542D" w:rsidRDefault="0082542D">
      <w:pPr>
        <w:pStyle w:val="ac"/>
        <w:rPr>
          <w:rFonts w:hint="cs"/>
          <w:rtl/>
        </w:rPr>
      </w:pPr>
      <w:r>
        <w:rPr>
          <w:rFonts w:hint="cs"/>
          <w:rtl/>
        </w:rPr>
        <w:t xml:space="preserve">לשחר פניך ואמצאך, </w:t>
      </w:r>
    </w:p>
    <w:p w:rsidR="0082542D" w:rsidRDefault="0082542D">
      <w:pPr>
        <w:pStyle w:val="ac"/>
        <w:rPr>
          <w:rFonts w:hint="cs"/>
          <w:rtl/>
        </w:rPr>
      </w:pPr>
      <w:r>
        <w:rPr>
          <w:rFonts w:hint="cs"/>
          <w:rtl/>
        </w:rPr>
        <w:t xml:space="preserve">אשריך אם תזכרני, אשריך אם בלבך תצפנני, </w:t>
      </w:r>
    </w:p>
    <w:p w:rsidR="0082542D" w:rsidRDefault="0082542D">
      <w:pPr>
        <w:pStyle w:val="ac"/>
        <w:rPr>
          <w:rFonts w:hint="cs"/>
          <w:rtl/>
        </w:rPr>
      </w:pPr>
      <w:r>
        <w:rPr>
          <w:rFonts w:hint="cs"/>
          <w:rtl/>
        </w:rPr>
        <w:t xml:space="preserve">אשריך אם תקיימני, אשריך אם תשמיעני ... </w:t>
      </w:r>
    </w:p>
    <w:p w:rsidR="0082542D" w:rsidRDefault="0082542D">
      <w:pPr>
        <w:pStyle w:val="ac"/>
        <w:rPr>
          <w:rFonts w:hint="cs"/>
          <w:rtl/>
        </w:rPr>
      </w:pPr>
      <w:r>
        <w:rPr>
          <w:rFonts w:hint="cs"/>
          <w:rtl/>
        </w:rPr>
        <w:t xml:space="preserve">וברח מן השררה ותהיה בחכמה תמיד, וקרא אל </w:t>
      </w:r>
      <w:r w:rsidR="00D15403">
        <w:rPr>
          <w:rFonts w:hint="cs"/>
          <w:rtl/>
        </w:rPr>
        <w:t>אל</w:t>
      </w:r>
      <w:r>
        <w:rPr>
          <w:rFonts w:hint="cs"/>
          <w:rtl/>
        </w:rPr>
        <w:t xml:space="preserve">היך תמיד כי הוא ירגישך וישביעך ויניח לך ... </w:t>
      </w:r>
    </w:p>
    <w:p w:rsidR="0082542D" w:rsidRDefault="0082542D">
      <w:pPr>
        <w:pStyle w:val="ac"/>
        <w:rPr>
          <w:rFonts w:hint="cs"/>
          <w:rtl/>
        </w:rPr>
      </w:pPr>
      <w:r>
        <w:rPr>
          <w:rFonts w:hint="cs"/>
          <w:rtl/>
        </w:rPr>
        <w:t xml:space="preserve">ועבוד </w:t>
      </w:r>
      <w:r w:rsidR="00D15403">
        <w:rPr>
          <w:rFonts w:hint="cs"/>
          <w:rtl/>
        </w:rPr>
        <w:t>אל</w:t>
      </w:r>
      <w:r>
        <w:rPr>
          <w:rFonts w:hint="cs"/>
          <w:rtl/>
        </w:rPr>
        <w:t xml:space="preserve">היך בשמחה, ויהיה לך לחמלה, </w:t>
      </w:r>
    </w:p>
    <w:p w:rsidR="0082542D" w:rsidRDefault="0082542D">
      <w:pPr>
        <w:pStyle w:val="ac"/>
        <w:rPr>
          <w:rFonts w:hint="cs"/>
          <w:rtl/>
        </w:rPr>
      </w:pPr>
      <w:r>
        <w:rPr>
          <w:rFonts w:hint="cs"/>
          <w:rtl/>
        </w:rPr>
        <w:t xml:space="preserve">כי הדרך שחוחה, ויהיה לך למשאת וארוחה. </w:t>
      </w:r>
    </w:p>
    <w:p w:rsidR="0082542D" w:rsidRDefault="0082542D">
      <w:pPr>
        <w:pStyle w:val="ac"/>
        <w:rPr>
          <w:rFonts w:hint="cs"/>
          <w:rtl/>
        </w:rPr>
      </w:pPr>
      <w:r>
        <w:rPr>
          <w:rFonts w:hint="cs"/>
          <w:rtl/>
        </w:rPr>
        <w:t xml:space="preserve">אם את הדבר הזה תעשה לך יאיר כנוגה ים וצוך </w:t>
      </w:r>
      <w:r w:rsidR="00D15403">
        <w:rPr>
          <w:rFonts w:hint="cs"/>
          <w:rtl/>
        </w:rPr>
        <w:t>אל</w:t>
      </w:r>
      <w:r>
        <w:rPr>
          <w:rFonts w:hint="cs"/>
          <w:rtl/>
        </w:rPr>
        <w:t xml:space="preserve">הים, </w:t>
      </w:r>
    </w:p>
    <w:p w:rsidR="0082542D" w:rsidRDefault="0082542D">
      <w:pPr>
        <w:pStyle w:val="ac"/>
        <w:rPr>
          <w:rFonts w:hint="cs"/>
          <w:rtl/>
        </w:rPr>
      </w:pPr>
      <w:r>
        <w:rPr>
          <w:rFonts w:hint="cs"/>
          <w:rtl/>
        </w:rPr>
        <w:t xml:space="preserve">כי אם תעבוד </w:t>
      </w:r>
      <w:r w:rsidR="00D15403">
        <w:rPr>
          <w:rFonts w:hint="cs"/>
          <w:rtl/>
        </w:rPr>
        <w:t>אל</w:t>
      </w:r>
      <w:r>
        <w:rPr>
          <w:rFonts w:hint="cs"/>
          <w:rtl/>
        </w:rPr>
        <w:t xml:space="preserve">היך באהבה וחבה </w:t>
      </w:r>
    </w:p>
    <w:p w:rsidR="0082542D" w:rsidRDefault="0082542D">
      <w:pPr>
        <w:pStyle w:val="ac"/>
        <w:rPr>
          <w:rFonts w:hint="cs"/>
          <w:rtl/>
        </w:rPr>
      </w:pPr>
      <w:r>
        <w:rPr>
          <w:rFonts w:hint="cs"/>
          <w:rtl/>
        </w:rPr>
        <w:t>אשריך בעולם הזה וטוב לך לעולם הבא.</w:t>
      </w:r>
      <w:r>
        <w:rPr>
          <w:rStyle w:val="a5"/>
          <w:rtl/>
        </w:rPr>
        <w:footnoteReference w:id="8"/>
      </w:r>
      <w:r>
        <w:rPr>
          <w:rFonts w:hint="cs"/>
          <w:rtl/>
        </w:rPr>
        <w:t xml:space="preserve"> </w:t>
      </w:r>
    </w:p>
    <w:p w:rsidR="0082542D" w:rsidRDefault="0082542D">
      <w:pPr>
        <w:pStyle w:val="ac"/>
        <w:rPr>
          <w:rFonts w:hint="cs"/>
          <w:rtl/>
        </w:rPr>
      </w:pPr>
      <w:r>
        <w:rPr>
          <w:rFonts w:hint="cs"/>
          <w:b/>
          <w:bCs/>
          <w:rtl/>
        </w:rPr>
        <w:t>תם מרגניתא דבי רב</w:t>
      </w:r>
      <w:r>
        <w:rPr>
          <w:rFonts w:hint="cs"/>
          <w:rtl/>
        </w:rPr>
        <w:t>.</w:t>
      </w:r>
      <w:r>
        <w:rPr>
          <w:rStyle w:val="a5"/>
          <w:rtl/>
        </w:rPr>
        <w:footnoteReference w:id="9"/>
      </w:r>
    </w:p>
    <w:p w:rsidR="0082542D" w:rsidRDefault="0082542D">
      <w:pPr>
        <w:pStyle w:val="ad"/>
        <w:spacing w:before="240" w:line="300" w:lineRule="atLeast"/>
        <w:rPr>
          <w:rtl/>
        </w:rPr>
      </w:pPr>
      <w:r>
        <w:rPr>
          <w:rtl/>
        </w:rPr>
        <w:t xml:space="preserve">שבת שלום </w:t>
      </w:r>
    </w:p>
    <w:p w:rsidR="0082542D" w:rsidRDefault="0082542D">
      <w:pPr>
        <w:pStyle w:val="ad"/>
        <w:spacing w:line="300" w:lineRule="atLeast"/>
        <w:rPr>
          <w:rFonts w:hint="cs"/>
          <w:rtl/>
        </w:rPr>
      </w:pPr>
      <w:r>
        <w:rPr>
          <w:rtl/>
        </w:rPr>
        <w:t>מחלקי המים</w:t>
      </w:r>
    </w:p>
    <w:sectPr w:rsidR="0082542D" w:rsidSect="00DF122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DC3" w:rsidRDefault="009F0DC3">
      <w:r>
        <w:separator/>
      </w:r>
    </w:p>
  </w:endnote>
  <w:endnote w:type="continuationSeparator" w:id="0">
    <w:p w:rsidR="009F0DC3" w:rsidRDefault="009F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E0" w:rsidRPr="00F8747C" w:rsidRDefault="00D95CE0" w:rsidP="00D95CE0">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F122E">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F122E">
      <w:rPr>
        <w:rStyle w:val="ae"/>
        <w:noProof/>
        <w:rtl/>
      </w:rPr>
      <w:t>2</w:t>
    </w:r>
    <w:r w:rsidRPr="00F8747C">
      <w:rPr>
        <w:rStyle w:val="ae"/>
      </w:rPr>
      <w:fldChar w:fldCharType="end"/>
    </w:r>
  </w:p>
  <w:p w:rsidR="00D95CE0" w:rsidRDefault="00D95C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DC3" w:rsidRDefault="009F0DC3">
      <w:pPr>
        <w:rPr>
          <w:lang w:eastAsia="en-US"/>
        </w:rPr>
      </w:pPr>
      <w:r>
        <w:separator/>
      </w:r>
    </w:p>
  </w:footnote>
  <w:footnote w:type="continuationSeparator" w:id="0">
    <w:p w:rsidR="009F0DC3" w:rsidRDefault="009F0DC3">
      <w:r>
        <w:continuationSeparator/>
      </w:r>
    </w:p>
  </w:footnote>
  <w:footnote w:id="1">
    <w:p w:rsidR="0082542D" w:rsidRDefault="0082542D" w:rsidP="00D15403">
      <w:pPr>
        <w:pStyle w:val="a3"/>
        <w:rPr>
          <w:rFonts w:hint="cs"/>
          <w:rtl/>
        </w:rPr>
      </w:pPr>
      <w:r>
        <w:rPr>
          <w:rStyle w:val="a5"/>
        </w:rPr>
        <w:footnoteRef/>
      </w:r>
      <w:r>
        <w:t xml:space="preserve"> </w:t>
      </w:r>
      <w:r>
        <w:rPr>
          <w:rFonts w:hint="cs"/>
          <w:rtl/>
        </w:rPr>
        <w:t xml:space="preserve"> </w:t>
      </w:r>
      <w:r w:rsidR="00D15403">
        <w:rPr>
          <w:rFonts w:hint="cs"/>
          <w:rtl/>
        </w:rPr>
        <w:t>ככה נפתחת פרשת התוכחה (הקללה) בפרשתנו. וכאילו לא די בכך, בא בהמשך הפרק, פסוק קשה עוד יותר: "</w:t>
      </w:r>
      <w:r w:rsidR="00D15403">
        <w:rPr>
          <w:rtl/>
        </w:rPr>
        <w:t xml:space="preserve">וּבָאוּ עָלֶיךָ כָּל־הַקְּלָלוֹת הָאֵלֶּה וּרְדָפוּךָ וְהִשִּׂיגוּךָ עַד הִשָּׁמְדָךְ כִּי־לֹא שָׁמַעְתָּ בְּקוֹל </w:t>
      </w:r>
      <w:r w:rsidR="00D15403">
        <w:rPr>
          <w:rFonts w:hint="cs"/>
          <w:rtl/>
        </w:rPr>
        <w:t>ה'</w:t>
      </w:r>
      <w:r w:rsidR="00D15403">
        <w:rPr>
          <w:rtl/>
        </w:rPr>
        <w:t xml:space="preserve"> אֱלֹהֶיךָ </w:t>
      </w:r>
      <w:r w:rsidR="00D15403">
        <w:rPr>
          <w:rFonts w:hint="cs"/>
          <w:rtl/>
        </w:rPr>
        <w:t xml:space="preserve">וכו' " (שם מה). </w:t>
      </w:r>
      <w:r>
        <w:rPr>
          <w:rFonts w:hint="cs"/>
          <w:rtl/>
        </w:rPr>
        <w:t>פסוקי הקללה (התוכחה) של פרשת כי תב</w:t>
      </w:r>
      <w:r w:rsidR="00EC2344">
        <w:rPr>
          <w:rFonts w:hint="cs"/>
          <w:rtl/>
        </w:rPr>
        <w:t>ו</w:t>
      </w:r>
      <w:r>
        <w:rPr>
          <w:rFonts w:hint="cs"/>
          <w:rtl/>
        </w:rPr>
        <w:t>א הם קשים מאד ומן הסתם מעוררים בלב כל קורא את השאלה: כולו האי? עד כדי כך? וכי לא יכל משה להקהות קצת את חומרת דבריו? וכי בתוכחה של ספר ויקרא לא סגי?</w:t>
      </w:r>
      <w:r w:rsidR="0065344A">
        <w:rPr>
          <w:rFonts w:hint="cs"/>
          <w:rtl/>
        </w:rPr>
        <w:t xml:space="preserve"> </w:t>
      </w:r>
      <w:r w:rsidR="0000452F">
        <w:rPr>
          <w:rFonts w:hint="cs"/>
          <w:rtl/>
        </w:rPr>
        <w:t xml:space="preserve">מה פשר כל המילים הקשות האלה? האם הם שיביאו את האדם לתשובה ומעשים טובים? </w:t>
      </w:r>
      <w:r w:rsidR="0065344A">
        <w:rPr>
          <w:rFonts w:hint="cs"/>
          <w:rtl/>
        </w:rPr>
        <w:t xml:space="preserve">כבר העלנו נושא זה בקצרה לפני עשור שנים ובינתיים גם הספקנו לדון </w:t>
      </w:r>
      <w:r w:rsidR="0000452F">
        <w:rPr>
          <w:rFonts w:hint="cs"/>
          <w:rtl/>
        </w:rPr>
        <w:t xml:space="preserve">בתוכחת ספר דברים פעמיים: בדברינו </w:t>
      </w:r>
      <w:hyperlink r:id="rId1" w:history="1">
        <w:r w:rsidR="0000452F" w:rsidRPr="00EF7AD6">
          <w:rPr>
            <w:rStyle w:val="Hyperlink"/>
            <w:rFonts w:hint="eastAsia"/>
            <w:rtl/>
            <w:lang w:eastAsia="en-US"/>
          </w:rPr>
          <w:t>וְהִשִּׂיגוּךָ</w:t>
        </w:r>
        <w:r w:rsidR="0000452F" w:rsidRPr="00EF7AD6">
          <w:rPr>
            <w:rStyle w:val="Hyperlink"/>
            <w:rFonts w:hint="cs"/>
            <w:rtl/>
          </w:rPr>
          <w:t xml:space="preserve"> מלא וְהִשִּׂיגֻךָ חסר</w:t>
        </w:r>
      </w:hyperlink>
      <w:r w:rsidR="0000452F">
        <w:rPr>
          <w:rFonts w:hint="cs"/>
          <w:rtl/>
        </w:rPr>
        <w:t xml:space="preserve"> ובדברינו </w:t>
      </w:r>
      <w:hyperlink r:id="rId2" w:history="1">
        <w:r w:rsidR="0000452F" w:rsidRPr="00EF7AD6">
          <w:rPr>
            <w:rStyle w:val="Hyperlink"/>
            <w:rFonts w:hint="cs"/>
            <w:rtl/>
          </w:rPr>
          <w:t>תוכחתו של בשר ודם</w:t>
        </w:r>
      </w:hyperlink>
      <w:r w:rsidR="0000452F">
        <w:rPr>
          <w:rFonts w:hint="cs"/>
          <w:rtl/>
        </w:rPr>
        <w:t xml:space="preserve"> בפרשה זו. ולא נתקררה דעתנו ולא קבלנו תשובה (מלאה). ואין לנו אלא לחזור לדברים שכתבנו לפני עשר שנים ולמדרש מאוצר המדרשים (אייזנשטיין) שנביא בסוף הדף.</w:t>
      </w:r>
    </w:p>
  </w:footnote>
  <w:footnote w:id="2">
    <w:p w:rsidR="00C67B4F" w:rsidRPr="007E63C5" w:rsidRDefault="00C67B4F" w:rsidP="00616ABF">
      <w:pPr>
        <w:pStyle w:val="a3"/>
        <w:rPr>
          <w:rFonts w:hint="cs"/>
          <w:rtl/>
        </w:rPr>
      </w:pPr>
      <w:r w:rsidRPr="007E63C5">
        <w:rPr>
          <w:rStyle w:val="a5"/>
        </w:rPr>
        <w:footnoteRef/>
      </w:r>
      <w:r w:rsidRPr="007E63C5">
        <w:rPr>
          <w:rtl/>
        </w:rPr>
        <w:t xml:space="preserve"> </w:t>
      </w:r>
      <w:r w:rsidRPr="007E63C5">
        <w:rPr>
          <w:rFonts w:hint="cs"/>
          <w:rtl/>
        </w:rPr>
        <w:t xml:space="preserve">המשחק כאן הוא לא במספרי הפסוקים, אלא באותיות של הברכה והקללה. בספר ויקרא, מתחילה הברכה באות אל"ף ונגמרת בתי"ו. הרי לך עשרים ושתיים אותיות האל"ף-בי"ת בברכה. ואילו הקללה, מתחילה באות וא"ו ונגמרת באות מ"ם </w:t>
      </w:r>
      <w:r w:rsidRPr="007E63C5">
        <w:rPr>
          <w:rtl/>
        </w:rPr>
        <w:t>–</w:t>
      </w:r>
      <w:r w:rsidRPr="007E63C5">
        <w:rPr>
          <w:rFonts w:hint="cs"/>
          <w:rtl/>
        </w:rPr>
        <w:t xml:space="preserve"> שמונה אותיות הפרש ביניהם. ובאופן דומה</w:t>
      </w:r>
      <w:r w:rsidR="00616ABF">
        <w:rPr>
          <w:rFonts w:hint="cs"/>
          <w:rtl/>
        </w:rPr>
        <w:t>, אבל הפוך, ב</w:t>
      </w:r>
      <w:r w:rsidRPr="007E63C5">
        <w:rPr>
          <w:rFonts w:hint="cs"/>
          <w:rtl/>
        </w:rPr>
        <w:t>פרשתנו</w:t>
      </w:r>
      <w:r w:rsidR="00616ABF">
        <w:rPr>
          <w:rFonts w:hint="cs"/>
          <w:rtl/>
        </w:rPr>
        <w:t>:</w:t>
      </w:r>
      <w:r w:rsidRPr="007E63C5">
        <w:rPr>
          <w:rFonts w:hint="cs"/>
          <w:rtl/>
        </w:rPr>
        <w:t xml:space="preserve"> הברכה </w:t>
      </w:r>
      <w:r>
        <w:rPr>
          <w:rFonts w:hint="cs"/>
          <w:rtl/>
        </w:rPr>
        <w:t>בפרשת כי תב</w:t>
      </w:r>
      <w:r w:rsidR="00F03F20">
        <w:rPr>
          <w:rFonts w:hint="cs"/>
          <w:rtl/>
        </w:rPr>
        <w:t>ו</w:t>
      </w:r>
      <w:r>
        <w:rPr>
          <w:rFonts w:hint="cs"/>
          <w:rtl/>
        </w:rPr>
        <w:t xml:space="preserve">א </w:t>
      </w:r>
      <w:r w:rsidRPr="007E63C5">
        <w:rPr>
          <w:rFonts w:hint="cs"/>
          <w:rtl/>
        </w:rPr>
        <w:t>מתחילה באות וא"ו ונגמרת באות מ"ם ואילו הקללה מתחילה בוא"ו ונגמרת בה"א</w:t>
      </w:r>
      <w:r>
        <w:rPr>
          <w:rFonts w:hint="cs"/>
          <w:rtl/>
        </w:rPr>
        <w:t xml:space="preserve"> (סיבוב שלם של אותיות האל"ף בי"ת)</w:t>
      </w:r>
      <w:r w:rsidRPr="007E63C5">
        <w:rPr>
          <w:rFonts w:hint="cs"/>
          <w:rtl/>
        </w:rPr>
        <w:t xml:space="preserve">. במספרי הפסוקים, אגב, הברכות דומות בשניהם (11, 15) ואילו בקללה ההפרש </w:t>
      </w:r>
      <w:r>
        <w:rPr>
          <w:rFonts w:hint="cs"/>
          <w:rtl/>
        </w:rPr>
        <w:t xml:space="preserve">הוא </w:t>
      </w:r>
      <w:r w:rsidRPr="007E63C5">
        <w:rPr>
          <w:rFonts w:hint="cs"/>
          <w:rtl/>
        </w:rPr>
        <w:t xml:space="preserve">ברור, 28 פסוקים בספר ויקרא לעומת 55 פסוקים בפרשתנו. </w:t>
      </w:r>
      <w:r>
        <w:rPr>
          <w:rFonts w:hint="cs"/>
          <w:rtl/>
        </w:rPr>
        <w:t xml:space="preserve">כמעט </w:t>
      </w:r>
      <w:r w:rsidRPr="007E63C5">
        <w:rPr>
          <w:rFonts w:hint="cs"/>
          <w:rtl/>
        </w:rPr>
        <w:t>פי שניים</w:t>
      </w:r>
      <w:r>
        <w:rPr>
          <w:rFonts w:hint="cs"/>
          <w:rtl/>
        </w:rPr>
        <w:t xml:space="preserve"> (שלא לדבר על התוכן והעוצמה)</w:t>
      </w:r>
      <w:r w:rsidRPr="007E63C5">
        <w:rPr>
          <w:rFonts w:hint="cs"/>
          <w:rtl/>
        </w:rPr>
        <w:t xml:space="preserve">. </w:t>
      </w:r>
    </w:p>
  </w:footnote>
  <w:footnote w:id="3">
    <w:p w:rsidR="00D61846" w:rsidRDefault="00D61846">
      <w:pPr>
        <w:pStyle w:val="a3"/>
        <w:rPr>
          <w:rFonts w:hint="cs"/>
        </w:rPr>
      </w:pPr>
      <w:r>
        <w:rPr>
          <w:rStyle w:val="a5"/>
        </w:rPr>
        <w:footnoteRef/>
      </w:r>
      <w:r>
        <w:rPr>
          <w:rtl/>
        </w:rPr>
        <w:t xml:space="preserve"> </w:t>
      </w:r>
      <w:r>
        <w:rPr>
          <w:rFonts w:hint="cs"/>
          <w:rtl/>
        </w:rPr>
        <w:t>מדרש זה שייך לקבוצה רחבה של מדרשים המשווים בין מדתו של הקב"ה למדת בשר ודם (ראה ברכות י ע"א, מ ע"א, שבת קכז ע"א, עירובין יט ע"א, יומא עה</w:t>
      </w:r>
      <w:r w:rsidRPr="00D61846">
        <w:rPr>
          <w:rFonts w:hint="cs"/>
          <w:rtl/>
        </w:rPr>
        <w:t xml:space="preserve"> </w:t>
      </w:r>
      <w:r>
        <w:rPr>
          <w:rFonts w:hint="cs"/>
          <w:rtl/>
        </w:rPr>
        <w:t xml:space="preserve">ע"א, פסחים קיט ע"א וכן רבים), אבל יש בו נופך מיוחד עליו עמדו כבר פרשנים ודרשנים רבים, אחרונים כראשונים. תיתי לחז"ל שהעבירו כביכול את מלוא כובד המשקל של דברי התוכחה הקשים מהקב"ה והטילום על כתפיו של משה (עם כל המשמעויות שיש לכך על מעמדו של ספר דברים, על מקצתן עמדנו בדברינו </w:t>
      </w:r>
      <w:hyperlink r:id="rId3" w:history="1">
        <w:r w:rsidR="00EF7AD6" w:rsidRPr="00EF7AD6">
          <w:rPr>
            <w:rStyle w:val="Hyperlink"/>
            <w:rFonts w:hint="cs"/>
            <w:rtl/>
          </w:rPr>
          <w:t xml:space="preserve">ספר דברים - </w:t>
        </w:r>
        <w:r w:rsidRPr="00EF7AD6">
          <w:rPr>
            <w:rStyle w:val="Hyperlink"/>
            <w:rFonts w:hint="cs"/>
            <w:rtl/>
          </w:rPr>
          <w:t>משנה תורה</w:t>
        </w:r>
      </w:hyperlink>
      <w:r>
        <w:rPr>
          <w:rFonts w:hint="cs"/>
          <w:rtl/>
        </w:rPr>
        <w:t xml:space="preserve"> בפרשת דברים), אבל משה עצמו, הרועה הנאמן, מי שעמד בפרץ פעמים רבות בשביל עם ישראל מדוע שהוא ידבר כך אל העם? האין בשאר ספר דברים, כולל פרשה שנייה של קריאת שמע שאנו אומרים בכל יום, מספיק תוכחות אחרות?</w:t>
      </w:r>
    </w:p>
  </w:footnote>
  <w:footnote w:id="4">
    <w:p w:rsidR="00DF6588" w:rsidRDefault="00DF6588">
      <w:pPr>
        <w:pStyle w:val="a3"/>
        <w:rPr>
          <w:rFonts w:hint="cs"/>
          <w:rtl/>
        </w:rPr>
      </w:pPr>
      <w:r>
        <w:rPr>
          <w:rStyle w:val="a5"/>
        </w:rPr>
        <w:footnoteRef/>
      </w:r>
      <w:r>
        <w:rPr>
          <w:rtl/>
        </w:rPr>
        <w:t xml:space="preserve"> </w:t>
      </w:r>
      <w:r>
        <w:rPr>
          <w:rFonts w:hint="cs"/>
          <w:rtl/>
        </w:rPr>
        <w:t xml:space="preserve">חז"ל לא ראו בתוכחה ובמוסר, אפילו בייסורים, דבר שלילי, אלא מטהר ומזכך, גם אם בדיעבד ולא לכתחילה. ראה למשל תחילת מדרש שמות רבה על גלות מצרים שהיא בבחינת "את אשר יאהב ה' </w:t>
      </w:r>
      <w:r>
        <w:rPr>
          <w:rtl/>
        </w:rPr>
        <w:t>–</w:t>
      </w:r>
      <w:r>
        <w:rPr>
          <w:rFonts w:hint="cs"/>
          <w:rtl/>
        </w:rPr>
        <w:t xml:space="preserve"> יוכיח" ולצד זה גם הביקורת על מי שחושך שבטו </w:t>
      </w:r>
      <w:r w:rsidR="00F03F20">
        <w:rPr>
          <w:rFonts w:hint="cs"/>
          <w:rtl/>
        </w:rPr>
        <w:t xml:space="preserve">שונא </w:t>
      </w:r>
      <w:r>
        <w:rPr>
          <w:rFonts w:hint="cs"/>
          <w:rtl/>
        </w:rPr>
        <w:t>בנו, כמו אברהם לישמעאל, יצחק לעשו ועוד. אבל כל אלה מאהבה או בגדרי חינוך וסופם תמיד חיובי. ראה המשך דברים רבה בסימן ט שם: "</w:t>
      </w:r>
      <w:r>
        <w:rPr>
          <w:rtl/>
        </w:rPr>
        <w:t>אמר לו הקב"ה למשה</w:t>
      </w:r>
      <w:r>
        <w:rPr>
          <w:rFonts w:hint="cs"/>
          <w:rtl/>
        </w:rPr>
        <w:t>:</w:t>
      </w:r>
      <w:r>
        <w:rPr>
          <w:rtl/>
        </w:rPr>
        <w:t xml:space="preserve"> הואיל וקיבלו עליהן תוכחותיך</w:t>
      </w:r>
      <w:r>
        <w:rPr>
          <w:rFonts w:hint="cs"/>
          <w:rtl/>
        </w:rPr>
        <w:t>,</w:t>
      </w:r>
      <w:r>
        <w:rPr>
          <w:rtl/>
        </w:rPr>
        <w:t xml:space="preserve"> צריך אתה לברכן</w:t>
      </w:r>
      <w:r>
        <w:rPr>
          <w:rFonts w:hint="cs"/>
          <w:rtl/>
        </w:rPr>
        <w:t>.</w:t>
      </w:r>
      <w:r>
        <w:rPr>
          <w:rtl/>
        </w:rPr>
        <w:t xml:space="preserve"> מיד חזר וברכן</w:t>
      </w:r>
      <w:r>
        <w:rPr>
          <w:rFonts w:hint="cs"/>
          <w:rtl/>
        </w:rPr>
        <w:t>,</w:t>
      </w:r>
      <w:r>
        <w:rPr>
          <w:rtl/>
        </w:rPr>
        <w:t xml:space="preserve"> מנין</w:t>
      </w:r>
      <w:r>
        <w:rPr>
          <w:rFonts w:hint="cs"/>
          <w:rtl/>
        </w:rPr>
        <w:t>?</w:t>
      </w:r>
      <w:r>
        <w:rPr>
          <w:rtl/>
        </w:rPr>
        <w:t xml:space="preserve"> שנאמר</w:t>
      </w:r>
      <w:r>
        <w:rPr>
          <w:rFonts w:hint="cs"/>
          <w:rtl/>
        </w:rPr>
        <w:t>:</w:t>
      </w:r>
      <w:r>
        <w:rPr>
          <w:rtl/>
        </w:rPr>
        <w:t xml:space="preserve"> ה' אלהיכם הרבה </w:t>
      </w:r>
      <w:r>
        <w:rPr>
          <w:rFonts w:hint="cs"/>
          <w:rtl/>
        </w:rPr>
        <w:t xml:space="preserve">אתכם והנכם היום ככוכבי השמים לרוב". וראה גם </w:t>
      </w:r>
      <w:r>
        <w:rPr>
          <w:rtl/>
        </w:rPr>
        <w:t>מדרש תנאים לדברים פרק א</w:t>
      </w:r>
      <w:r>
        <w:rPr>
          <w:rFonts w:hint="cs"/>
          <w:rtl/>
        </w:rPr>
        <w:t>: "</w:t>
      </w:r>
      <w:r>
        <w:rPr>
          <w:rtl/>
        </w:rPr>
        <w:t>כנסת ישראל לפי שאהבה הקב"ה כאהבת נעורים שנ</w:t>
      </w:r>
      <w:r>
        <w:rPr>
          <w:rFonts w:hint="cs"/>
          <w:rtl/>
        </w:rPr>
        <w:t xml:space="preserve">אמר: </w:t>
      </w:r>
      <w:r>
        <w:rPr>
          <w:rtl/>
        </w:rPr>
        <w:t>כי נער ישראל וא</w:t>
      </w:r>
      <w:r>
        <w:rPr>
          <w:rFonts w:hint="cs"/>
          <w:rtl/>
        </w:rPr>
        <w:t>ו</w:t>
      </w:r>
      <w:r>
        <w:rPr>
          <w:rtl/>
        </w:rPr>
        <w:t>הבהו (הושע יא א)</w:t>
      </w:r>
      <w:r>
        <w:rPr>
          <w:rFonts w:hint="cs"/>
          <w:rtl/>
        </w:rPr>
        <w:t>.</w:t>
      </w:r>
      <w:r>
        <w:rPr>
          <w:rtl/>
        </w:rPr>
        <w:t xml:space="preserve"> קלקלו מעשיהם</w:t>
      </w:r>
      <w:r>
        <w:rPr>
          <w:rFonts w:hint="cs"/>
          <w:rtl/>
        </w:rPr>
        <w:t>,</w:t>
      </w:r>
      <w:r>
        <w:rPr>
          <w:rtl/>
        </w:rPr>
        <w:t xml:space="preserve"> שנ</w:t>
      </w:r>
      <w:r>
        <w:rPr>
          <w:rFonts w:hint="cs"/>
          <w:rtl/>
        </w:rPr>
        <w:t xml:space="preserve">אמר: </w:t>
      </w:r>
      <w:r>
        <w:rPr>
          <w:rtl/>
        </w:rPr>
        <w:t>ויצמד ישראל לבעל פעור</w:t>
      </w:r>
      <w:r>
        <w:rPr>
          <w:rFonts w:hint="cs"/>
          <w:rtl/>
        </w:rPr>
        <w:t xml:space="preserve"> </w:t>
      </w:r>
      <w:r>
        <w:rPr>
          <w:rtl/>
        </w:rPr>
        <w:t>(במדבר כה ג)</w:t>
      </w:r>
      <w:r>
        <w:rPr>
          <w:rFonts w:hint="cs"/>
          <w:rtl/>
        </w:rPr>
        <w:t>,</w:t>
      </w:r>
      <w:r>
        <w:rPr>
          <w:rtl/>
        </w:rPr>
        <w:t xml:space="preserve"> עמד משה והוכיחן על כל מה שעשו ונתבישו ממנו ולא השיבו אותו דבר</w:t>
      </w:r>
      <w:r>
        <w:rPr>
          <w:rFonts w:hint="cs"/>
          <w:rtl/>
        </w:rPr>
        <w:t>.</w:t>
      </w:r>
      <w:r>
        <w:rPr>
          <w:rtl/>
        </w:rPr>
        <w:t xml:space="preserve"> באותה שעה אמר הקב"ה למשה</w:t>
      </w:r>
      <w:r>
        <w:rPr>
          <w:rFonts w:hint="cs"/>
          <w:rtl/>
        </w:rPr>
        <w:t>:</w:t>
      </w:r>
      <w:r>
        <w:rPr>
          <w:rtl/>
        </w:rPr>
        <w:t xml:space="preserve"> הואיל ושתקו וקבלו התוכחה</w:t>
      </w:r>
      <w:r>
        <w:rPr>
          <w:rFonts w:hint="cs"/>
          <w:rtl/>
        </w:rPr>
        <w:t>,</w:t>
      </w:r>
      <w:r>
        <w:rPr>
          <w:rtl/>
        </w:rPr>
        <w:t xml:space="preserve"> בָּרְכֵם</w:t>
      </w:r>
      <w:r>
        <w:rPr>
          <w:rFonts w:hint="cs"/>
          <w:rtl/>
        </w:rPr>
        <w:t>!</w:t>
      </w:r>
      <w:r>
        <w:rPr>
          <w:rtl/>
        </w:rPr>
        <w:t xml:space="preserve"> ולא במאה אלא באלף</w:t>
      </w:r>
      <w:r>
        <w:rPr>
          <w:rFonts w:hint="cs"/>
          <w:rtl/>
        </w:rPr>
        <w:t>.</w:t>
      </w:r>
      <w:r>
        <w:rPr>
          <w:rtl/>
        </w:rPr>
        <w:t xml:space="preserve"> לכך פתח משה</w:t>
      </w:r>
      <w:r>
        <w:rPr>
          <w:rFonts w:hint="cs"/>
          <w:rtl/>
        </w:rPr>
        <w:t>:</w:t>
      </w:r>
      <w:r>
        <w:rPr>
          <w:rtl/>
        </w:rPr>
        <w:t xml:space="preserve"> ה' אלהי אבותיכם י</w:t>
      </w:r>
      <w:r w:rsidR="00F03F20">
        <w:rPr>
          <w:rFonts w:hint="cs"/>
          <w:rtl/>
        </w:rPr>
        <w:t>ו</w:t>
      </w:r>
      <w:r>
        <w:rPr>
          <w:rtl/>
        </w:rPr>
        <w:t>סף על</w:t>
      </w:r>
      <w:r>
        <w:rPr>
          <w:rFonts w:hint="cs"/>
          <w:rtl/>
        </w:rPr>
        <w:t>יכם</w:t>
      </w:r>
      <w:r>
        <w:rPr>
          <w:rtl/>
        </w:rPr>
        <w:t xml:space="preserve"> ככם אלף פעמים</w:t>
      </w:r>
      <w:r>
        <w:rPr>
          <w:rFonts w:hint="cs"/>
          <w:rtl/>
        </w:rPr>
        <w:t>". הייתכן שמשה של סוף ספר דברים שונה מזה של תחילת הספר וחומשי שמות ובמדבר? האם הכעס גבר על מידותיו של משה או החשש הכבד של מה יקרה לעם שהוא נפרד ממנו כעת? אין לנו תשובה וכל היודע להשיב או יודע מי ניסה להתמודד עם שאלה קשה זו, יחיש תשובתו לנו ויבוא על שכרו. ועד שתגיע השמועה, נתנחם במדרש הפיוטי הבא שמעמיד את כל התוכחה ותועלתה בסימן שאלה ונותן תקווה ממקום אחר.</w:t>
      </w:r>
    </w:p>
  </w:footnote>
  <w:footnote w:id="5">
    <w:p w:rsidR="0082542D" w:rsidRDefault="0082542D">
      <w:pPr>
        <w:pStyle w:val="a3"/>
        <w:rPr>
          <w:rFonts w:hint="cs"/>
          <w:rtl/>
        </w:rPr>
      </w:pPr>
      <w:r>
        <w:rPr>
          <w:rStyle w:val="a5"/>
        </w:rPr>
        <w:footnoteRef/>
      </w:r>
      <w:r>
        <w:t xml:space="preserve"> </w:t>
      </w:r>
      <w:r>
        <w:rPr>
          <w:rFonts w:hint="cs"/>
          <w:rtl/>
        </w:rPr>
        <w:t xml:space="preserve"> </w:t>
      </w:r>
      <w:r>
        <w:rPr>
          <w:rFonts w:hint="cs"/>
          <w:rtl/>
        </w:rPr>
        <w:t>מדרש זה הוא על גבול הפיוט ולכן הרשינו לעצמנו לערוך אותו בשורות דמוי שירה. עריכה זו היא כולה באחריות מחלקי המים.</w:t>
      </w:r>
    </w:p>
  </w:footnote>
  <w:footnote w:id="6">
    <w:p w:rsidR="0082542D" w:rsidRDefault="0082542D" w:rsidP="00F03F20">
      <w:pPr>
        <w:pStyle w:val="a3"/>
        <w:rPr>
          <w:rFonts w:hint="cs"/>
          <w:rtl/>
        </w:rPr>
      </w:pPr>
      <w:r>
        <w:rPr>
          <w:rStyle w:val="a5"/>
        </w:rPr>
        <w:footnoteRef/>
      </w:r>
      <w:r>
        <w:t xml:space="preserve"> </w:t>
      </w:r>
      <w:r>
        <w:rPr>
          <w:rFonts w:hint="cs"/>
          <w:rtl/>
        </w:rPr>
        <w:t xml:space="preserve"> </w:t>
      </w:r>
      <w:r>
        <w:rPr>
          <w:rFonts w:hint="cs"/>
          <w:rtl/>
        </w:rPr>
        <w:t xml:space="preserve">לא יעזרו ולא יועילו התוכחה, הקללה, הייסורים וכו', </w:t>
      </w:r>
      <w:r w:rsidR="007522FD">
        <w:rPr>
          <w:rFonts w:hint="cs"/>
          <w:rtl/>
        </w:rPr>
        <w:t xml:space="preserve">אפילו לא </w:t>
      </w:r>
      <w:r w:rsidR="00864196">
        <w:rPr>
          <w:rFonts w:hint="cs"/>
          <w:rtl/>
        </w:rPr>
        <w:t xml:space="preserve">טענת </w:t>
      </w:r>
      <w:r w:rsidR="007522FD">
        <w:rPr>
          <w:rFonts w:hint="cs"/>
          <w:rtl/>
        </w:rPr>
        <w:t>חילול השם עליו זועק הנביא יחזקאל</w:t>
      </w:r>
      <w:r w:rsidR="00864196">
        <w:rPr>
          <w:rFonts w:hint="cs"/>
          <w:rtl/>
        </w:rPr>
        <w:t xml:space="preserve"> (לו כ)</w:t>
      </w:r>
      <w:r w:rsidR="007522FD">
        <w:rPr>
          <w:rFonts w:hint="cs"/>
          <w:rtl/>
        </w:rPr>
        <w:t xml:space="preserve">: </w:t>
      </w:r>
      <w:r w:rsidR="00864196">
        <w:rPr>
          <w:rFonts w:hint="cs"/>
          <w:rtl/>
        </w:rPr>
        <w:t>"</w:t>
      </w:r>
      <w:r w:rsidR="00864196">
        <w:rPr>
          <w:rtl/>
        </w:rPr>
        <w:t>וַיָּבוֹא אֶל הַגּוֹיִם אֲשֶׁר בָּאוּ שָׁם וַיְחַלְּלוּ אֶת שֵׁם קָדְשִׁי</w:t>
      </w:r>
      <w:r w:rsidR="00864196">
        <w:rPr>
          <w:rFonts w:hint="cs"/>
          <w:rtl/>
        </w:rPr>
        <w:t xml:space="preserve"> וכו' ". </w:t>
      </w:r>
      <w:r>
        <w:rPr>
          <w:rFonts w:hint="cs"/>
          <w:rtl/>
        </w:rPr>
        <w:t>לא זה מה שיביא לתיקון האדם. ראה ימים נוראים לעגנון עמוד קנה.</w:t>
      </w:r>
      <w:r w:rsidR="00D95CE0">
        <w:rPr>
          <w:rFonts w:hint="cs"/>
          <w:rtl/>
        </w:rPr>
        <w:t xml:space="preserve"> וראה עוד דעת חז"ל על כל דברי הנבואה המלאים תוכחות לישראל</w:t>
      </w:r>
      <w:r w:rsidR="00F03F20">
        <w:rPr>
          <w:rFonts w:hint="cs"/>
          <w:rtl/>
        </w:rPr>
        <w:t>, ש</w:t>
      </w:r>
      <w:r w:rsidR="00D95CE0">
        <w:rPr>
          <w:rFonts w:hint="cs"/>
          <w:rtl/>
        </w:rPr>
        <w:t>לא הועילו כמו טבעתו של אחשוורוש שנ</w:t>
      </w:r>
      <w:r w:rsidR="00F03F20">
        <w:rPr>
          <w:rFonts w:hint="cs"/>
          <w:rtl/>
        </w:rPr>
        <w:t>ת</w:t>
      </w:r>
      <w:r w:rsidR="00D95CE0">
        <w:rPr>
          <w:rFonts w:hint="cs"/>
          <w:rtl/>
        </w:rPr>
        <w:t>נה להמן: "</w:t>
      </w:r>
      <w:r w:rsidR="00D95CE0">
        <w:rPr>
          <w:rtl/>
        </w:rPr>
        <w:t>גדולה הסרת טבעת יותר מארבעים ושמונה נביאים ושבע נביאות שנתנבאו להן לישראל, שכולן לא החזירום למוטב, ואילו הסרת הטבעת החזירתן למוטב</w:t>
      </w:r>
      <w:r w:rsidR="00D95CE0">
        <w:rPr>
          <w:rFonts w:hint="cs"/>
          <w:rtl/>
        </w:rPr>
        <w:t>" (</w:t>
      </w:r>
      <w:r w:rsidR="00D95CE0">
        <w:rPr>
          <w:rtl/>
        </w:rPr>
        <w:t>מסכת מגילה דף יד עמוד א</w:t>
      </w:r>
      <w:r w:rsidR="00D95CE0">
        <w:rPr>
          <w:rFonts w:hint="cs"/>
          <w:rtl/>
        </w:rPr>
        <w:t>)</w:t>
      </w:r>
      <w:r w:rsidR="00616ABF">
        <w:rPr>
          <w:rFonts w:hint="cs"/>
          <w:rtl/>
        </w:rPr>
        <w:t>.</w:t>
      </w:r>
    </w:p>
  </w:footnote>
  <w:footnote w:id="7">
    <w:p w:rsidR="0082542D" w:rsidRDefault="0082542D">
      <w:pPr>
        <w:pStyle w:val="a3"/>
        <w:rPr>
          <w:rFonts w:hint="cs"/>
          <w:rtl/>
        </w:rPr>
      </w:pPr>
      <w:r>
        <w:rPr>
          <w:rStyle w:val="a5"/>
        </w:rPr>
        <w:footnoteRef/>
      </w:r>
      <w:r>
        <w:t xml:space="preserve"> </w:t>
      </w:r>
      <w:r>
        <w:rPr>
          <w:rFonts w:hint="cs"/>
          <w:rtl/>
        </w:rPr>
        <w:t xml:space="preserve"> </w:t>
      </w:r>
      <w:r>
        <w:rPr>
          <w:rFonts w:hint="cs"/>
          <w:rtl/>
        </w:rPr>
        <w:t>כאן יש קטע ארוך שהשמטנו שאפשר שהוא מחבר בין שני הקטעים. צריך לשוב ולעיין במקור.</w:t>
      </w:r>
    </w:p>
  </w:footnote>
  <w:footnote w:id="8">
    <w:p w:rsidR="00864196" w:rsidRDefault="0082542D" w:rsidP="00EF4235">
      <w:pPr>
        <w:pStyle w:val="a3"/>
        <w:rPr>
          <w:rFonts w:hint="cs"/>
          <w:rtl/>
        </w:rPr>
      </w:pPr>
      <w:r>
        <w:rPr>
          <w:rStyle w:val="a5"/>
        </w:rPr>
        <w:footnoteRef/>
      </w:r>
      <w:r>
        <w:t xml:space="preserve"> </w:t>
      </w:r>
      <w:r>
        <w:rPr>
          <w:rFonts w:hint="cs"/>
          <w:rtl/>
        </w:rPr>
        <w:t xml:space="preserve"> </w:t>
      </w:r>
      <w:r>
        <w:rPr>
          <w:rFonts w:hint="cs"/>
          <w:rtl/>
        </w:rPr>
        <w:t xml:space="preserve">אז מה המסקנה? מה כן יעזור? אם לא תוכחה וקללה, התראה והבטחה, ייסורים וחרמות, מה כן יביא לתיקון האדם? רק מעשיו של האדם עצמו: ענו בהמוניו, שפל בעיניו, מטה אוזניו, </w:t>
      </w:r>
      <w:r w:rsidR="004818B4">
        <w:rPr>
          <w:rFonts w:hint="cs"/>
          <w:rtl/>
        </w:rPr>
        <w:t>פוקח ע</w:t>
      </w:r>
      <w:r w:rsidR="00864196">
        <w:rPr>
          <w:rFonts w:hint="cs"/>
          <w:rtl/>
        </w:rPr>
        <w:t>י</w:t>
      </w:r>
      <w:r w:rsidR="004818B4">
        <w:rPr>
          <w:rFonts w:hint="cs"/>
          <w:rtl/>
        </w:rPr>
        <w:t xml:space="preserve">ניו, משחר פניו, </w:t>
      </w:r>
      <w:r>
        <w:rPr>
          <w:rFonts w:hint="cs"/>
          <w:rtl/>
        </w:rPr>
        <w:t>יראתו על פניו, אוהב ונאהב. ו</w:t>
      </w:r>
      <w:r w:rsidR="00864196">
        <w:rPr>
          <w:rFonts w:hint="cs"/>
          <w:rtl/>
        </w:rPr>
        <w:t>בורח מהשררה ונוהג בחכמה</w:t>
      </w:r>
      <w:r w:rsidR="00EF4235">
        <w:rPr>
          <w:rFonts w:hint="cs"/>
          <w:rtl/>
        </w:rPr>
        <w:t>,</w:t>
      </w:r>
      <w:r w:rsidR="00864196">
        <w:rPr>
          <w:rFonts w:hint="cs"/>
          <w:rtl/>
        </w:rPr>
        <w:t xml:space="preserve"> </w:t>
      </w:r>
      <w:r w:rsidR="00EF4235">
        <w:rPr>
          <w:rFonts w:hint="cs"/>
          <w:rtl/>
        </w:rPr>
        <w:t xml:space="preserve">בחמלה ובאהבה. </w:t>
      </w:r>
      <w:r w:rsidR="00864196">
        <w:rPr>
          <w:rFonts w:hint="cs"/>
          <w:rtl/>
        </w:rPr>
        <w:t>ו</w:t>
      </w:r>
      <w:r>
        <w:rPr>
          <w:rFonts w:hint="cs"/>
          <w:rtl/>
        </w:rPr>
        <w:t>עובד בשמחה</w:t>
      </w:r>
      <w:r w:rsidR="00EF4235">
        <w:rPr>
          <w:rFonts w:hint="cs"/>
          <w:rtl/>
        </w:rPr>
        <w:t xml:space="preserve"> כאשר ציווך, </w:t>
      </w:r>
      <w:r>
        <w:rPr>
          <w:rFonts w:hint="cs"/>
          <w:rtl/>
        </w:rPr>
        <w:t xml:space="preserve">גם אם הדרך </w:t>
      </w:r>
      <w:r w:rsidR="00EF4235">
        <w:rPr>
          <w:rFonts w:hint="cs"/>
          <w:rtl/>
        </w:rPr>
        <w:t>ארוכה ו</w:t>
      </w:r>
      <w:r>
        <w:rPr>
          <w:rFonts w:hint="cs"/>
          <w:rtl/>
        </w:rPr>
        <w:t>שחוחה</w:t>
      </w:r>
      <w:r w:rsidR="007817F4">
        <w:rPr>
          <w:rFonts w:hint="cs"/>
          <w:rtl/>
        </w:rPr>
        <w:t xml:space="preserve"> ולא תמיד שכרה בצידה</w:t>
      </w:r>
      <w:r>
        <w:rPr>
          <w:rFonts w:hint="cs"/>
          <w:rtl/>
        </w:rPr>
        <w:t>.</w:t>
      </w:r>
    </w:p>
  </w:footnote>
  <w:footnote w:id="9">
    <w:p w:rsidR="0082542D" w:rsidRDefault="0082542D" w:rsidP="00D95CE0">
      <w:pPr>
        <w:pStyle w:val="a3"/>
        <w:rPr>
          <w:rFonts w:hint="cs"/>
          <w:rtl/>
        </w:rPr>
      </w:pPr>
      <w:r>
        <w:rPr>
          <w:rStyle w:val="a5"/>
        </w:rPr>
        <w:footnoteRef/>
      </w:r>
      <w:r>
        <w:t xml:space="preserve"> </w:t>
      </w:r>
      <w:r>
        <w:rPr>
          <w:rFonts w:hint="cs"/>
          <w:rtl/>
        </w:rPr>
        <w:t xml:space="preserve"> </w:t>
      </w:r>
      <w:r>
        <w:rPr>
          <w:rFonts w:hint="cs"/>
          <w:rtl/>
        </w:rPr>
        <w:t>ש</w:t>
      </w:r>
      <w:r w:rsidR="004818B4">
        <w:rPr>
          <w:rFonts w:hint="eastAsia"/>
          <w:rtl/>
        </w:rPr>
        <w:t>ָׁ</w:t>
      </w:r>
      <w:r>
        <w:rPr>
          <w:rFonts w:hint="cs"/>
          <w:rtl/>
        </w:rPr>
        <w:t>ל</w:t>
      </w:r>
      <w:r w:rsidR="004818B4">
        <w:rPr>
          <w:rFonts w:hint="eastAsia"/>
          <w:rtl/>
        </w:rPr>
        <w:t>ְ</w:t>
      </w:r>
      <w:r>
        <w:rPr>
          <w:rFonts w:hint="cs"/>
          <w:rtl/>
        </w:rPr>
        <w:t>מ</w:t>
      </w:r>
      <w:r w:rsidR="004818B4">
        <w:rPr>
          <w:rFonts w:hint="eastAsia"/>
          <w:rtl/>
        </w:rPr>
        <w:t>ָ</w:t>
      </w:r>
      <w:r>
        <w:rPr>
          <w:rFonts w:hint="cs"/>
          <w:rtl/>
        </w:rPr>
        <w:t xml:space="preserve">ה </w:t>
      </w:r>
      <w:r w:rsidR="004818B4">
        <w:rPr>
          <w:rFonts w:hint="cs"/>
          <w:rtl/>
        </w:rPr>
        <w:t xml:space="preserve">(נשלמה) </w:t>
      </w:r>
      <w:r>
        <w:rPr>
          <w:rFonts w:hint="cs"/>
          <w:rtl/>
        </w:rPr>
        <w:t>מרגלית בית המדרש.</w:t>
      </w:r>
      <w:r w:rsidR="00D61846">
        <w:rPr>
          <w:rFonts w:hint="cs"/>
          <w:rtl/>
        </w:rPr>
        <w:t xml:space="preserve"> ראה הביטוי</w:t>
      </w:r>
      <w:r w:rsidR="00D61846" w:rsidRPr="00D61846">
        <w:rPr>
          <w:rtl/>
        </w:rPr>
        <w:t xml:space="preserve"> </w:t>
      </w:r>
      <w:r w:rsidR="00D61846">
        <w:rPr>
          <w:rFonts w:hint="cs"/>
          <w:rtl/>
        </w:rPr>
        <w:t>"</w:t>
      </w:r>
      <w:r w:rsidR="00D61846">
        <w:rPr>
          <w:rtl/>
        </w:rPr>
        <w:t>הוה ליה לר' אלעזר למדרש ביה מרגניתא, ודרש ביה חספא</w:t>
      </w:r>
      <w:r w:rsidR="00D61846">
        <w:rPr>
          <w:rFonts w:hint="cs"/>
          <w:rtl/>
        </w:rPr>
        <w:t>" (</w:t>
      </w:r>
      <w:r w:rsidR="00D61846">
        <w:rPr>
          <w:rtl/>
        </w:rPr>
        <w:t>מסכת יבמות צד ע</w:t>
      </w:r>
      <w:r w:rsidR="00D61846">
        <w:rPr>
          <w:rFonts w:hint="cs"/>
          <w:rtl/>
        </w:rPr>
        <w:t>"</w:t>
      </w:r>
      <w:r w:rsidR="00D61846">
        <w:rPr>
          <w:rtl/>
        </w:rPr>
        <w:t>א</w:t>
      </w:r>
      <w:r w:rsidR="00D61846">
        <w:rPr>
          <w:rFonts w:hint="cs"/>
          <w:rtl/>
        </w:rPr>
        <w:t xml:space="preserve">) </w:t>
      </w:r>
      <w:r w:rsidR="00D61846">
        <w:rPr>
          <w:rtl/>
        </w:rPr>
        <w:t>–</w:t>
      </w:r>
      <w:r w:rsidR="00D61846">
        <w:rPr>
          <w:rFonts w:hint="cs"/>
          <w:rtl/>
        </w:rPr>
        <w:t xml:space="preserve"> היה לו לר' אלעזר (אפשרות) לדרוש בו מרגלית, ודרש חרס. </w:t>
      </w:r>
      <w:r w:rsidR="00981AF4">
        <w:rPr>
          <w:rFonts w:hint="cs"/>
          <w:rtl/>
        </w:rPr>
        <w:t>ומדרש (אייזנשטיין) הנ"ל נראה מרגלית אמתית.</w:t>
      </w:r>
      <w:r w:rsidR="00D61846">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42D" w:rsidRDefault="0082542D">
    <w:pPr>
      <w:pStyle w:val="1"/>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A27406">
      <w:rPr>
        <w:rtl/>
        <w:lang w:eastAsia="en-US"/>
      </w:rPr>
      <w:t>כי תבוא, שישית לנחמה</w:t>
    </w:r>
    <w:r>
      <w:rPr>
        <w:rtl/>
        <w:lang w:eastAsia="en-US"/>
      </w:rPr>
      <w:fldChar w:fldCharType="end"/>
    </w:r>
    <w:r>
      <w:rPr>
        <w:rtl/>
        <w:lang w:eastAsia="en-US"/>
      </w:rPr>
      <w:tab/>
      <w:t>תשס</w:t>
    </w:r>
    <w:r>
      <w:rPr>
        <w:rFonts w:hint="cs"/>
        <w:rtl/>
        <w:lang w:eastAsia="en-US"/>
      </w:rPr>
      <w:t>"ב</w:t>
    </w:r>
    <w:r w:rsidR="003B74BA">
      <w:rPr>
        <w:rFonts w:hint="cs"/>
        <w:rtl/>
        <w:lang w:eastAsia="en-US"/>
      </w:rPr>
      <w:t>, תשע"ב</w:t>
    </w:r>
  </w:p>
  <w:p w:rsidR="0082542D" w:rsidRDefault="0082542D">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42D" w:rsidRDefault="0082542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27406">
      <w:rPr>
        <w:szCs w:val="24"/>
        <w:rtl/>
        <w:lang w:eastAsia="en-US"/>
      </w:rPr>
      <w:t>כי תבוא, שישית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61539">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44"/>
    <w:rsid w:val="0000452F"/>
    <w:rsid w:val="000E3255"/>
    <w:rsid w:val="001F222B"/>
    <w:rsid w:val="00383168"/>
    <w:rsid w:val="003B74BA"/>
    <w:rsid w:val="00461539"/>
    <w:rsid w:val="004818B4"/>
    <w:rsid w:val="0058205E"/>
    <w:rsid w:val="00616ABF"/>
    <w:rsid w:val="0065344A"/>
    <w:rsid w:val="006805F1"/>
    <w:rsid w:val="006E1584"/>
    <w:rsid w:val="00702893"/>
    <w:rsid w:val="007128C3"/>
    <w:rsid w:val="007522FD"/>
    <w:rsid w:val="007817F4"/>
    <w:rsid w:val="0082542D"/>
    <w:rsid w:val="00864196"/>
    <w:rsid w:val="008F1848"/>
    <w:rsid w:val="00981AF4"/>
    <w:rsid w:val="009F0DC3"/>
    <w:rsid w:val="00A27406"/>
    <w:rsid w:val="00A87579"/>
    <w:rsid w:val="00AF5D7A"/>
    <w:rsid w:val="00C67B4F"/>
    <w:rsid w:val="00D15403"/>
    <w:rsid w:val="00D61846"/>
    <w:rsid w:val="00D95CE0"/>
    <w:rsid w:val="00DF122E"/>
    <w:rsid w:val="00DF6588"/>
    <w:rsid w:val="00E0102E"/>
    <w:rsid w:val="00E77F40"/>
    <w:rsid w:val="00EC2344"/>
    <w:rsid w:val="00EF4235"/>
    <w:rsid w:val="00EF7AD6"/>
    <w:rsid w:val="00F03F20"/>
    <w:rsid w:val="00FA0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9D2F6CE-7C7B-4C6A-B733-5FEF7195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539"/>
    <w:pPr>
      <w:bidi/>
    </w:pPr>
    <w:rPr>
      <w:rFonts w:cs="Narkisim"/>
      <w:sz w:val="22"/>
      <w:szCs w:val="22"/>
      <w:lang w:eastAsia="he-IL"/>
    </w:rPr>
  </w:style>
  <w:style w:type="paragraph" w:styleId="1">
    <w:name w:val="heading 1"/>
    <w:basedOn w:val="a"/>
    <w:next w:val="a"/>
    <w:link w:val="10"/>
    <w:qFormat/>
    <w:rsid w:val="00461539"/>
    <w:pPr>
      <w:keepNext/>
      <w:tabs>
        <w:tab w:val="right" w:pos="9469"/>
      </w:tabs>
      <w:jc w:val="both"/>
      <w:outlineLvl w:val="0"/>
    </w:pPr>
    <w:rPr>
      <w:rFonts w:cs="David"/>
      <w:b/>
      <w:bCs/>
      <w:szCs w:val="28"/>
    </w:rPr>
  </w:style>
  <w:style w:type="character" w:default="1" w:styleId="a0">
    <w:name w:val="Default Paragraph Font"/>
    <w:uiPriority w:val="1"/>
    <w:semiHidden/>
    <w:unhideWhenUsed/>
    <w:rsid w:val="0046153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61539"/>
  </w:style>
  <w:style w:type="paragraph" w:styleId="a3">
    <w:name w:val="footnote text"/>
    <w:basedOn w:val="a"/>
    <w:link w:val="a4"/>
    <w:rsid w:val="00461539"/>
    <w:pPr>
      <w:ind w:left="170" w:hanging="170"/>
      <w:jc w:val="both"/>
    </w:pPr>
    <w:rPr>
      <w:sz w:val="20"/>
      <w:szCs w:val="20"/>
    </w:rPr>
  </w:style>
  <w:style w:type="character" w:styleId="a5">
    <w:name w:val="footnote reference"/>
    <w:semiHidden/>
    <w:rsid w:val="00461539"/>
    <w:rPr>
      <w:vertAlign w:val="superscript"/>
    </w:rPr>
  </w:style>
  <w:style w:type="paragraph" w:styleId="a6">
    <w:name w:val="header"/>
    <w:basedOn w:val="a"/>
    <w:link w:val="a7"/>
    <w:rsid w:val="00461539"/>
    <w:pPr>
      <w:tabs>
        <w:tab w:val="center" w:pos="4153"/>
        <w:tab w:val="right" w:pos="8306"/>
      </w:tabs>
    </w:pPr>
  </w:style>
  <w:style w:type="paragraph" w:styleId="a8">
    <w:name w:val="footer"/>
    <w:basedOn w:val="a"/>
    <w:link w:val="a9"/>
    <w:rsid w:val="00461539"/>
    <w:pPr>
      <w:tabs>
        <w:tab w:val="center" w:pos="4153"/>
        <w:tab w:val="right" w:pos="8306"/>
      </w:tabs>
    </w:pPr>
  </w:style>
  <w:style w:type="paragraph" w:customStyle="1" w:styleId="aa">
    <w:name w:val="כותרת"/>
    <w:basedOn w:val="a"/>
    <w:rsid w:val="00461539"/>
    <w:pPr>
      <w:spacing w:before="240" w:line="320" w:lineRule="atLeast"/>
      <w:jc w:val="center"/>
    </w:pPr>
    <w:rPr>
      <w:rFonts w:cs="David"/>
      <w:b/>
      <w:bCs/>
      <w:spacing w:val="20"/>
      <w:szCs w:val="32"/>
    </w:rPr>
  </w:style>
  <w:style w:type="paragraph" w:customStyle="1" w:styleId="ab">
    <w:name w:val="כותרת קטע"/>
    <w:basedOn w:val="a"/>
    <w:rsid w:val="00461539"/>
    <w:pPr>
      <w:spacing w:before="240" w:line="300" w:lineRule="atLeast"/>
    </w:pPr>
    <w:rPr>
      <w:rFonts w:cs="Arial"/>
      <w:b/>
      <w:bCs/>
      <w:szCs w:val="24"/>
    </w:rPr>
  </w:style>
  <w:style w:type="paragraph" w:customStyle="1" w:styleId="ac">
    <w:name w:val="מקור"/>
    <w:basedOn w:val="a"/>
    <w:rsid w:val="00461539"/>
    <w:pPr>
      <w:spacing w:line="320" w:lineRule="atLeast"/>
      <w:jc w:val="both"/>
    </w:pPr>
    <w:rPr>
      <w:rFonts w:cs="David"/>
      <w:szCs w:val="24"/>
    </w:rPr>
  </w:style>
  <w:style w:type="paragraph" w:customStyle="1" w:styleId="ad">
    <w:name w:val="מחלקי המים"/>
    <w:basedOn w:val="a"/>
    <w:rsid w:val="00461539"/>
    <w:pPr>
      <w:spacing w:line="320" w:lineRule="atLeast"/>
      <w:jc w:val="both"/>
    </w:pPr>
    <w:rPr>
      <w:b/>
      <w:bCs/>
      <w:szCs w:val="24"/>
    </w:rPr>
  </w:style>
  <w:style w:type="character" w:customStyle="1" w:styleId="a4">
    <w:name w:val="טקסט הערת שוליים תו"/>
    <w:link w:val="a3"/>
    <w:rsid w:val="00461539"/>
    <w:rPr>
      <w:rFonts w:cs="Narkisim"/>
      <w:lang w:eastAsia="he-IL"/>
    </w:rPr>
  </w:style>
  <w:style w:type="character" w:customStyle="1" w:styleId="10">
    <w:name w:val="כותרת 1 תו"/>
    <w:link w:val="1"/>
    <w:rsid w:val="00461539"/>
    <w:rPr>
      <w:rFonts w:cs="David"/>
      <w:b/>
      <w:bCs/>
      <w:sz w:val="22"/>
      <w:szCs w:val="28"/>
      <w:lang w:eastAsia="he-IL"/>
    </w:rPr>
  </w:style>
  <w:style w:type="character" w:customStyle="1" w:styleId="a7">
    <w:name w:val="כותרת עליונה תו"/>
    <w:link w:val="a6"/>
    <w:rsid w:val="00461539"/>
    <w:rPr>
      <w:rFonts w:cs="Narkisim"/>
      <w:sz w:val="22"/>
      <w:szCs w:val="22"/>
      <w:lang w:eastAsia="he-IL"/>
    </w:rPr>
  </w:style>
  <w:style w:type="character" w:customStyle="1" w:styleId="a9">
    <w:name w:val="כותרת תחתונה תו"/>
    <w:link w:val="a8"/>
    <w:rsid w:val="00461539"/>
    <w:rPr>
      <w:rFonts w:cs="Narkisim"/>
      <w:sz w:val="22"/>
      <w:szCs w:val="22"/>
      <w:lang w:eastAsia="he-IL"/>
    </w:rPr>
  </w:style>
  <w:style w:type="character" w:styleId="ae">
    <w:name w:val="page number"/>
    <w:rsid w:val="00D95CE0"/>
  </w:style>
  <w:style w:type="character" w:styleId="Hyperlink">
    <w:name w:val="Hyperlink"/>
    <w:rsid w:val="00461539"/>
    <w:rPr>
      <w:color w:val="0000FF"/>
      <w:u w:val="single"/>
    </w:rPr>
  </w:style>
  <w:style w:type="paragraph" w:styleId="af">
    <w:name w:val="Balloon Text"/>
    <w:basedOn w:val="a"/>
    <w:link w:val="af0"/>
    <w:uiPriority w:val="99"/>
    <w:semiHidden/>
    <w:unhideWhenUsed/>
    <w:rsid w:val="00461539"/>
    <w:rPr>
      <w:rFonts w:ascii="Tahoma" w:hAnsi="Tahoma" w:cs="Tahoma"/>
      <w:sz w:val="16"/>
      <w:szCs w:val="16"/>
    </w:rPr>
  </w:style>
  <w:style w:type="character" w:customStyle="1" w:styleId="af0">
    <w:name w:val="טקסט בלונים תו"/>
    <w:link w:val="af"/>
    <w:uiPriority w:val="99"/>
    <w:semiHidden/>
    <w:rsid w:val="0046153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www.mayim.org.il/?parasha=%d7%aa%d7%95%d7%9b%d7%97%d7%aa%d7%95-%d7%a9%d7%9c-%d7%91%d7%a9%d7%a8-%d7%95%d7%93%d7%9d" TargetMode="External"/><Relationship Id="rId1" Type="http://schemas.openxmlformats.org/officeDocument/2006/relationships/hyperlink" Target="http://www.mayim.org.il/?parasha=%d7%95%d6%b0%d7%94%d6%b4%d7%a9%d6%bc%d7%82%d6%b4%d7%99%d7%92%d7%95%d6%bc%d7%9a%d6%b8-%d7%9e%d7%9c%d7%90-%d7%95%d6%b0%d7%94%d6%b4%d7%a9%d6%bc%d7%82%d6%b4%d7%99%d7%92%d6%bb%d7%9a%d6%b8-%d7%97%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48C3-865E-42F3-B9BE-3E147422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328</Words>
  <Characters>1644</Characters>
  <Application>Microsoft Office Word</Application>
  <DocSecurity>4</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התוכחה</vt:lpstr>
      <vt:lpstr>על התוכחה</vt:lpstr>
    </vt:vector>
  </TitlesOfParts>
  <Company>Microsoft</Company>
  <LinksUpToDate>false</LinksUpToDate>
  <CharactersWithSpaces>1969</CharactersWithSpaces>
  <SharedDoc>false</SharedDoc>
  <HLinks>
    <vt:vector size="18" baseType="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6160470</vt:i4>
      </vt:variant>
      <vt:variant>
        <vt:i4>3</vt:i4>
      </vt:variant>
      <vt:variant>
        <vt:i4>0</vt:i4>
      </vt:variant>
      <vt:variant>
        <vt:i4>5</vt:i4>
      </vt:variant>
      <vt:variant>
        <vt:lpwstr>http://www.mayim.org.il/?parasha=%d7%aa%d7%95%d7%9b%d7%97%d7%aa%d7%95-%d7%a9%d7%9c-%d7%91%d7%a9%d7%a8-%d7%95%d7%93%d7%9d</vt:lpwstr>
      </vt:variant>
      <vt:variant>
        <vt:lpwstr/>
      </vt:variant>
      <vt:variant>
        <vt:i4>5636103</vt:i4>
      </vt:variant>
      <vt:variant>
        <vt:i4>0</vt:i4>
      </vt:variant>
      <vt:variant>
        <vt:i4>0</vt:i4>
      </vt:variant>
      <vt:variant>
        <vt:i4>5</vt:i4>
      </vt:variant>
      <vt:variant>
        <vt:lpwstr>http://www.mayim.org.il/?parasha=%d7%95%d6%b0%d7%94%d6%b4%d7%a9%d6%bc%d7%82%d6%b4%d7%99%d7%92%d7%95%d6%bc%d7%9a%d6%b8-%d7%9e%d7%9c%d7%90-%d7%95%d6%b0%d7%94%d6%b4%d7%a9%d6%bc%d7%82%d6%b4%d7%99%d7%92%d6%bb%d7%9a%d6%b8-%d7%97%d7%a1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התוכחה</dc:title>
  <dc:subject>כי תבוא, שישית לנחמה</dc:subject>
  <dc:creator>Asher Yuval</dc:creator>
  <cp:keywords/>
  <dc:description/>
  <cp:lastModifiedBy>שמעון אפק</cp:lastModifiedBy>
  <cp:revision>2</cp:revision>
  <cp:lastPrinted>2012-09-07T14:21:00Z</cp:lastPrinted>
  <dcterms:created xsi:type="dcterms:W3CDTF">2018-08-26T05:37:00Z</dcterms:created>
  <dcterms:modified xsi:type="dcterms:W3CDTF">2018-08-26T05:37:00Z</dcterms:modified>
</cp:coreProperties>
</file>