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Default="000822F6">
      <w:pPr>
        <w:pStyle w:val="aa"/>
        <w:spacing w:line="360" w:lineRule="auto"/>
        <w:rPr>
          <w:rFonts w:hint="cs"/>
          <w:rtl/>
        </w:rPr>
      </w:pPr>
      <w:bookmarkStart w:id="0" w:name="_GoBack"/>
      <w:bookmarkEnd w:id="0"/>
      <w:r>
        <w:rPr>
          <w:rFonts w:hint="cs"/>
          <w:rtl/>
        </w:rPr>
        <w:t>דברה תורה כלשון בני אדם</w:t>
      </w:r>
    </w:p>
    <w:p w:rsidR="00DA4683" w:rsidRPr="00DA4683" w:rsidRDefault="00DA4683" w:rsidP="001B03D8">
      <w:pPr>
        <w:pStyle w:val="ac"/>
        <w:spacing w:before="240"/>
        <w:rPr>
          <w:rFonts w:cs="Narkisim"/>
          <w:szCs w:val="22"/>
          <w:rtl/>
        </w:rPr>
      </w:pPr>
      <w:r w:rsidRPr="0051587B">
        <w:rPr>
          <w:rFonts w:cs="Narkisim" w:hint="cs"/>
          <w:b/>
          <w:bCs/>
          <w:szCs w:val="22"/>
          <w:rtl/>
        </w:rPr>
        <w:t>מים ראשונים:</w:t>
      </w:r>
      <w:r w:rsidRPr="00DA4683">
        <w:rPr>
          <w:rFonts w:cs="Narkisim" w:hint="cs"/>
          <w:szCs w:val="22"/>
          <w:rtl/>
        </w:rPr>
        <w:t xml:space="preserve"> </w:t>
      </w:r>
      <w:r w:rsidR="000822F6">
        <w:rPr>
          <w:rFonts w:cs="Narkisim" w:hint="cs"/>
          <w:szCs w:val="22"/>
          <w:rtl/>
        </w:rPr>
        <w:t>הנושא שבחרנו לדון בו הפעם מוזכר בחז"ל פעמים רבות וחוצה את המקרא והתלמוד</w:t>
      </w:r>
      <w:r w:rsidR="008C7FDC">
        <w:rPr>
          <w:rFonts w:cs="Narkisim" w:hint="cs"/>
          <w:szCs w:val="22"/>
          <w:rtl/>
        </w:rPr>
        <w:t xml:space="preserve"> לכל רוחבם</w:t>
      </w:r>
      <w:r w:rsidR="000822F6">
        <w:rPr>
          <w:rFonts w:cs="Narkisim" w:hint="cs"/>
          <w:szCs w:val="22"/>
          <w:rtl/>
        </w:rPr>
        <w:t xml:space="preserve">, בדומה, למשל, לכלל 'אין מוקדם ומאוחר בתורה' </w:t>
      </w:r>
      <w:r w:rsidR="008C7FDC">
        <w:rPr>
          <w:rFonts w:cs="Narkisim" w:hint="cs"/>
          <w:szCs w:val="22"/>
          <w:rtl/>
        </w:rPr>
        <w:t xml:space="preserve">עליו כבר זכינו לדון פעמיים, בפרשות </w:t>
      </w:r>
      <w:hyperlink r:id="rId7" w:history="1">
        <w:r w:rsidR="008C7FDC" w:rsidRPr="00222EDE">
          <w:rPr>
            <w:rStyle w:val="Hyperlink"/>
            <w:rFonts w:cs="Narkisim" w:hint="cs"/>
            <w:szCs w:val="22"/>
            <w:rtl/>
          </w:rPr>
          <w:t>בהעלותך</w:t>
        </w:r>
      </w:hyperlink>
      <w:r w:rsidR="008C7FDC">
        <w:rPr>
          <w:rFonts w:cs="Narkisim" w:hint="cs"/>
          <w:szCs w:val="22"/>
          <w:rtl/>
        </w:rPr>
        <w:t xml:space="preserve"> ו</w:t>
      </w:r>
      <w:hyperlink r:id="rId8" w:history="1">
        <w:r w:rsidR="008C7FDC" w:rsidRPr="00222EDE">
          <w:rPr>
            <w:rStyle w:val="Hyperlink"/>
            <w:rFonts w:cs="Narkisim" w:hint="cs"/>
            <w:szCs w:val="22"/>
            <w:rtl/>
          </w:rPr>
          <w:t>במדבר</w:t>
        </w:r>
      </w:hyperlink>
      <w:r w:rsidR="004A2684">
        <w:rPr>
          <w:rFonts w:cs="Narkisim" w:hint="cs"/>
          <w:szCs w:val="22"/>
          <w:rtl/>
        </w:rPr>
        <w:t>;</w:t>
      </w:r>
      <w:r w:rsidR="008C7FDC">
        <w:rPr>
          <w:rFonts w:cs="Narkisim" w:hint="cs"/>
          <w:szCs w:val="22"/>
          <w:rtl/>
        </w:rPr>
        <w:t xml:space="preserve"> </w:t>
      </w:r>
      <w:r w:rsidR="000822F6">
        <w:rPr>
          <w:rFonts w:cs="Narkisim" w:hint="cs"/>
          <w:szCs w:val="22"/>
          <w:rtl/>
        </w:rPr>
        <w:t xml:space="preserve">(על שניהם אגב, יש שחולקים ואין הם כללים המוסכמים על הכל). ניתן </w:t>
      </w:r>
      <w:r w:rsidR="004A2684">
        <w:rPr>
          <w:rFonts w:cs="Narkisim" w:hint="cs"/>
          <w:szCs w:val="22"/>
          <w:rtl/>
        </w:rPr>
        <w:t xml:space="preserve">לפיכך </w:t>
      </w:r>
      <w:r w:rsidR="000822F6">
        <w:rPr>
          <w:rFonts w:cs="Narkisim" w:hint="cs"/>
          <w:szCs w:val="22"/>
          <w:rtl/>
        </w:rPr>
        <w:t>'להדביק' את</w:t>
      </w:r>
      <w:r w:rsidR="004A2684">
        <w:rPr>
          <w:rFonts w:cs="Narkisim" w:hint="cs"/>
          <w:szCs w:val="22"/>
          <w:rtl/>
        </w:rPr>
        <w:t xml:space="preserve"> נושאנ</w:t>
      </w:r>
      <w:r w:rsidR="000822F6">
        <w:rPr>
          <w:rFonts w:cs="Narkisim" w:hint="cs"/>
          <w:szCs w:val="22"/>
          <w:rtl/>
        </w:rPr>
        <w:t>ו למספר פרשות בתורה, בהקשר להלכות בהן נזכר כלל זה</w:t>
      </w:r>
      <w:r w:rsidR="0049587F">
        <w:rPr>
          <w:rFonts w:cs="Narkisim" w:hint="cs"/>
          <w:szCs w:val="22"/>
          <w:rtl/>
        </w:rPr>
        <w:t>.</w:t>
      </w:r>
      <w:r w:rsidR="000822F6">
        <w:rPr>
          <w:rFonts w:cs="Narkisim" w:hint="cs"/>
          <w:szCs w:val="22"/>
          <w:rtl/>
        </w:rPr>
        <w:t xml:space="preserve"> מכולן בחרנו, בשבת </w:t>
      </w:r>
      <w:r w:rsidR="007339F8">
        <w:rPr>
          <w:rFonts w:cs="Narkisim" w:hint="cs"/>
          <w:szCs w:val="22"/>
          <w:rtl/>
        </w:rPr>
        <w:t xml:space="preserve">נשא, </w:t>
      </w:r>
      <w:r w:rsidR="000822F6">
        <w:rPr>
          <w:rFonts w:cs="Narkisim" w:hint="cs"/>
          <w:szCs w:val="22"/>
          <w:rtl/>
        </w:rPr>
        <w:t>בדין נדר</w:t>
      </w:r>
      <w:r w:rsidR="007339F8">
        <w:rPr>
          <w:rFonts w:cs="Narkisim" w:hint="cs"/>
          <w:szCs w:val="22"/>
          <w:rtl/>
        </w:rPr>
        <w:t xml:space="preserve"> נזיר</w:t>
      </w:r>
      <w:r w:rsidR="000822F6">
        <w:rPr>
          <w:rFonts w:cs="Narkisim" w:hint="cs"/>
          <w:szCs w:val="22"/>
          <w:rtl/>
        </w:rPr>
        <w:t>, כפי שנראה להלן</w:t>
      </w:r>
      <w:r w:rsidR="0051587B">
        <w:rPr>
          <w:rFonts w:cs="Narkisim" w:hint="cs"/>
          <w:szCs w:val="22"/>
          <w:rtl/>
        </w:rPr>
        <w:t>.</w:t>
      </w:r>
      <w:r w:rsidR="004A2684">
        <w:rPr>
          <w:rFonts w:cs="Narkisim" w:hint="cs"/>
          <w:szCs w:val="22"/>
          <w:rtl/>
        </w:rPr>
        <w:t xml:space="preserve"> ובאשר לדקדוק אם לומר: "</w:t>
      </w:r>
      <w:r w:rsidR="004A2684" w:rsidRPr="004A2684">
        <w:rPr>
          <w:rFonts w:cs="Narkisim" w:hint="cs"/>
          <w:b/>
          <w:bCs/>
          <w:sz w:val="24"/>
          <w:rtl/>
        </w:rPr>
        <w:t>כ</w:t>
      </w:r>
      <w:r w:rsidR="004A2684">
        <w:rPr>
          <w:rFonts w:cs="Narkisim" w:hint="cs"/>
          <w:szCs w:val="22"/>
          <w:rtl/>
        </w:rPr>
        <w:t>לשון בני אדם" או "</w:t>
      </w:r>
      <w:r w:rsidR="004A2684" w:rsidRPr="004A2684">
        <w:rPr>
          <w:rFonts w:cs="Narkisim" w:hint="cs"/>
          <w:b/>
          <w:bCs/>
          <w:sz w:val="24"/>
          <w:rtl/>
        </w:rPr>
        <w:t>ב</w:t>
      </w:r>
      <w:r w:rsidR="004A2684">
        <w:rPr>
          <w:rFonts w:cs="Narkisim" w:hint="cs"/>
          <w:szCs w:val="22"/>
          <w:rtl/>
        </w:rPr>
        <w:t xml:space="preserve">לשון בני אדם", במקורות חז"ל הלשון היא תמיד "כלשון בני אדם", אבל מתקופת המדרשים המאוחרים והראשונים, </w:t>
      </w:r>
      <w:r w:rsidR="001B03D8">
        <w:rPr>
          <w:rFonts w:cs="Narkisim" w:hint="cs"/>
          <w:szCs w:val="22"/>
          <w:rtl/>
        </w:rPr>
        <w:t xml:space="preserve">השתקע גם הלשון </w:t>
      </w:r>
      <w:r w:rsidR="004A2684">
        <w:rPr>
          <w:rFonts w:cs="Narkisim" w:hint="cs"/>
          <w:szCs w:val="22"/>
          <w:rtl/>
        </w:rPr>
        <w:t>"בלשון בני אדם"</w:t>
      </w:r>
      <w:r w:rsidR="004A2684" w:rsidRPr="004A2684">
        <w:rPr>
          <w:rFonts w:cs="Narkisim" w:hint="cs"/>
          <w:szCs w:val="22"/>
          <w:rtl/>
        </w:rPr>
        <w:t xml:space="preserve"> </w:t>
      </w:r>
      <w:r w:rsidR="004A2684">
        <w:rPr>
          <w:rFonts w:cs="Narkisim" w:hint="cs"/>
          <w:szCs w:val="22"/>
          <w:rtl/>
        </w:rPr>
        <w:t xml:space="preserve">ונראה שאין הבדל משמעותי ביניהם. </w:t>
      </w:r>
      <w:r w:rsidR="0012745E">
        <w:rPr>
          <w:rFonts w:cs="Narkisim" w:hint="cs"/>
          <w:szCs w:val="22"/>
          <w:rtl/>
        </w:rPr>
        <w:t xml:space="preserve">זהו לשון בני אדם. </w:t>
      </w:r>
      <w:r w:rsidR="004A2684">
        <w:rPr>
          <w:rFonts w:cs="Narkisim" w:hint="cs"/>
          <w:szCs w:val="22"/>
          <w:rtl/>
        </w:rPr>
        <w:t xml:space="preserve">והרוצים לדקדק </w:t>
      </w:r>
      <w:r w:rsidR="004A2684">
        <w:rPr>
          <w:rFonts w:cs="Narkisim"/>
          <w:szCs w:val="22"/>
          <w:rtl/>
        </w:rPr>
        <w:t>–</w:t>
      </w:r>
      <w:r w:rsidR="004A2684">
        <w:rPr>
          <w:rFonts w:cs="Narkisim" w:hint="cs"/>
          <w:szCs w:val="22"/>
          <w:rtl/>
        </w:rPr>
        <w:t xml:space="preserve"> ידקדקו.</w:t>
      </w:r>
    </w:p>
    <w:p w:rsidR="00DA4683" w:rsidRDefault="000822F6" w:rsidP="00744119">
      <w:pPr>
        <w:pStyle w:val="ac"/>
        <w:spacing w:before="240"/>
        <w:rPr>
          <w:rFonts w:cs="Narkisim" w:hint="cs"/>
          <w:szCs w:val="22"/>
          <w:rtl/>
        </w:rPr>
      </w:pPr>
      <w:r w:rsidRPr="000822F6">
        <w:rPr>
          <w:b/>
          <w:bCs/>
          <w:rtl/>
        </w:rPr>
        <w:t>דַּבֵּר אֶל־בְּנֵי יִשְׂרָאֵל וְאָמַרְתָּ אֲלֵהֶם אִישׁ אוֹ־אִשָּׁה כִּי יַפְלִא לִנְדֹּר נֶדֶר נָזִיר לְהַזִּיר לַ</w:t>
      </w:r>
      <w:r w:rsidR="00744119">
        <w:rPr>
          <w:rFonts w:hint="cs"/>
          <w:b/>
          <w:bCs/>
          <w:rtl/>
        </w:rPr>
        <w:t>ה'</w:t>
      </w:r>
      <w:r w:rsidRPr="000822F6">
        <w:rPr>
          <w:b/>
          <w:bCs/>
          <w:rtl/>
        </w:rPr>
        <w:t xml:space="preserve">: </w:t>
      </w:r>
      <w:r w:rsidR="00DA4683">
        <w:rPr>
          <w:rFonts w:hint="cs"/>
          <w:b/>
          <w:bCs/>
          <w:rtl/>
        </w:rPr>
        <w:t xml:space="preserve"> </w:t>
      </w:r>
      <w:r w:rsidR="00DA4683">
        <w:rPr>
          <w:rFonts w:cs="Narkisim" w:hint="cs"/>
          <w:szCs w:val="22"/>
          <w:rtl/>
        </w:rPr>
        <w:t>(</w:t>
      </w:r>
      <w:r w:rsidR="00DA4683" w:rsidRPr="00DA4683">
        <w:rPr>
          <w:rFonts w:cs="Narkisim"/>
          <w:szCs w:val="22"/>
          <w:rtl/>
        </w:rPr>
        <w:t xml:space="preserve">במדבר </w:t>
      </w:r>
      <w:r>
        <w:rPr>
          <w:rFonts w:cs="Narkisim" w:hint="cs"/>
          <w:szCs w:val="22"/>
          <w:rtl/>
        </w:rPr>
        <w:t>ו ב</w:t>
      </w:r>
      <w:r w:rsidR="00DA4683">
        <w:rPr>
          <w:rFonts w:cs="Narkisim" w:hint="cs"/>
          <w:szCs w:val="22"/>
          <w:rtl/>
        </w:rPr>
        <w:t>).</w:t>
      </w:r>
      <w:r w:rsidR="008B6179">
        <w:rPr>
          <w:rStyle w:val="a5"/>
          <w:rFonts w:cs="Narkisim"/>
          <w:szCs w:val="22"/>
          <w:rtl/>
        </w:rPr>
        <w:footnoteReference w:id="1"/>
      </w:r>
      <w:r w:rsidR="00DA4683" w:rsidRPr="00DA4683">
        <w:rPr>
          <w:rFonts w:cs="Narkisim"/>
          <w:szCs w:val="22"/>
          <w:rtl/>
        </w:rPr>
        <w:t xml:space="preserve"> </w:t>
      </w:r>
    </w:p>
    <w:p w:rsidR="00744119" w:rsidRDefault="00744119" w:rsidP="00744119">
      <w:pPr>
        <w:pStyle w:val="ab"/>
        <w:rPr>
          <w:rtl/>
        </w:rPr>
      </w:pPr>
      <w:r>
        <w:rPr>
          <w:rtl/>
        </w:rPr>
        <w:t xml:space="preserve">מסכת נדרים דף ג עמוד א </w:t>
      </w:r>
    </w:p>
    <w:p w:rsidR="005452FE" w:rsidRDefault="00744119" w:rsidP="005452FE">
      <w:pPr>
        <w:pStyle w:val="ac"/>
        <w:rPr>
          <w:rFonts w:hint="cs"/>
          <w:rtl/>
        </w:rPr>
      </w:pPr>
      <w:r>
        <w:rPr>
          <w:rtl/>
        </w:rPr>
        <w:t>ותניא: נזיר להזיר - לעשות כינויי נזירות כנזירות, וידות נזירות כנזירות</w:t>
      </w:r>
      <w:r w:rsidR="008B6179">
        <w:rPr>
          <w:rFonts w:hint="cs"/>
          <w:rtl/>
        </w:rPr>
        <w:t>.</w:t>
      </w:r>
      <w:r w:rsidR="008B6179">
        <w:rPr>
          <w:rStyle w:val="a5"/>
          <w:rtl/>
        </w:rPr>
        <w:footnoteReference w:id="2"/>
      </w:r>
      <w:r>
        <w:rPr>
          <w:rtl/>
        </w:rPr>
        <w:t xml:space="preserve"> אין לי אלא בנזירות, בנדרים מנין? </w:t>
      </w:r>
      <w:r w:rsidR="009815F0">
        <w:rPr>
          <w:rtl/>
        </w:rPr>
        <w:t>תלמוד לומר</w:t>
      </w:r>
      <w:r>
        <w:rPr>
          <w:rtl/>
        </w:rPr>
        <w:t xml:space="preserve">: </w:t>
      </w:r>
      <w:r w:rsidR="008B6692">
        <w:rPr>
          <w:rFonts w:hint="cs"/>
          <w:rtl/>
        </w:rPr>
        <w:t>"</w:t>
      </w:r>
      <w:r>
        <w:rPr>
          <w:rtl/>
        </w:rPr>
        <w:t>איש</w:t>
      </w:r>
      <w:r w:rsidR="005452FE">
        <w:rPr>
          <w:rFonts w:hint="cs"/>
          <w:rtl/>
        </w:rPr>
        <w:t xml:space="preserve"> או אשה</w:t>
      </w:r>
      <w:r>
        <w:rPr>
          <w:rtl/>
        </w:rPr>
        <w:t xml:space="preserve"> כי יפליא לנדור נדר נזיר להזיר לה'</w:t>
      </w:r>
      <w:r w:rsidR="005452FE">
        <w:rPr>
          <w:rFonts w:hint="cs"/>
          <w:rtl/>
        </w:rPr>
        <w:t xml:space="preserve"> " - </w:t>
      </w:r>
      <w:r>
        <w:rPr>
          <w:rtl/>
        </w:rPr>
        <w:t>מקיש נזירות לנדרים ונדרים לנזירות, מה נזירות עשה בו ידות נזירות כנזירות, אף נדרים עשה בהם ידות נדרים כנדרים; ומה נדרים עובר בבל יחל ובבל תאחר, אף נזירות עובר בבל יחל ובבל תאחר; ומה נדרים - האב מיפר נדרי בתו ובעל מיפר נדרי אשתו, אף נזירות - האב מיפר נזירות בתו ובעל מיפר נזירות אשתו.</w:t>
      </w:r>
      <w:r w:rsidR="005452FE">
        <w:rPr>
          <w:rStyle w:val="a5"/>
          <w:rtl/>
        </w:rPr>
        <w:footnoteReference w:id="3"/>
      </w:r>
      <w:r>
        <w:rPr>
          <w:rtl/>
        </w:rPr>
        <w:t xml:space="preserve"> </w:t>
      </w:r>
    </w:p>
    <w:p w:rsidR="005452FE" w:rsidRDefault="005452FE" w:rsidP="004E4117">
      <w:pPr>
        <w:pStyle w:val="ac"/>
        <w:rPr>
          <w:rFonts w:hint="cs"/>
          <w:rtl/>
        </w:rPr>
      </w:pPr>
      <w:r>
        <w:rPr>
          <w:rFonts w:hint="cs"/>
          <w:rtl/>
        </w:rPr>
        <w:t xml:space="preserve">מאי שנא </w:t>
      </w:r>
      <w:r w:rsidR="00744119">
        <w:rPr>
          <w:rtl/>
        </w:rPr>
        <w:t xml:space="preserve">גבי נזירות? דכתיב: </w:t>
      </w:r>
      <w:r>
        <w:rPr>
          <w:rFonts w:hint="cs"/>
          <w:rtl/>
        </w:rPr>
        <w:t>"</w:t>
      </w:r>
      <w:r w:rsidR="00744119">
        <w:rPr>
          <w:rtl/>
        </w:rPr>
        <w:t>נזיר להזיר</w:t>
      </w:r>
      <w:r>
        <w:rPr>
          <w:rFonts w:hint="cs"/>
          <w:rtl/>
        </w:rPr>
        <w:t>"</w:t>
      </w:r>
      <w:r w:rsidR="00744119">
        <w:rPr>
          <w:rtl/>
        </w:rPr>
        <w:t>,</w:t>
      </w:r>
      <w:r>
        <w:rPr>
          <w:rStyle w:val="a5"/>
          <w:rtl/>
        </w:rPr>
        <w:footnoteReference w:id="4"/>
      </w:r>
      <w:r w:rsidR="00744119">
        <w:rPr>
          <w:rtl/>
        </w:rPr>
        <w:t xml:space="preserve"> נדרים נמי הא כתיב: לנדור נדר, והיקישא למה לי?</w:t>
      </w:r>
      <w:r>
        <w:rPr>
          <w:rStyle w:val="a5"/>
          <w:rtl/>
        </w:rPr>
        <w:footnoteReference w:id="5"/>
      </w:r>
      <w:r w:rsidR="00744119">
        <w:rPr>
          <w:rtl/>
        </w:rPr>
        <w:t xml:space="preserve"> אי כתב</w:t>
      </w:r>
      <w:r w:rsidR="004E4117">
        <w:rPr>
          <w:rFonts w:hint="cs"/>
          <w:rtl/>
        </w:rPr>
        <w:t>:</w:t>
      </w:r>
      <w:r w:rsidR="00744119">
        <w:rPr>
          <w:rtl/>
        </w:rPr>
        <w:t xml:space="preserve"> נדר לנדור כדכת</w:t>
      </w:r>
      <w:r w:rsidR="004E4117">
        <w:rPr>
          <w:rFonts w:hint="cs"/>
          <w:rtl/>
        </w:rPr>
        <w:t>י</w:t>
      </w:r>
      <w:r w:rsidR="00744119">
        <w:rPr>
          <w:rtl/>
        </w:rPr>
        <w:t>ב</w:t>
      </w:r>
      <w:r w:rsidR="004E4117">
        <w:rPr>
          <w:rFonts w:hint="cs"/>
          <w:rtl/>
        </w:rPr>
        <w:t>:</w:t>
      </w:r>
      <w:r w:rsidR="00744119">
        <w:rPr>
          <w:rtl/>
        </w:rPr>
        <w:t xml:space="preserve"> </w:t>
      </w:r>
      <w:r w:rsidR="004E4117">
        <w:rPr>
          <w:rFonts w:hint="cs"/>
          <w:rtl/>
        </w:rPr>
        <w:t>"</w:t>
      </w:r>
      <w:r w:rsidR="00744119">
        <w:rPr>
          <w:rtl/>
        </w:rPr>
        <w:t>נזיר להזיר</w:t>
      </w:r>
      <w:r w:rsidR="004E4117">
        <w:rPr>
          <w:rFonts w:hint="cs"/>
          <w:rtl/>
        </w:rPr>
        <w:t>"</w:t>
      </w:r>
      <w:r w:rsidR="00744119">
        <w:rPr>
          <w:rtl/>
        </w:rPr>
        <w:t>, כדקאמרת</w:t>
      </w:r>
      <w:r>
        <w:rPr>
          <w:rFonts w:hint="cs"/>
          <w:rtl/>
        </w:rPr>
        <w:t xml:space="preserve"> -</w:t>
      </w:r>
      <w:r w:rsidR="00744119">
        <w:rPr>
          <w:rtl/>
        </w:rPr>
        <w:t xml:space="preserve"> לא צריך היקישא</w:t>
      </w:r>
      <w:r w:rsidR="004E4117">
        <w:rPr>
          <w:rFonts w:hint="cs"/>
          <w:rtl/>
        </w:rPr>
        <w:t>.</w:t>
      </w:r>
      <w:r w:rsidR="00744119">
        <w:rPr>
          <w:rtl/>
        </w:rPr>
        <w:t xml:space="preserve"> השתא דכתיב: </w:t>
      </w:r>
      <w:r>
        <w:rPr>
          <w:rFonts w:hint="cs"/>
          <w:rtl/>
        </w:rPr>
        <w:t>"</w:t>
      </w:r>
      <w:r w:rsidR="00744119">
        <w:rPr>
          <w:rtl/>
        </w:rPr>
        <w:t>לנדור נדר</w:t>
      </w:r>
      <w:r>
        <w:rPr>
          <w:rFonts w:hint="cs"/>
          <w:rtl/>
        </w:rPr>
        <w:t>"</w:t>
      </w:r>
      <w:r w:rsidR="00744119">
        <w:rPr>
          <w:rtl/>
        </w:rPr>
        <w:t>, דברה תורה כלשון בני אדם.</w:t>
      </w:r>
      <w:r>
        <w:rPr>
          <w:rStyle w:val="a5"/>
          <w:rtl/>
        </w:rPr>
        <w:footnoteReference w:id="6"/>
      </w:r>
      <w:r w:rsidR="00744119">
        <w:rPr>
          <w:rtl/>
        </w:rPr>
        <w:t xml:space="preserve"> </w:t>
      </w:r>
    </w:p>
    <w:p w:rsidR="00744119" w:rsidRDefault="00744119" w:rsidP="00650F57">
      <w:pPr>
        <w:pStyle w:val="ac"/>
        <w:rPr>
          <w:rFonts w:hint="cs"/>
          <w:rtl/>
        </w:rPr>
      </w:pPr>
      <w:r>
        <w:rPr>
          <w:rtl/>
        </w:rPr>
        <w:t>הניחא למאן דאית ליה דברה תורה כלשון בני אדם, אלא למאן דלית ליה דברה תורה כלשון בני אדם, האי לנדור נדר מאי עביד ליה?</w:t>
      </w:r>
      <w:r w:rsidR="00650F57">
        <w:rPr>
          <w:rFonts w:hint="cs"/>
          <w:rtl/>
        </w:rPr>
        <w:t xml:space="preserve"> </w:t>
      </w:r>
      <w:r w:rsidR="00650F57">
        <w:rPr>
          <w:rtl/>
        </w:rPr>
        <w:t>–</w:t>
      </w:r>
      <w:r w:rsidR="00650F57">
        <w:rPr>
          <w:rFonts w:hint="cs"/>
          <w:rtl/>
        </w:rPr>
        <w:t xml:space="preserve"> דריש ליה לעשות ידות נדרים כנדרים ומקיש נזירות לנדרים.</w:t>
      </w:r>
      <w:r w:rsidR="009815F0">
        <w:rPr>
          <w:rStyle w:val="a5"/>
          <w:rtl/>
        </w:rPr>
        <w:footnoteReference w:id="7"/>
      </w:r>
    </w:p>
    <w:p w:rsidR="006A65C0" w:rsidRDefault="006A65C0" w:rsidP="003400B3">
      <w:pPr>
        <w:pStyle w:val="ab"/>
        <w:rPr>
          <w:rtl/>
        </w:rPr>
      </w:pPr>
      <w:r>
        <w:rPr>
          <w:rtl/>
        </w:rPr>
        <w:t>תלמוד ירושלמי מסכת נדרים פרק א</w:t>
      </w:r>
      <w:r w:rsidR="002E20F0">
        <w:rPr>
          <w:rFonts w:hint="cs"/>
          <w:rtl/>
        </w:rPr>
        <w:t xml:space="preserve"> הלכה א</w:t>
      </w:r>
    </w:p>
    <w:p w:rsidR="006A65C0" w:rsidRDefault="006A65C0" w:rsidP="002E20F0">
      <w:pPr>
        <w:pStyle w:val="ac"/>
        <w:rPr>
          <w:rFonts w:hint="cs"/>
          <w:rtl/>
        </w:rPr>
      </w:pPr>
      <w:r>
        <w:rPr>
          <w:rtl/>
        </w:rPr>
        <w:t>כתיב</w:t>
      </w:r>
      <w:r w:rsidR="00C4528F">
        <w:rPr>
          <w:rFonts w:hint="cs"/>
          <w:rtl/>
        </w:rPr>
        <w:t>:</w:t>
      </w:r>
      <w:r>
        <w:rPr>
          <w:rtl/>
        </w:rPr>
        <w:t xml:space="preserve"> </w:t>
      </w:r>
      <w:r w:rsidR="00C4528F">
        <w:rPr>
          <w:rFonts w:hint="cs"/>
          <w:rtl/>
        </w:rPr>
        <w:t>"</w:t>
      </w:r>
      <w:r>
        <w:rPr>
          <w:rtl/>
        </w:rPr>
        <w:t>איש כי ידר</w:t>
      </w:r>
      <w:r w:rsidR="00C4528F">
        <w:rPr>
          <w:rFonts w:hint="cs"/>
          <w:rtl/>
        </w:rPr>
        <w:t xml:space="preserve"> נדר" </w:t>
      </w:r>
      <w:r w:rsidR="00C4528F">
        <w:rPr>
          <w:rtl/>
        </w:rPr>
        <w:t>[במדבר ל ג]</w:t>
      </w:r>
      <w:r w:rsidR="008C63B7">
        <w:rPr>
          <w:rStyle w:val="a5"/>
          <w:rtl/>
        </w:rPr>
        <w:footnoteReference w:id="8"/>
      </w:r>
      <w:r w:rsidR="00C4528F">
        <w:rPr>
          <w:rFonts w:hint="cs"/>
          <w:rtl/>
        </w:rPr>
        <w:t xml:space="preserve"> ... </w:t>
      </w:r>
      <w:r>
        <w:rPr>
          <w:rtl/>
        </w:rPr>
        <w:t xml:space="preserve">מיכן שכינוי נדרים כנדרים. </w:t>
      </w:r>
      <w:r w:rsidR="00C4528F">
        <w:rPr>
          <w:rFonts w:hint="cs"/>
          <w:rtl/>
        </w:rPr>
        <w:t>"</w:t>
      </w:r>
      <w:r>
        <w:rPr>
          <w:rtl/>
        </w:rPr>
        <w:t xml:space="preserve">או השבע </w:t>
      </w:r>
      <w:r w:rsidR="00C4528F">
        <w:rPr>
          <w:rFonts w:hint="cs"/>
          <w:rtl/>
        </w:rPr>
        <w:t xml:space="preserve">שבועה" ... </w:t>
      </w:r>
      <w:r>
        <w:rPr>
          <w:rtl/>
        </w:rPr>
        <w:t xml:space="preserve">מיכן שכינויי שבועות כשבועות. </w:t>
      </w:r>
      <w:r w:rsidR="00C4528F">
        <w:rPr>
          <w:rFonts w:hint="cs"/>
          <w:rtl/>
        </w:rPr>
        <w:t>...</w:t>
      </w:r>
      <w:r w:rsidR="00C4528F">
        <w:rPr>
          <w:rStyle w:val="a5"/>
          <w:rtl/>
        </w:rPr>
        <w:footnoteReference w:id="9"/>
      </w:r>
      <w:r w:rsidR="00C4528F">
        <w:rPr>
          <w:rFonts w:hint="cs"/>
          <w:rtl/>
        </w:rPr>
        <w:t xml:space="preserve"> </w:t>
      </w:r>
      <w:r>
        <w:rPr>
          <w:rtl/>
        </w:rPr>
        <w:t>עד כדון כר' עקיבא דאמר</w:t>
      </w:r>
      <w:r w:rsidR="00C4528F">
        <w:rPr>
          <w:rFonts w:hint="cs"/>
          <w:rtl/>
        </w:rPr>
        <w:t>:</w:t>
      </w:r>
      <w:r>
        <w:rPr>
          <w:rtl/>
        </w:rPr>
        <w:t xml:space="preserve"> לשונות ריבויין הן.</w:t>
      </w:r>
      <w:r w:rsidR="00C4528F">
        <w:rPr>
          <w:rStyle w:val="a5"/>
          <w:rtl/>
        </w:rPr>
        <w:footnoteReference w:id="10"/>
      </w:r>
      <w:r>
        <w:rPr>
          <w:rtl/>
        </w:rPr>
        <w:t xml:space="preserve"> כר' ישמעאל דאמר</w:t>
      </w:r>
      <w:r w:rsidR="002E20F0">
        <w:rPr>
          <w:rFonts w:hint="cs"/>
          <w:rtl/>
        </w:rPr>
        <w:t>:</w:t>
      </w:r>
      <w:r>
        <w:rPr>
          <w:rtl/>
        </w:rPr>
        <w:t xml:space="preserve"> לשונות כפולין הן </w:t>
      </w:r>
      <w:r>
        <w:rPr>
          <w:rtl/>
        </w:rPr>
        <w:lastRenderedPageBreak/>
        <w:t>והתורה דיברה כדרכה.</w:t>
      </w:r>
      <w:r w:rsidR="002E20F0">
        <w:rPr>
          <w:rStyle w:val="a5"/>
          <w:rtl/>
        </w:rPr>
        <w:footnoteReference w:id="11"/>
      </w:r>
      <w:r>
        <w:rPr>
          <w:rtl/>
        </w:rPr>
        <w:t xml:space="preserve"> </w:t>
      </w:r>
      <w:r w:rsidR="002E20F0">
        <w:rPr>
          <w:rFonts w:hint="cs"/>
          <w:rtl/>
        </w:rPr>
        <w:t>"</w:t>
      </w:r>
      <w:r>
        <w:rPr>
          <w:rtl/>
        </w:rPr>
        <w:t>הלוך הלכת</w:t>
      </w:r>
      <w:r w:rsidR="002E20F0">
        <w:rPr>
          <w:rFonts w:hint="cs"/>
          <w:rtl/>
        </w:rPr>
        <w:t>", "</w:t>
      </w:r>
      <w:r>
        <w:rPr>
          <w:rtl/>
        </w:rPr>
        <w:t>נכסף נכספת</w:t>
      </w:r>
      <w:r w:rsidR="002E20F0">
        <w:rPr>
          <w:rFonts w:hint="cs"/>
          <w:rtl/>
        </w:rPr>
        <w:t>",</w:t>
      </w:r>
      <w:r>
        <w:rPr>
          <w:rtl/>
        </w:rPr>
        <w:t xml:space="preserve"> </w:t>
      </w:r>
      <w:r w:rsidR="002E20F0">
        <w:rPr>
          <w:rFonts w:hint="cs"/>
          <w:rtl/>
        </w:rPr>
        <w:t>"</w:t>
      </w:r>
      <w:r>
        <w:rPr>
          <w:rtl/>
        </w:rPr>
        <w:t>גונב גונבתי</w:t>
      </w:r>
      <w:r w:rsidR="002E20F0">
        <w:rPr>
          <w:rFonts w:hint="cs"/>
          <w:rtl/>
        </w:rPr>
        <w:t>",</w:t>
      </w:r>
      <w:r w:rsidR="002E20F0">
        <w:rPr>
          <w:rStyle w:val="a5"/>
          <w:rtl/>
        </w:rPr>
        <w:footnoteReference w:id="12"/>
      </w:r>
      <w:r>
        <w:rPr>
          <w:rtl/>
        </w:rPr>
        <w:t xml:space="preserve"> מנלן</w:t>
      </w:r>
      <w:r w:rsidR="002E20F0">
        <w:rPr>
          <w:rFonts w:hint="cs"/>
          <w:rtl/>
        </w:rPr>
        <w:t>?</w:t>
      </w:r>
      <w:r w:rsidR="002E20F0">
        <w:rPr>
          <w:rStyle w:val="a5"/>
          <w:rtl/>
        </w:rPr>
        <w:footnoteReference w:id="13"/>
      </w:r>
      <w:r>
        <w:rPr>
          <w:rtl/>
        </w:rPr>
        <w:t xml:space="preserve"> </w:t>
      </w:r>
      <w:r w:rsidR="002E20F0">
        <w:rPr>
          <w:rFonts w:hint="cs"/>
          <w:rtl/>
        </w:rPr>
        <w:t>"</w:t>
      </w:r>
      <w:r>
        <w:rPr>
          <w:rtl/>
        </w:rPr>
        <w:t>איש כי ידר נדר ליי' או השבע שבועה לאסור אסר על נפשו לא יחל דברו</w:t>
      </w:r>
      <w:r w:rsidR="002E20F0">
        <w:rPr>
          <w:rFonts w:hint="cs"/>
          <w:rtl/>
        </w:rPr>
        <w:t>"</w:t>
      </w:r>
      <w:r>
        <w:rPr>
          <w:rtl/>
        </w:rPr>
        <w:t>. מה ת</w:t>
      </w:r>
      <w:r w:rsidR="002E20F0">
        <w:rPr>
          <w:rFonts w:hint="cs"/>
          <w:rtl/>
        </w:rPr>
        <w:t>למוד לומר "</w:t>
      </w:r>
      <w:r>
        <w:rPr>
          <w:rtl/>
        </w:rPr>
        <w:t>ככל היוצא מפיו יעשה</w:t>
      </w:r>
      <w:r w:rsidR="002E20F0">
        <w:rPr>
          <w:rFonts w:hint="cs"/>
          <w:rtl/>
        </w:rPr>
        <w:t>"?</w:t>
      </w:r>
      <w:r>
        <w:rPr>
          <w:rtl/>
        </w:rPr>
        <w:t xml:space="preserve"> אלא מיכ</w:t>
      </w:r>
      <w:r w:rsidR="002E20F0">
        <w:rPr>
          <w:rtl/>
        </w:rPr>
        <w:t>ן שכינויי נדרים כנדרים</w:t>
      </w:r>
      <w:r>
        <w:rPr>
          <w:rtl/>
        </w:rPr>
        <w:t xml:space="preserve"> וכינויי שבועה כשבועה</w:t>
      </w:r>
      <w:r w:rsidR="002E20F0">
        <w:rPr>
          <w:rFonts w:hint="cs"/>
          <w:rtl/>
        </w:rPr>
        <w:t xml:space="preserve"> וכו'.</w:t>
      </w:r>
      <w:r w:rsidR="003400B3">
        <w:rPr>
          <w:rStyle w:val="a5"/>
          <w:rtl/>
        </w:rPr>
        <w:footnoteReference w:id="14"/>
      </w:r>
    </w:p>
    <w:p w:rsidR="00594E3B" w:rsidRDefault="00594E3B" w:rsidP="00594E3B">
      <w:pPr>
        <w:pStyle w:val="ab"/>
        <w:rPr>
          <w:rtl/>
        </w:rPr>
      </w:pPr>
      <w:r>
        <w:rPr>
          <w:rtl/>
        </w:rPr>
        <w:t>מסכת נדרים דף מט עמוד א</w:t>
      </w:r>
    </w:p>
    <w:p w:rsidR="00594E3B" w:rsidRDefault="00594E3B" w:rsidP="00594E3B">
      <w:pPr>
        <w:pStyle w:val="ac"/>
        <w:rPr>
          <w:rFonts w:hint="cs"/>
          <w:rtl/>
        </w:rPr>
      </w:pPr>
      <w:r>
        <w:rPr>
          <w:rtl/>
        </w:rPr>
        <w:t>הנודר מן המבושל - מותר בצלי ובשלוק</w:t>
      </w:r>
      <w:r>
        <w:rPr>
          <w:rFonts w:hint="cs"/>
          <w:rtl/>
        </w:rPr>
        <w:t xml:space="preserve"> ... </w:t>
      </w:r>
      <w:r>
        <w:rPr>
          <w:rtl/>
        </w:rPr>
        <w:t>תניא: ר' יאשיה אוסר</w:t>
      </w:r>
      <w:r>
        <w:rPr>
          <w:rFonts w:hint="cs"/>
          <w:rtl/>
        </w:rPr>
        <w:t>.</w:t>
      </w:r>
      <w:r>
        <w:rPr>
          <w:rtl/>
        </w:rPr>
        <w:t xml:space="preserve"> ואף על פי שאין ראיה לדבר - זכר לדבר, שנא</w:t>
      </w:r>
      <w:r>
        <w:rPr>
          <w:rFonts w:hint="cs"/>
          <w:rtl/>
        </w:rPr>
        <w:t>מר</w:t>
      </w:r>
      <w:r>
        <w:rPr>
          <w:rtl/>
        </w:rPr>
        <w:t>:</w:t>
      </w:r>
      <w:r>
        <w:rPr>
          <w:rFonts w:hint="cs"/>
          <w:rtl/>
        </w:rPr>
        <w:t xml:space="preserve"> "</w:t>
      </w:r>
      <w:r>
        <w:rPr>
          <w:rtl/>
        </w:rPr>
        <w:t xml:space="preserve">וַיְבַשְּׁלוּ הַפֶּסַח בָּאֵשׁ כַּמִּשְׁפָּט וְהַקֳּדָשִׁים בִּשְּׁלוּ בַּסִּירוֹת </w:t>
      </w:r>
      <w:r>
        <w:rPr>
          <w:rFonts w:hint="cs"/>
          <w:rtl/>
        </w:rPr>
        <w:t>וכו' " (</w:t>
      </w:r>
      <w:r>
        <w:rPr>
          <w:rtl/>
        </w:rPr>
        <w:t>דברי הימים ב לה יג</w:t>
      </w:r>
      <w:r>
        <w:rPr>
          <w:rFonts w:hint="cs"/>
          <w:rtl/>
        </w:rPr>
        <w:t>).</w:t>
      </w:r>
      <w:r>
        <w:rPr>
          <w:rStyle w:val="a5"/>
          <w:rtl/>
        </w:rPr>
        <w:footnoteReference w:id="15"/>
      </w:r>
      <w:r>
        <w:rPr>
          <w:rtl/>
        </w:rPr>
        <w:t xml:space="preserve"> לימא בהא קמיפלגי, דרבי יאשיה סבר: הלך אחר לשון תורה, ותנא דילן סבר: בנדרים הלך אחר לשון בני אדם! לא, דכולי עלמא - בנדרים הלך אחר לשון בני אדם, מר כי אתריה ומר כי אתריה,</w:t>
      </w:r>
      <w:r w:rsidR="00724B6A">
        <w:rPr>
          <w:rStyle w:val="a5"/>
          <w:rtl/>
        </w:rPr>
        <w:footnoteReference w:id="16"/>
      </w:r>
      <w:r>
        <w:rPr>
          <w:rtl/>
        </w:rPr>
        <w:t xml:space="preserve"> באתרא דתנא דילן - לצלי קרו ליה צלי ולמבושל קרו ליה מבושל, באתרא דר' יאשיה - אפילו צלי קרו מבושל. והא קרא נסיב לה! אסמכתא בעלמא.</w:t>
      </w:r>
      <w:r w:rsidR="00724B6A">
        <w:rPr>
          <w:rStyle w:val="a5"/>
          <w:rtl/>
        </w:rPr>
        <w:footnoteReference w:id="17"/>
      </w:r>
    </w:p>
    <w:p w:rsidR="003C2F66" w:rsidRDefault="003C2F66" w:rsidP="003C2F66">
      <w:pPr>
        <w:pStyle w:val="ab"/>
        <w:rPr>
          <w:rtl/>
        </w:rPr>
      </w:pPr>
      <w:r>
        <w:rPr>
          <w:rtl/>
        </w:rPr>
        <w:t>מסכת ברכות דף לא עמוד ב</w:t>
      </w:r>
    </w:p>
    <w:p w:rsidR="003C2F66" w:rsidRDefault="003C2F66" w:rsidP="003C2F66">
      <w:pPr>
        <w:pStyle w:val="ac"/>
        <w:rPr>
          <w:rFonts w:hint="cs"/>
          <w:rtl/>
        </w:rPr>
      </w:pPr>
      <w:r>
        <w:rPr>
          <w:rFonts w:hint="cs"/>
          <w:rtl/>
        </w:rPr>
        <w:t>"</w:t>
      </w:r>
      <w:r>
        <w:rPr>
          <w:rtl/>
        </w:rPr>
        <w:t>אם ראה תראה</w:t>
      </w:r>
      <w:r>
        <w:rPr>
          <w:rFonts w:hint="cs"/>
          <w:rtl/>
        </w:rPr>
        <w:t xml:space="preserve"> בעני אמתך" (שמואל א א יא)</w:t>
      </w:r>
      <w:r>
        <w:rPr>
          <w:rtl/>
        </w:rPr>
        <w:t>, אמר רבי אלעזר: אמרה חנה לפני הקב"ה: רבונו של עולם, אם ראה - מוטב, ואם לאו - תראה,</w:t>
      </w:r>
      <w:r w:rsidR="001A3674">
        <w:rPr>
          <w:rStyle w:val="a5"/>
          <w:rtl/>
        </w:rPr>
        <w:footnoteReference w:id="18"/>
      </w:r>
      <w:r>
        <w:rPr>
          <w:rtl/>
        </w:rPr>
        <w:t xml:space="preserve"> אלך ואסתתר בפני אלקנה בעלי, וכיון דמסתתרנא משקו לי מי סוטה, ואי אתה עושה תורתך פלסתר, שנאמר: </w:t>
      </w:r>
      <w:r>
        <w:rPr>
          <w:rFonts w:hint="cs"/>
          <w:rtl/>
        </w:rPr>
        <w:t>"</w:t>
      </w:r>
      <w:r>
        <w:rPr>
          <w:rtl/>
        </w:rPr>
        <w:t>ונקתה ונזרעה זרע</w:t>
      </w:r>
      <w:r>
        <w:rPr>
          <w:rFonts w:hint="cs"/>
          <w:rtl/>
        </w:rPr>
        <w:t>" (במדבר ה</w:t>
      </w:r>
      <w:r w:rsidR="00C108CB">
        <w:rPr>
          <w:rFonts w:hint="cs"/>
          <w:rtl/>
        </w:rPr>
        <w:t xml:space="preserve"> כח)</w:t>
      </w:r>
      <w:r>
        <w:rPr>
          <w:rFonts w:hint="cs"/>
          <w:rtl/>
        </w:rPr>
        <w:t xml:space="preserve"> </w:t>
      </w:r>
      <w:r>
        <w:rPr>
          <w:rtl/>
        </w:rPr>
        <w:t>.</w:t>
      </w:r>
      <w:r>
        <w:rPr>
          <w:rStyle w:val="a5"/>
          <w:rtl/>
        </w:rPr>
        <w:footnoteReference w:id="19"/>
      </w:r>
      <w:r>
        <w:rPr>
          <w:rtl/>
        </w:rPr>
        <w:t xml:space="preserve"> </w:t>
      </w:r>
    </w:p>
    <w:p w:rsidR="00C108CB" w:rsidRDefault="003C2F66" w:rsidP="00C108CB">
      <w:pPr>
        <w:pStyle w:val="ac"/>
        <w:rPr>
          <w:rFonts w:hint="cs"/>
          <w:rtl/>
        </w:rPr>
      </w:pPr>
      <w:r>
        <w:rPr>
          <w:rtl/>
        </w:rPr>
        <w:t>הניחא למאן דאמר אם היתה עקרה נפקדת - שפיר, אלא למאן דאמר אם היתה יולדת בצער יולדת בריוח, נקבות - יולדת זכרים, שחורים - יולדת לבנים, קצרים - יולדת ארוכים, מאי איכא למימר?</w:t>
      </w:r>
      <w:r w:rsidR="00C108CB">
        <w:rPr>
          <w:rFonts w:hint="cs"/>
          <w:rtl/>
        </w:rPr>
        <w:t xml:space="preserve"> ...</w:t>
      </w:r>
      <w:r w:rsidR="00C108CB">
        <w:rPr>
          <w:rStyle w:val="a5"/>
          <w:rtl/>
        </w:rPr>
        <w:footnoteReference w:id="20"/>
      </w:r>
      <w:r>
        <w:rPr>
          <w:rtl/>
        </w:rPr>
        <w:t xml:space="preserve"> </w:t>
      </w:r>
    </w:p>
    <w:p w:rsidR="003C2F66" w:rsidRDefault="003C2F66" w:rsidP="00C108CB">
      <w:pPr>
        <w:pStyle w:val="ac"/>
        <w:rPr>
          <w:rFonts w:hint="cs"/>
          <w:rtl/>
        </w:rPr>
      </w:pPr>
      <w:r>
        <w:rPr>
          <w:rtl/>
        </w:rPr>
        <w:t>מאי אם ראה תראה - דברה תורה כלשון בני אדם.</w:t>
      </w:r>
      <w:r w:rsidR="001A3674">
        <w:rPr>
          <w:rStyle w:val="a5"/>
          <w:rtl/>
        </w:rPr>
        <w:footnoteReference w:id="21"/>
      </w:r>
    </w:p>
    <w:p w:rsidR="0019491E" w:rsidRDefault="0019491E" w:rsidP="004628FB">
      <w:pPr>
        <w:pStyle w:val="ab"/>
        <w:rPr>
          <w:rtl/>
        </w:rPr>
      </w:pPr>
      <w:r>
        <w:rPr>
          <w:rtl/>
        </w:rPr>
        <w:lastRenderedPageBreak/>
        <w:t>מסכת קידושין דף יז עמוד ב</w:t>
      </w:r>
    </w:p>
    <w:p w:rsidR="0019491E" w:rsidRDefault="0019491E" w:rsidP="00C343C3">
      <w:pPr>
        <w:pStyle w:val="ac"/>
        <w:rPr>
          <w:rFonts w:hint="cs"/>
          <w:rtl/>
        </w:rPr>
      </w:pPr>
      <w:r>
        <w:rPr>
          <w:rtl/>
        </w:rPr>
        <w:t>ת</w:t>
      </w:r>
      <w:r w:rsidR="004628FB">
        <w:rPr>
          <w:rFonts w:hint="cs"/>
          <w:rtl/>
        </w:rPr>
        <w:t>נו רבנן</w:t>
      </w:r>
      <w:r>
        <w:rPr>
          <w:rtl/>
        </w:rPr>
        <w:t xml:space="preserve">: </w:t>
      </w:r>
      <w:r w:rsidR="003D4B7B">
        <w:rPr>
          <w:rFonts w:hint="cs"/>
          <w:rtl/>
        </w:rPr>
        <w:t>"</w:t>
      </w:r>
      <w:r>
        <w:rPr>
          <w:rtl/>
        </w:rPr>
        <w:t>אשר ברכך ה' אלהיך</w:t>
      </w:r>
      <w:r w:rsidR="003D4B7B">
        <w:rPr>
          <w:rFonts w:hint="cs"/>
          <w:rtl/>
        </w:rPr>
        <w:t>" (דברים טו יד)</w:t>
      </w:r>
      <w:r w:rsidR="003D4B7B">
        <w:rPr>
          <w:rStyle w:val="a5"/>
          <w:rtl/>
        </w:rPr>
        <w:footnoteReference w:id="22"/>
      </w:r>
      <w:r>
        <w:rPr>
          <w:rtl/>
        </w:rPr>
        <w:t xml:space="preserve"> - יכול נתברך בית בגללו מעניקים לו, לא נתברך בית בגללו אין מעניקים לו? </w:t>
      </w:r>
      <w:r w:rsidR="009815F0">
        <w:rPr>
          <w:rtl/>
        </w:rPr>
        <w:t>תלמוד לומר</w:t>
      </w:r>
      <w:r>
        <w:rPr>
          <w:rtl/>
        </w:rPr>
        <w:t xml:space="preserve">: </w:t>
      </w:r>
      <w:r w:rsidR="003400B3">
        <w:rPr>
          <w:rFonts w:hint="cs"/>
          <w:rtl/>
        </w:rPr>
        <w:t>"</w:t>
      </w:r>
      <w:r>
        <w:rPr>
          <w:rtl/>
        </w:rPr>
        <w:t>הענק תעניק</w:t>
      </w:r>
      <w:r w:rsidR="003400B3">
        <w:rPr>
          <w:rFonts w:hint="cs"/>
          <w:rtl/>
        </w:rPr>
        <w:t>"</w:t>
      </w:r>
      <w:r w:rsidR="00C343C3">
        <w:rPr>
          <w:rFonts w:hint="cs"/>
          <w:rtl/>
        </w:rPr>
        <w:t xml:space="preserve"> -</w:t>
      </w:r>
      <w:r>
        <w:rPr>
          <w:rtl/>
        </w:rPr>
        <w:t xml:space="preserve"> מכל מקום; אם כן, מה </w:t>
      </w:r>
      <w:r w:rsidR="009815F0">
        <w:rPr>
          <w:rtl/>
        </w:rPr>
        <w:t>תלמוד לומר</w:t>
      </w:r>
      <w:r>
        <w:rPr>
          <w:rtl/>
        </w:rPr>
        <w:t xml:space="preserve"> אשר ברכך? </w:t>
      </w:r>
      <w:r w:rsidR="003400B3">
        <w:rPr>
          <w:rFonts w:hint="cs"/>
          <w:rtl/>
        </w:rPr>
        <w:t xml:space="preserve">- </w:t>
      </w:r>
      <w:r>
        <w:rPr>
          <w:rtl/>
        </w:rPr>
        <w:t>הכל לפי ברכה תן לו</w:t>
      </w:r>
      <w:r w:rsidR="003400B3">
        <w:rPr>
          <w:rFonts w:hint="cs"/>
          <w:rtl/>
        </w:rPr>
        <w:t>.</w:t>
      </w:r>
      <w:r>
        <w:rPr>
          <w:rtl/>
        </w:rPr>
        <w:t xml:space="preserve"> ר' אלעזר בן עזריה אומר: דברים ככתבן</w:t>
      </w:r>
      <w:r w:rsidR="003400B3">
        <w:rPr>
          <w:rFonts w:hint="cs"/>
          <w:rtl/>
        </w:rPr>
        <w:t xml:space="preserve">: </w:t>
      </w:r>
      <w:r>
        <w:rPr>
          <w:rtl/>
        </w:rPr>
        <w:t>נתברך בית בגללו - מעניקים לו, לא נתברך בית בגללו - אין מעניקים לו; א</w:t>
      </w:r>
      <w:r w:rsidR="003400B3">
        <w:rPr>
          <w:rFonts w:hint="cs"/>
          <w:rtl/>
        </w:rPr>
        <w:t xml:space="preserve">ם כן </w:t>
      </w:r>
      <w:r>
        <w:rPr>
          <w:rtl/>
        </w:rPr>
        <w:t xml:space="preserve">מה </w:t>
      </w:r>
      <w:r w:rsidR="009815F0">
        <w:rPr>
          <w:rtl/>
        </w:rPr>
        <w:t>תלמוד לומר</w:t>
      </w:r>
      <w:r w:rsidR="003400B3">
        <w:rPr>
          <w:rFonts w:hint="cs"/>
          <w:rtl/>
        </w:rPr>
        <w:t>:</w:t>
      </w:r>
      <w:r>
        <w:rPr>
          <w:rtl/>
        </w:rPr>
        <w:t xml:space="preserve"> הענק תעניק? דברה תורה כלשון בני אדם.</w:t>
      </w:r>
      <w:r w:rsidR="00BD7479">
        <w:rPr>
          <w:rStyle w:val="a5"/>
          <w:rtl/>
        </w:rPr>
        <w:footnoteReference w:id="23"/>
      </w:r>
    </w:p>
    <w:p w:rsidR="00BD7479" w:rsidRDefault="00BD7479" w:rsidP="00BD7479">
      <w:pPr>
        <w:pStyle w:val="ab"/>
        <w:rPr>
          <w:rtl/>
        </w:rPr>
      </w:pPr>
      <w:r>
        <w:rPr>
          <w:rtl/>
        </w:rPr>
        <w:t>מסכת בבא מציעא דף צד עמוד ב</w:t>
      </w:r>
    </w:p>
    <w:p w:rsidR="007D487C" w:rsidRDefault="00BD7479" w:rsidP="00BD7479">
      <w:pPr>
        <w:pStyle w:val="ac"/>
        <w:rPr>
          <w:rFonts w:hint="cs"/>
          <w:rtl/>
        </w:rPr>
      </w:pPr>
      <w:r>
        <w:rPr>
          <w:rtl/>
        </w:rPr>
        <w:t>נושא שכר והשוכר נשבעין על השבורה ועל השבויה ועל המתה, ומשלמין את האבידה ואת הגניבה. בשלמא גניבה – דכתיב</w:t>
      </w:r>
      <w:r>
        <w:rPr>
          <w:rFonts w:hint="cs"/>
          <w:rtl/>
        </w:rPr>
        <w:t>:</w:t>
      </w:r>
      <w:r>
        <w:rPr>
          <w:rtl/>
        </w:rPr>
        <w:t xml:space="preserve"> </w:t>
      </w:r>
      <w:r>
        <w:rPr>
          <w:rFonts w:hint="cs"/>
          <w:rtl/>
        </w:rPr>
        <w:t>"</w:t>
      </w:r>
      <w:r>
        <w:rPr>
          <w:rtl/>
        </w:rPr>
        <w:t>אם גנוב יגנב מעמו ישלם לבעליו</w:t>
      </w:r>
      <w:r>
        <w:rPr>
          <w:rFonts w:hint="cs"/>
          <w:rtl/>
        </w:rPr>
        <w:t>" (שמות כב יא)</w:t>
      </w:r>
      <w:r>
        <w:rPr>
          <w:rtl/>
        </w:rPr>
        <w:t>,</w:t>
      </w:r>
      <w:r>
        <w:rPr>
          <w:rStyle w:val="a5"/>
          <w:rtl/>
        </w:rPr>
        <w:footnoteReference w:id="24"/>
      </w:r>
      <w:r>
        <w:rPr>
          <w:rtl/>
        </w:rPr>
        <w:t xml:space="preserve"> אלא אבידה מנא לן? דתניא: </w:t>
      </w:r>
      <w:r>
        <w:rPr>
          <w:rFonts w:hint="cs"/>
          <w:rtl/>
        </w:rPr>
        <w:t>"</w:t>
      </w:r>
      <w:r>
        <w:rPr>
          <w:rtl/>
        </w:rPr>
        <w:t>אם גנב יגנב, אין לי אלא גניבה, אבידה מנין - תלמוד לומר</w:t>
      </w:r>
      <w:r w:rsidR="009319D5">
        <w:rPr>
          <w:rFonts w:hint="cs"/>
          <w:rtl/>
        </w:rPr>
        <w:t>:</w:t>
      </w:r>
      <w:r>
        <w:rPr>
          <w:rtl/>
        </w:rPr>
        <w:t xml:space="preserve"> אם גנוב יגנב, מכל מקום</w:t>
      </w:r>
      <w:r>
        <w:rPr>
          <w:rFonts w:hint="cs"/>
          <w:rtl/>
        </w:rPr>
        <w:t>"</w:t>
      </w:r>
      <w:r>
        <w:rPr>
          <w:rtl/>
        </w:rPr>
        <w:t>.</w:t>
      </w:r>
      <w:r>
        <w:rPr>
          <w:rStyle w:val="a5"/>
          <w:rtl/>
        </w:rPr>
        <w:footnoteReference w:id="25"/>
      </w:r>
      <w:r>
        <w:rPr>
          <w:rtl/>
        </w:rPr>
        <w:t xml:space="preserve"> - הניחא למאן דאמר: לא אמרינן דברה תורה כלשון בני אדם, אלא למאן דאמר: אמרינן דברה תורה כלשון בני אדם, מאי איכא למימר?</w:t>
      </w:r>
      <w:r>
        <w:rPr>
          <w:rStyle w:val="a5"/>
          <w:rtl/>
        </w:rPr>
        <w:footnoteReference w:id="26"/>
      </w:r>
      <w:r>
        <w:rPr>
          <w:rtl/>
        </w:rPr>
        <w:t xml:space="preserve"> - אמרי במערבא: קל וחומר; ומה גניבה שקרובה לאונס - משלם, אבידה שקרובה לפשיעה - לא כל שכן! - ואידך: מילתא דאתיא בקל וחומר טרח וכתב לה קרא.</w:t>
      </w:r>
      <w:r>
        <w:rPr>
          <w:rStyle w:val="a5"/>
          <w:rtl/>
        </w:rPr>
        <w:footnoteReference w:id="27"/>
      </w:r>
    </w:p>
    <w:p w:rsidR="00744119" w:rsidRPr="00091D0D" w:rsidRDefault="00091D0D" w:rsidP="009319D5">
      <w:pPr>
        <w:pStyle w:val="ac"/>
        <w:spacing w:before="240" w:line="300" w:lineRule="atLeast"/>
        <w:rPr>
          <w:rFonts w:ascii="Narkisim" w:hAnsi="Narkisim" w:cs="Narkisim"/>
          <w:szCs w:val="22"/>
          <w:rtl/>
        </w:rPr>
      </w:pPr>
      <w:r w:rsidRPr="00091D0D">
        <w:rPr>
          <w:rFonts w:ascii="Narkisim" w:hAnsi="Narkisim" w:cs="Narkisim"/>
          <w:szCs w:val="22"/>
          <w:rtl/>
        </w:rPr>
        <w:t xml:space="preserve">במקורות רבים נוספים בתלמוד הבבלי נזכר הביטוי "דברה תורה בלשון בני אדם". ראה </w:t>
      </w:r>
      <w:r w:rsidR="0082554D" w:rsidRPr="00091D0D">
        <w:rPr>
          <w:rFonts w:ascii="Narkisim" w:hAnsi="Narkisim" w:cs="Narkisim"/>
          <w:szCs w:val="22"/>
          <w:rtl/>
        </w:rPr>
        <w:t>כתובות סז ע</w:t>
      </w:r>
      <w:r w:rsidRPr="00091D0D">
        <w:rPr>
          <w:rFonts w:ascii="Narkisim" w:hAnsi="Narkisim" w:cs="Narkisim"/>
          <w:szCs w:val="22"/>
          <w:rtl/>
        </w:rPr>
        <w:t xml:space="preserve">"א וכן בבא מציעא לא ע"ב על "העבט תעביטנו", </w:t>
      </w:r>
      <w:r w:rsidR="00F621CA" w:rsidRPr="00091D0D">
        <w:rPr>
          <w:rFonts w:ascii="Narkisim" w:hAnsi="Narkisim" w:cs="Narkisim"/>
          <w:szCs w:val="22"/>
          <w:rtl/>
        </w:rPr>
        <w:t>יבמות עא ע</w:t>
      </w:r>
      <w:r w:rsidRPr="00091D0D">
        <w:rPr>
          <w:rFonts w:ascii="Narkisim" w:hAnsi="Narkisim" w:cs="Narkisim"/>
          <w:szCs w:val="22"/>
          <w:rtl/>
        </w:rPr>
        <w:t xml:space="preserve">"א בדין ערל שיאכל תרומה, </w:t>
      </w:r>
      <w:r w:rsidR="00F621CA" w:rsidRPr="00091D0D">
        <w:rPr>
          <w:rFonts w:ascii="Narkisim" w:hAnsi="Narkisim" w:cs="Narkisim"/>
          <w:szCs w:val="22"/>
          <w:rtl/>
        </w:rPr>
        <w:t>גיטין מא ע</w:t>
      </w:r>
      <w:r w:rsidRPr="00091D0D">
        <w:rPr>
          <w:rFonts w:ascii="Narkisim" w:hAnsi="Narkisim" w:cs="Narkisim"/>
          <w:szCs w:val="22"/>
          <w:rtl/>
        </w:rPr>
        <w:t xml:space="preserve">"ב בדין שחרור עבד, </w:t>
      </w:r>
      <w:r w:rsidR="00F82D6D" w:rsidRPr="00091D0D">
        <w:rPr>
          <w:rFonts w:ascii="Narkisim" w:hAnsi="Narkisim" w:cs="Narkisim"/>
          <w:szCs w:val="22"/>
          <w:rtl/>
        </w:rPr>
        <w:t>סנהדרין סד ע</w:t>
      </w:r>
      <w:r w:rsidRPr="00091D0D">
        <w:rPr>
          <w:rFonts w:ascii="Narkisim" w:hAnsi="Narkisim" w:cs="Narkisim"/>
          <w:szCs w:val="22"/>
          <w:rtl/>
        </w:rPr>
        <w:t>"ב בדין כ</w:t>
      </w:r>
      <w:r w:rsidR="00F82D6D" w:rsidRPr="00091D0D">
        <w:rPr>
          <w:rFonts w:ascii="Narkisim" w:hAnsi="Narkisim" w:cs="Narkisim"/>
          <w:szCs w:val="22"/>
          <w:rtl/>
        </w:rPr>
        <w:t>ריתות בעבודה זרה</w:t>
      </w:r>
      <w:r w:rsidRPr="00091D0D">
        <w:rPr>
          <w:rFonts w:ascii="Narkisim" w:hAnsi="Narkisim" w:cs="Narkisim"/>
          <w:szCs w:val="22"/>
          <w:rtl/>
        </w:rPr>
        <w:t xml:space="preserve">, </w:t>
      </w:r>
      <w:r w:rsidR="00F82D6D" w:rsidRPr="00091D0D">
        <w:rPr>
          <w:rFonts w:ascii="Narkisim" w:hAnsi="Narkisim" w:cs="Narkisim"/>
          <w:szCs w:val="22"/>
          <w:rtl/>
        </w:rPr>
        <w:t>מכות יב ע</w:t>
      </w:r>
      <w:r w:rsidRPr="00091D0D">
        <w:rPr>
          <w:rFonts w:ascii="Narkisim" w:hAnsi="Narkisim" w:cs="Narkisim"/>
          <w:szCs w:val="22"/>
          <w:rtl/>
        </w:rPr>
        <w:t>"א בדין רוצח שיצא מעיר המקלט ועוד.</w:t>
      </w:r>
      <w:r w:rsidR="0071003B">
        <w:rPr>
          <w:rFonts w:ascii="Narkisim" w:hAnsi="Narkisim" w:cs="Narkisim" w:hint="cs"/>
          <w:szCs w:val="22"/>
          <w:rtl/>
        </w:rPr>
        <w:t xml:space="preserve"> ראה </w:t>
      </w:r>
      <w:r w:rsidRPr="00091D0D">
        <w:rPr>
          <w:rFonts w:ascii="Narkisim" w:hAnsi="Narkisim" w:cs="Narkisim"/>
          <w:szCs w:val="22"/>
          <w:rtl/>
        </w:rPr>
        <w:t>דברי הסיכום של שטיינזלץ בעיונים בבא מציעא לא ע"ב</w:t>
      </w:r>
      <w:r w:rsidR="0071003B">
        <w:rPr>
          <w:rFonts w:ascii="Narkisim" w:hAnsi="Narkisim" w:cs="Narkisim" w:hint="cs"/>
          <w:szCs w:val="22"/>
          <w:rtl/>
        </w:rPr>
        <w:t>, בהסתמך על לשון הירושלמי וראשונים שונים</w:t>
      </w:r>
      <w:r w:rsidR="00F02978">
        <w:rPr>
          <w:rFonts w:ascii="Narkisim" w:hAnsi="Narkisim" w:cs="Narkisim" w:hint="cs"/>
          <w:szCs w:val="22"/>
          <w:rtl/>
        </w:rPr>
        <w:t>,</w:t>
      </w:r>
      <w:r w:rsidR="0071003B">
        <w:rPr>
          <w:rFonts w:ascii="Narkisim" w:hAnsi="Narkisim" w:cs="Narkisim" w:hint="cs"/>
          <w:szCs w:val="22"/>
          <w:rtl/>
        </w:rPr>
        <w:t xml:space="preserve"> שמפחית במשמעותו הכללית של הכלל </w:t>
      </w:r>
      <w:r w:rsidR="00282AE8" w:rsidRPr="00091D0D">
        <w:rPr>
          <w:rFonts w:ascii="Narkisim" w:hAnsi="Narkisim" w:cs="Narkisim"/>
          <w:szCs w:val="22"/>
          <w:rtl/>
        </w:rPr>
        <w:t>"דברה תורה בלשון בני אדם"</w:t>
      </w:r>
      <w:r w:rsidR="00282AE8">
        <w:rPr>
          <w:rFonts w:ascii="Narkisim" w:hAnsi="Narkisim" w:cs="Narkisim" w:hint="cs"/>
          <w:szCs w:val="22"/>
          <w:rtl/>
        </w:rPr>
        <w:t xml:space="preserve"> </w:t>
      </w:r>
      <w:r w:rsidR="0071003B">
        <w:rPr>
          <w:rFonts w:ascii="Narkisim" w:hAnsi="Narkisim" w:cs="Narkisim" w:hint="cs"/>
          <w:szCs w:val="22"/>
          <w:rtl/>
        </w:rPr>
        <w:t>ומדגיש שגם החכמים שהשתמשו ב</w:t>
      </w:r>
      <w:r w:rsidR="00282AE8">
        <w:rPr>
          <w:rFonts w:ascii="Narkisim" w:hAnsi="Narkisim" w:cs="Narkisim" w:hint="cs"/>
          <w:szCs w:val="22"/>
          <w:rtl/>
        </w:rPr>
        <w:t>ו</w:t>
      </w:r>
      <w:r w:rsidR="0071003B">
        <w:rPr>
          <w:rFonts w:ascii="Narkisim" w:hAnsi="Narkisim" w:cs="Narkisim" w:hint="cs"/>
          <w:szCs w:val="22"/>
          <w:rtl/>
        </w:rPr>
        <w:t xml:space="preserve"> עשו זאת </w:t>
      </w:r>
      <w:r w:rsidR="00F02978">
        <w:rPr>
          <w:rFonts w:ascii="Narkisim" w:hAnsi="Narkisim" w:cs="Narkisim" w:hint="cs"/>
          <w:szCs w:val="22"/>
          <w:rtl/>
        </w:rPr>
        <w:t xml:space="preserve">רק </w:t>
      </w:r>
      <w:r w:rsidR="0071003B">
        <w:rPr>
          <w:rFonts w:ascii="Narkisim" w:hAnsi="Narkisim" w:cs="Narkisim" w:hint="cs"/>
          <w:szCs w:val="22"/>
          <w:rtl/>
        </w:rPr>
        <w:t xml:space="preserve">במקרים מיוחדים ומסוימים בהם יש צורך. </w:t>
      </w:r>
    </w:p>
    <w:p w:rsidR="0037457B" w:rsidRDefault="0037457B" w:rsidP="00D039E1">
      <w:pPr>
        <w:pStyle w:val="ab"/>
        <w:rPr>
          <w:rtl/>
        </w:rPr>
      </w:pPr>
      <w:r>
        <w:rPr>
          <w:rtl/>
        </w:rPr>
        <w:t>ספרא קדושים פרשה ד סוף פרק ח</w:t>
      </w:r>
    </w:p>
    <w:p w:rsidR="0037457B" w:rsidRDefault="00D039E1" w:rsidP="00065E78">
      <w:pPr>
        <w:pStyle w:val="ac"/>
        <w:rPr>
          <w:rFonts w:hint="cs"/>
          <w:rtl/>
        </w:rPr>
      </w:pPr>
      <w:r>
        <w:rPr>
          <w:rFonts w:hint="cs"/>
          <w:rtl/>
        </w:rPr>
        <w:t>"</w:t>
      </w:r>
      <w:r w:rsidR="0037457B">
        <w:rPr>
          <w:rtl/>
        </w:rPr>
        <w:t>ואל בני ישראל תאמר</w:t>
      </w:r>
      <w:r>
        <w:rPr>
          <w:rFonts w:hint="cs"/>
          <w:rtl/>
        </w:rPr>
        <w:t>"</w:t>
      </w:r>
      <w:r w:rsidR="0037457B">
        <w:rPr>
          <w:rtl/>
        </w:rPr>
        <w:t xml:space="preserve">, </w:t>
      </w:r>
      <w:r>
        <w:rPr>
          <w:rFonts w:hint="cs"/>
          <w:rtl/>
        </w:rPr>
        <w:t>"</w:t>
      </w:r>
      <w:r w:rsidR="0037457B">
        <w:rPr>
          <w:rtl/>
        </w:rPr>
        <w:t>ואל בני ישראל תדבר</w:t>
      </w:r>
      <w:r>
        <w:rPr>
          <w:rFonts w:hint="cs"/>
          <w:rtl/>
        </w:rPr>
        <w:t>"</w:t>
      </w:r>
      <w:r w:rsidR="0037457B">
        <w:rPr>
          <w:rtl/>
        </w:rPr>
        <w:t xml:space="preserve">, </w:t>
      </w:r>
      <w:r>
        <w:rPr>
          <w:rFonts w:hint="cs"/>
          <w:rtl/>
        </w:rPr>
        <w:t>"</w:t>
      </w:r>
      <w:r w:rsidR="0037457B">
        <w:rPr>
          <w:rtl/>
        </w:rPr>
        <w:t>אמור אל בני ישראל</w:t>
      </w:r>
      <w:r>
        <w:rPr>
          <w:rFonts w:hint="cs"/>
          <w:rtl/>
        </w:rPr>
        <w:t>"</w:t>
      </w:r>
      <w:r w:rsidR="0037457B">
        <w:rPr>
          <w:rtl/>
        </w:rPr>
        <w:t xml:space="preserve">, </w:t>
      </w:r>
      <w:r>
        <w:rPr>
          <w:rFonts w:hint="cs"/>
          <w:rtl/>
        </w:rPr>
        <w:t>"</w:t>
      </w:r>
      <w:r w:rsidR="0037457B">
        <w:rPr>
          <w:rtl/>
        </w:rPr>
        <w:t>דבר אל בני ישראל</w:t>
      </w:r>
      <w:r>
        <w:rPr>
          <w:rFonts w:hint="cs"/>
          <w:rtl/>
        </w:rPr>
        <w:t>"</w:t>
      </w:r>
      <w:r w:rsidR="0037457B">
        <w:rPr>
          <w:rtl/>
        </w:rPr>
        <w:t xml:space="preserve">, </w:t>
      </w:r>
      <w:r>
        <w:rPr>
          <w:rFonts w:hint="cs"/>
          <w:rtl/>
        </w:rPr>
        <w:t>"</w:t>
      </w:r>
      <w:r w:rsidR="0037457B">
        <w:rPr>
          <w:rtl/>
        </w:rPr>
        <w:t>צו את בני ישראל</w:t>
      </w:r>
      <w:r>
        <w:rPr>
          <w:rFonts w:hint="cs"/>
          <w:rtl/>
        </w:rPr>
        <w:t>",</w:t>
      </w:r>
      <w:r w:rsidR="0037457B">
        <w:rPr>
          <w:rtl/>
        </w:rPr>
        <w:t xml:space="preserve"> </w:t>
      </w:r>
      <w:r>
        <w:rPr>
          <w:rFonts w:hint="cs"/>
          <w:rtl/>
        </w:rPr>
        <w:t>"</w:t>
      </w:r>
      <w:r w:rsidR="0037457B">
        <w:rPr>
          <w:rtl/>
        </w:rPr>
        <w:t>ואתה תצוה אל בני ישראל</w:t>
      </w:r>
      <w:r>
        <w:rPr>
          <w:rFonts w:hint="cs"/>
          <w:rtl/>
        </w:rPr>
        <w:t>"</w:t>
      </w:r>
      <w:r w:rsidR="0037457B">
        <w:rPr>
          <w:rtl/>
        </w:rPr>
        <w:t>, רבי יוסי אומר</w:t>
      </w:r>
      <w:r>
        <w:rPr>
          <w:rFonts w:hint="cs"/>
          <w:rtl/>
        </w:rPr>
        <w:t>:</w:t>
      </w:r>
      <w:r w:rsidR="0037457B">
        <w:rPr>
          <w:rtl/>
        </w:rPr>
        <w:t xml:space="preserve"> דברה תורה כלשון בני אדם בלשונות הרבה, וכולם צריכים להידרש</w:t>
      </w:r>
      <w:r w:rsidR="00065E78">
        <w:rPr>
          <w:rFonts w:hint="cs"/>
          <w:rtl/>
        </w:rPr>
        <w:t xml:space="preserve">: </w:t>
      </w:r>
      <w:r w:rsidR="0037457B">
        <w:rPr>
          <w:rtl/>
        </w:rPr>
        <w:t>ישראל אילו ישראל, גר אילו הגרים, הגר, לרבות נשי הגרים, בישראל, לרבות נשים ועבדים.</w:t>
      </w:r>
      <w:r w:rsidR="005E1A8D">
        <w:rPr>
          <w:rStyle w:val="a5"/>
          <w:rtl/>
        </w:rPr>
        <w:footnoteReference w:id="28"/>
      </w:r>
    </w:p>
    <w:p w:rsidR="00550FDC" w:rsidRDefault="00550FDC" w:rsidP="00550FDC">
      <w:pPr>
        <w:pStyle w:val="ab"/>
        <w:rPr>
          <w:rtl/>
        </w:rPr>
      </w:pPr>
      <w:r>
        <w:rPr>
          <w:rtl/>
        </w:rPr>
        <w:lastRenderedPageBreak/>
        <w:t>סנהדרין דף לח עמוד ב</w:t>
      </w:r>
    </w:p>
    <w:p w:rsidR="00D039E1" w:rsidRDefault="00550FDC" w:rsidP="00550FDC">
      <w:pPr>
        <w:pStyle w:val="ac"/>
        <w:rPr>
          <w:rFonts w:hint="cs"/>
          <w:rtl/>
        </w:rPr>
      </w:pPr>
      <w:r>
        <w:rPr>
          <w:rtl/>
        </w:rPr>
        <w:t>אמר ליה ההוא מינא לרבי ישמעאל ברבי יוסי: כתיב</w:t>
      </w:r>
      <w:r>
        <w:rPr>
          <w:rFonts w:hint="cs"/>
          <w:rtl/>
        </w:rPr>
        <w:t>:</w:t>
      </w:r>
      <w:r>
        <w:rPr>
          <w:rtl/>
        </w:rPr>
        <w:t xml:space="preserve"> </w:t>
      </w:r>
      <w:r>
        <w:rPr>
          <w:rFonts w:hint="cs"/>
          <w:rtl/>
        </w:rPr>
        <w:t>"</w:t>
      </w:r>
      <w:r>
        <w:rPr>
          <w:rtl/>
        </w:rPr>
        <w:t>וה' המטיר על סד</w:t>
      </w:r>
      <w:r w:rsidR="00F40B3D">
        <w:rPr>
          <w:rFonts w:hint="cs"/>
          <w:rtl/>
        </w:rPr>
        <w:t>ו</w:t>
      </w:r>
      <w:r>
        <w:rPr>
          <w:rtl/>
        </w:rPr>
        <w:t>ם ועל עמרה גפרית ואש מאת ה'</w:t>
      </w:r>
      <w:r>
        <w:rPr>
          <w:rFonts w:hint="cs"/>
          <w:rtl/>
        </w:rPr>
        <w:t xml:space="preserve"> "</w:t>
      </w:r>
      <w:r>
        <w:rPr>
          <w:rtl/>
        </w:rPr>
        <w:t>, מאתו מיבעי ליה! - אמר ליה ההוא כובס: שבקיה, אנא מהדרנא ליה, דכתיב</w:t>
      </w:r>
      <w:r>
        <w:rPr>
          <w:rFonts w:hint="cs"/>
          <w:rtl/>
        </w:rPr>
        <w:t>:</w:t>
      </w:r>
      <w:r>
        <w:rPr>
          <w:rtl/>
        </w:rPr>
        <w:t xml:space="preserve"> </w:t>
      </w:r>
      <w:r>
        <w:rPr>
          <w:rFonts w:hint="cs"/>
          <w:rtl/>
        </w:rPr>
        <w:t>"</w:t>
      </w:r>
      <w:r>
        <w:rPr>
          <w:rtl/>
        </w:rPr>
        <w:t>ויאמר למך לנשיו עדה וצלה שמען קולי נשי למך</w:t>
      </w:r>
      <w:r>
        <w:rPr>
          <w:rFonts w:hint="cs"/>
          <w:rtl/>
        </w:rPr>
        <w:t>"</w:t>
      </w:r>
      <w:r>
        <w:rPr>
          <w:rtl/>
        </w:rPr>
        <w:t>, נשיי מיבעי ליה! אלא: משתעי קרא הכי, הכא נמי - משתעי קרא הכי.</w:t>
      </w:r>
      <w:r w:rsidR="00F40B3D">
        <w:rPr>
          <w:rStyle w:val="a5"/>
          <w:rtl/>
        </w:rPr>
        <w:footnoteReference w:id="29"/>
      </w:r>
    </w:p>
    <w:p w:rsidR="00A24D8E" w:rsidRDefault="00A24D8E" w:rsidP="00A24D8E">
      <w:pPr>
        <w:pStyle w:val="ab"/>
        <w:rPr>
          <w:rtl/>
        </w:rPr>
      </w:pPr>
      <w:r>
        <w:rPr>
          <w:rtl/>
        </w:rPr>
        <w:t>רש"י בראשית פרק לב</w:t>
      </w:r>
      <w:r>
        <w:rPr>
          <w:rFonts w:hint="cs"/>
          <w:rtl/>
        </w:rPr>
        <w:t xml:space="preserve"> פסוק לב</w:t>
      </w:r>
      <w:r>
        <w:rPr>
          <w:rStyle w:val="a5"/>
          <w:rtl/>
        </w:rPr>
        <w:footnoteReference w:id="30"/>
      </w:r>
    </w:p>
    <w:p w:rsidR="00A24D8E" w:rsidRDefault="00A24D8E" w:rsidP="00F40B3D">
      <w:pPr>
        <w:pStyle w:val="ac"/>
        <w:rPr>
          <w:rFonts w:hint="cs"/>
          <w:rtl/>
        </w:rPr>
      </w:pPr>
      <w:r>
        <w:rPr>
          <w:rFonts w:hint="cs"/>
          <w:rtl/>
        </w:rPr>
        <w:t>"</w:t>
      </w:r>
      <w:r>
        <w:rPr>
          <w:rtl/>
        </w:rPr>
        <w:t>ויזרח לו השמש</w:t>
      </w:r>
      <w:r>
        <w:rPr>
          <w:rFonts w:hint="cs"/>
          <w:rtl/>
        </w:rPr>
        <w:t>"</w:t>
      </w:r>
      <w:r>
        <w:rPr>
          <w:rtl/>
        </w:rPr>
        <w:t xml:space="preserve"> - לשון בני אדם הוא, כשהגענו למקום פלוני האיר לנו השחר, זהו פשוטו. ומדרש אגדה ויזרח לו לצרכו, לרפאות את צלעתו, כמה דתימא (מלאכי ג כ) שמש צדקה ומרפא בכנפיה, ואותן שעות שמיהרה לשקוע בשבילו כשיצא מבאר שבע, מיהרה לזרוח בשבילו</w:t>
      </w:r>
      <w:r w:rsidR="00F40B3D">
        <w:rPr>
          <w:rFonts w:hint="cs"/>
          <w:rtl/>
        </w:rPr>
        <w:t>.</w:t>
      </w:r>
      <w:r w:rsidR="00F40B3D">
        <w:rPr>
          <w:rStyle w:val="a5"/>
          <w:rtl/>
        </w:rPr>
        <w:footnoteReference w:id="31"/>
      </w:r>
    </w:p>
    <w:p w:rsidR="00A24D8E" w:rsidRDefault="00A24D8E" w:rsidP="00F02978">
      <w:pPr>
        <w:pStyle w:val="ab"/>
        <w:rPr>
          <w:rtl/>
        </w:rPr>
      </w:pPr>
      <w:r>
        <w:rPr>
          <w:rtl/>
        </w:rPr>
        <w:t>אבן עזרא בראשית פרק א</w:t>
      </w:r>
      <w:r w:rsidR="00F02978">
        <w:rPr>
          <w:rFonts w:hint="cs"/>
          <w:rtl/>
        </w:rPr>
        <w:t xml:space="preserve"> פסוק כו</w:t>
      </w:r>
    </w:p>
    <w:p w:rsidR="00F02978" w:rsidRDefault="00A24D8E" w:rsidP="00F02978">
      <w:pPr>
        <w:pStyle w:val="ac"/>
        <w:rPr>
          <w:rFonts w:hint="cs"/>
          <w:rtl/>
        </w:rPr>
      </w:pPr>
      <w:r>
        <w:rPr>
          <w:rtl/>
        </w:rPr>
        <w:t>ואחר שידענו שהתורה דברה כלשון בני אדם, כי המדבר אדם גם כן השומע, ולא יוכל לדבר איש דברים בגבוה עליו או בשפל ממנו, רק על דרך דמות האדם, וכן אמר</w:t>
      </w:r>
      <w:r w:rsidR="00F02978">
        <w:rPr>
          <w:rFonts w:hint="cs"/>
          <w:rtl/>
        </w:rPr>
        <w:t>:</w:t>
      </w:r>
      <w:r>
        <w:rPr>
          <w:rtl/>
        </w:rPr>
        <w:t xml:space="preserve"> פי הארץ, יד הירדן (במד</w:t>
      </w:r>
      <w:r w:rsidR="00F02978">
        <w:rPr>
          <w:rFonts w:hint="cs"/>
          <w:rtl/>
        </w:rPr>
        <w:t>בר</w:t>
      </w:r>
      <w:r>
        <w:rPr>
          <w:rtl/>
        </w:rPr>
        <w:t xml:space="preserve"> יג כט), וראש עפרות תבל (משלי ח כו). וחלילה חלילה להיות דמות לשם.</w:t>
      </w:r>
      <w:r w:rsidR="007837FB">
        <w:rPr>
          <w:rStyle w:val="a5"/>
          <w:rtl/>
        </w:rPr>
        <w:footnoteReference w:id="32"/>
      </w:r>
    </w:p>
    <w:p w:rsidR="007837FB" w:rsidRDefault="007837FB" w:rsidP="004B4F64">
      <w:pPr>
        <w:pStyle w:val="ab"/>
        <w:rPr>
          <w:rtl/>
        </w:rPr>
      </w:pPr>
      <w:r>
        <w:rPr>
          <w:rtl/>
        </w:rPr>
        <w:t>פסיקתא זוטרתא (לקח טוב) שמות פרשת יתרו פרק כ</w:t>
      </w:r>
      <w:r>
        <w:rPr>
          <w:rFonts w:hint="cs"/>
          <w:rtl/>
        </w:rPr>
        <w:t xml:space="preserve"> </w:t>
      </w:r>
      <w:r>
        <w:rPr>
          <w:rtl/>
        </w:rPr>
        <w:t>סימן יא</w:t>
      </w:r>
    </w:p>
    <w:p w:rsidR="00A24D8E" w:rsidRDefault="007837FB" w:rsidP="007837FB">
      <w:pPr>
        <w:pStyle w:val="ac"/>
        <w:rPr>
          <w:rFonts w:hint="cs"/>
          <w:rtl/>
        </w:rPr>
      </w:pPr>
      <w:r>
        <w:rPr>
          <w:rFonts w:hint="cs"/>
          <w:rtl/>
        </w:rPr>
        <w:t>"</w:t>
      </w:r>
      <w:r>
        <w:rPr>
          <w:rtl/>
        </w:rPr>
        <w:t>כי ששת ימים עשה ה' את השמים ואת הארץ</w:t>
      </w:r>
      <w:r>
        <w:rPr>
          <w:rFonts w:hint="cs"/>
          <w:rtl/>
        </w:rPr>
        <w:t xml:space="preserve"> ... </w:t>
      </w:r>
      <w:r>
        <w:rPr>
          <w:rtl/>
        </w:rPr>
        <w:t>וינח ביום השביעי</w:t>
      </w:r>
      <w:r>
        <w:rPr>
          <w:rFonts w:hint="cs"/>
          <w:rtl/>
        </w:rPr>
        <w:t>"</w:t>
      </w:r>
      <w:r>
        <w:rPr>
          <w:rtl/>
        </w:rPr>
        <w:t>. וכי יש לפניו יגיעה</w:t>
      </w:r>
      <w:r>
        <w:rPr>
          <w:rFonts w:hint="cs"/>
          <w:rtl/>
        </w:rPr>
        <w:t>?</w:t>
      </w:r>
      <w:r>
        <w:rPr>
          <w:rtl/>
        </w:rPr>
        <w:t xml:space="preserve"> והא כתיב</w:t>
      </w:r>
      <w:r>
        <w:rPr>
          <w:rFonts w:hint="cs"/>
          <w:rtl/>
        </w:rPr>
        <w:t>:</w:t>
      </w:r>
      <w:r>
        <w:rPr>
          <w:rtl/>
        </w:rPr>
        <w:t xml:space="preserve"> </w:t>
      </w:r>
      <w:r>
        <w:rPr>
          <w:rFonts w:hint="cs"/>
          <w:rtl/>
        </w:rPr>
        <w:t>"</w:t>
      </w:r>
      <w:r>
        <w:rPr>
          <w:rtl/>
        </w:rPr>
        <w:t>לא ייעף ולא ייגע אין חקר לתבונתו</w:t>
      </w:r>
      <w:r>
        <w:rPr>
          <w:rFonts w:hint="cs"/>
          <w:rtl/>
        </w:rPr>
        <w:t>"</w:t>
      </w:r>
      <w:r>
        <w:rPr>
          <w:rtl/>
        </w:rPr>
        <w:t xml:space="preserve"> (ישעיה מ כח), ואומר</w:t>
      </w:r>
      <w:r>
        <w:rPr>
          <w:rFonts w:hint="cs"/>
          <w:rtl/>
        </w:rPr>
        <w:t>:</w:t>
      </w:r>
      <w:r>
        <w:rPr>
          <w:rtl/>
        </w:rPr>
        <w:t xml:space="preserve"> </w:t>
      </w:r>
      <w:r>
        <w:rPr>
          <w:rFonts w:hint="cs"/>
          <w:rtl/>
        </w:rPr>
        <w:t>"</w:t>
      </w:r>
      <w:r>
        <w:rPr>
          <w:rtl/>
        </w:rPr>
        <w:t>נותן ליעף כח</w:t>
      </w:r>
      <w:r>
        <w:rPr>
          <w:rFonts w:hint="cs"/>
          <w:rtl/>
        </w:rPr>
        <w:t>"</w:t>
      </w:r>
      <w:r>
        <w:rPr>
          <w:rtl/>
        </w:rPr>
        <w:t xml:space="preserve"> (שם שם כט), אלא ללמדך שלא דברה תורה אלא כלשון בני אדם.</w:t>
      </w:r>
      <w:r w:rsidR="004E4117">
        <w:rPr>
          <w:rStyle w:val="a5"/>
          <w:rtl/>
        </w:rPr>
        <w:footnoteReference w:id="33"/>
      </w:r>
    </w:p>
    <w:p w:rsidR="00D257E1" w:rsidRDefault="005D2A7F" w:rsidP="003E32B0">
      <w:pPr>
        <w:pStyle w:val="ad"/>
        <w:spacing w:before="120"/>
        <w:rPr>
          <w:rFonts w:hint="cs"/>
          <w:rtl/>
        </w:rPr>
      </w:pPr>
      <w:r w:rsidRPr="00E43532">
        <w:rPr>
          <w:rtl/>
        </w:rPr>
        <w:t>שבת שלום</w:t>
      </w:r>
    </w:p>
    <w:p w:rsidR="005D2A7F" w:rsidRDefault="005D2A7F" w:rsidP="00B93FC7">
      <w:pPr>
        <w:pStyle w:val="ad"/>
        <w:rPr>
          <w:rFonts w:hint="cs"/>
          <w:rtl/>
        </w:rPr>
      </w:pPr>
      <w:r w:rsidRPr="00E43532">
        <w:rPr>
          <w:rtl/>
        </w:rPr>
        <w:t>מחלקי המים</w:t>
      </w:r>
    </w:p>
    <w:p w:rsidR="00E92E56" w:rsidRDefault="00EC2C25" w:rsidP="00262E28">
      <w:pPr>
        <w:pStyle w:val="ad"/>
        <w:rPr>
          <w:rFonts w:hint="cs"/>
          <w:rtl/>
        </w:rPr>
      </w:pPr>
      <w:r w:rsidRPr="00EC2C25">
        <w:rPr>
          <w:rFonts w:hint="cs"/>
          <w:b w:val="0"/>
          <w:bCs w:val="0"/>
          <w:szCs w:val="22"/>
          <w:rtl/>
        </w:rPr>
        <w:t>מים אחרונים: שתי השיטות צריכות עיון נוסף. האם מי שאומר: דברה תורה בלשון בני אדם" כוונתו לכתחילה או רק בדיעבד? ולשיטה ה</w:t>
      </w:r>
      <w:r>
        <w:rPr>
          <w:rFonts w:hint="cs"/>
          <w:b w:val="0"/>
          <w:bCs w:val="0"/>
          <w:szCs w:val="22"/>
          <w:rtl/>
        </w:rPr>
        <w:t xml:space="preserve">נגדית, </w:t>
      </w:r>
      <w:r w:rsidRPr="00EC2C25">
        <w:rPr>
          <w:rFonts w:hint="cs"/>
          <w:b w:val="0"/>
          <w:bCs w:val="0"/>
          <w:szCs w:val="22"/>
          <w:rtl/>
        </w:rPr>
        <w:t>האם</w:t>
      </w:r>
      <w:r>
        <w:rPr>
          <w:rFonts w:hint="cs"/>
          <w:b w:val="0"/>
          <w:bCs w:val="0"/>
          <w:szCs w:val="22"/>
          <w:rtl/>
        </w:rPr>
        <w:t xml:space="preserve"> אף פעם לא מדברת התורה בלשון בני אדם? האם היא רק נדרשת לריבוי לשונות?</w:t>
      </w:r>
    </w:p>
    <w:sectPr w:rsidR="00E92E56" w:rsidSect="00383836">
      <w:headerReference w:type="default" r:id="rId9"/>
      <w:footerReference w:type="default" r:id="rId10"/>
      <w:headerReference w:type="first" r:id="rId11"/>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244" w:rsidRDefault="00C40244">
      <w:r>
        <w:separator/>
      </w:r>
    </w:p>
  </w:endnote>
  <w:endnote w:type="continuationSeparator" w:id="0">
    <w:p w:rsidR="00C40244" w:rsidRDefault="00C4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FB" w:rsidRPr="00F8747C" w:rsidRDefault="007837F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D1C5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D1C54">
      <w:rPr>
        <w:rStyle w:val="af"/>
        <w:noProof/>
        <w:rtl/>
      </w:rPr>
      <w:t>4</w:t>
    </w:r>
    <w:r w:rsidRPr="00F8747C">
      <w:rPr>
        <w:rStyle w:val="af"/>
      </w:rPr>
      <w:fldChar w:fldCharType="end"/>
    </w:r>
  </w:p>
  <w:p w:rsidR="007837FB" w:rsidRPr="00827984" w:rsidRDefault="007837FB"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244" w:rsidRDefault="00C40244">
      <w:r>
        <w:rPr>
          <w:rFonts w:cs="Miriam"/>
        </w:rPr>
        <w:separator/>
      </w:r>
    </w:p>
  </w:footnote>
  <w:footnote w:type="continuationSeparator" w:id="0">
    <w:p w:rsidR="00C40244" w:rsidRDefault="00C40244">
      <w:r>
        <w:continuationSeparator/>
      </w:r>
    </w:p>
  </w:footnote>
  <w:footnote w:id="1">
    <w:p w:rsidR="007837FB" w:rsidRDefault="007837FB" w:rsidP="008B6179">
      <w:pPr>
        <w:pStyle w:val="a3"/>
        <w:rPr>
          <w:rFonts w:hint="cs"/>
          <w:rtl/>
        </w:rPr>
      </w:pPr>
      <w:r>
        <w:rPr>
          <w:rStyle w:val="a5"/>
        </w:rPr>
        <w:footnoteRef/>
      </w:r>
      <w:r>
        <w:rPr>
          <w:rtl/>
        </w:rPr>
        <w:t xml:space="preserve"> </w:t>
      </w:r>
      <w:r>
        <w:rPr>
          <w:rFonts w:hint="cs"/>
          <w:rtl/>
        </w:rPr>
        <w:t xml:space="preserve">רש"י מפרש בפשטות: "יפליא </w:t>
      </w:r>
      <w:r>
        <w:rPr>
          <w:rtl/>
        </w:rPr>
        <w:t>–</w:t>
      </w:r>
      <w:r>
        <w:rPr>
          <w:rFonts w:hint="cs"/>
          <w:rtl/>
        </w:rPr>
        <w:t xml:space="preserve"> יפריש". אבל </w:t>
      </w:r>
      <w:r>
        <w:rPr>
          <w:rtl/>
        </w:rPr>
        <w:t xml:space="preserve">אבן עזרא </w:t>
      </w:r>
      <w:r>
        <w:rPr>
          <w:rFonts w:hint="cs"/>
          <w:rtl/>
        </w:rPr>
        <w:t>מעצים: "</w:t>
      </w:r>
      <w:r>
        <w:rPr>
          <w:rtl/>
        </w:rPr>
        <w:t>יפל</w:t>
      </w:r>
      <w:r>
        <w:rPr>
          <w:rFonts w:hint="cs"/>
          <w:rtl/>
        </w:rPr>
        <w:t>י</w:t>
      </w:r>
      <w:r>
        <w:rPr>
          <w:rtl/>
        </w:rPr>
        <w:t>א - יפריש, או יעשה דבר פלא, כי רוב העולם הולכים אחר תאותם</w:t>
      </w:r>
      <w:r>
        <w:rPr>
          <w:rFonts w:hint="cs"/>
          <w:rtl/>
        </w:rPr>
        <w:t xml:space="preserve"> ... </w:t>
      </w:r>
      <w:r>
        <w:rPr>
          <w:rtl/>
        </w:rPr>
        <w:t>ועשה זה לעבודת השם</w:t>
      </w:r>
      <w:r>
        <w:rPr>
          <w:rFonts w:hint="cs"/>
          <w:rtl/>
        </w:rPr>
        <w:t>". הרי לנו כבר רבדים לשוניים בפסוק או במילה אחת. אז מה היא "לשון בני אדם"?</w:t>
      </w:r>
    </w:p>
  </w:footnote>
  <w:footnote w:id="2">
    <w:p w:rsidR="007837FB" w:rsidRDefault="007837FB" w:rsidP="008B6692">
      <w:pPr>
        <w:pStyle w:val="a3"/>
        <w:rPr>
          <w:rFonts w:hint="cs"/>
          <w:rtl/>
        </w:rPr>
      </w:pPr>
      <w:r>
        <w:rPr>
          <w:rStyle w:val="a5"/>
        </w:rPr>
        <w:footnoteRef/>
      </w:r>
      <w:r>
        <w:rPr>
          <w:rtl/>
        </w:rPr>
        <w:t xml:space="preserve"> </w:t>
      </w:r>
      <w:r>
        <w:rPr>
          <w:rFonts w:hint="cs"/>
          <w:rtl/>
        </w:rPr>
        <w:t xml:space="preserve">כינויי נזירות או נדרים, </w:t>
      </w:r>
      <w:r w:rsidR="008B6692">
        <w:rPr>
          <w:rFonts w:hint="cs"/>
          <w:rtl/>
        </w:rPr>
        <w:t>כמ</w:t>
      </w:r>
      <w:r>
        <w:rPr>
          <w:rFonts w:hint="cs"/>
          <w:rtl/>
        </w:rPr>
        <w:t xml:space="preserve">ו גם ידות נזירות או נדרים הם מילים בהם האדם נודר או מקבל עליו נזירות בלשון עקיפה. אין הוא אומר בפירוש: אני נודר (הלשון הכי חזקה היא השימוש במילה "קרבן" בהקשר זה שמשמעותו הרי זה עלי כקרבן), אלא בלשון עקיפה כמו שהמשנה הפותחת את מסכת נדרים אומרת: "מופרשני ממך, מרוחקני ממך וכו' ". לגבי ההבדל המדויק בין כינוי ובין "יד", ראה רש"י והמפרשים על המשנה. ראה </w:t>
      </w:r>
      <w:r w:rsidR="008B6692">
        <w:rPr>
          <w:rFonts w:hint="cs"/>
          <w:rtl/>
        </w:rPr>
        <w:t xml:space="preserve">עוד </w:t>
      </w:r>
      <w:r>
        <w:rPr>
          <w:rFonts w:hint="cs"/>
          <w:rtl/>
        </w:rPr>
        <w:t>לשון תפילת "כל נדרי" שמוזכר בה "וכינויי" ולא נזכר בה ידות.</w:t>
      </w:r>
    </w:p>
  </w:footnote>
  <w:footnote w:id="3">
    <w:p w:rsidR="007837FB" w:rsidRDefault="007837FB" w:rsidP="008B6692">
      <w:pPr>
        <w:pStyle w:val="a3"/>
        <w:rPr>
          <w:rFonts w:hint="cs"/>
          <w:rtl/>
        </w:rPr>
      </w:pPr>
      <w:r>
        <w:rPr>
          <w:rStyle w:val="a5"/>
        </w:rPr>
        <w:footnoteRef/>
      </w:r>
      <w:r>
        <w:rPr>
          <w:rtl/>
        </w:rPr>
        <w:t xml:space="preserve"> </w:t>
      </w:r>
      <w:r w:rsidR="008B6692">
        <w:rPr>
          <w:rFonts w:hint="cs"/>
          <w:rtl/>
        </w:rPr>
        <w:t xml:space="preserve">דין ידות לומדים מנזירות לנדרים, אבל הלימוד הוא הדדי - </w:t>
      </w:r>
      <w:r>
        <w:rPr>
          <w:rFonts w:hint="cs"/>
          <w:rtl/>
        </w:rPr>
        <w:t xml:space="preserve">דיני נדרים ודיני נזירות מלמדים הלכות רבות </w:t>
      </w:r>
      <w:r w:rsidR="008B6692">
        <w:rPr>
          <w:rFonts w:hint="cs"/>
          <w:rtl/>
        </w:rPr>
        <w:t>מהאחד לשני</w:t>
      </w:r>
      <w:r>
        <w:rPr>
          <w:rFonts w:hint="cs"/>
          <w:rtl/>
        </w:rPr>
        <w:t>.</w:t>
      </w:r>
    </w:p>
  </w:footnote>
  <w:footnote w:id="4">
    <w:p w:rsidR="007837FB" w:rsidRDefault="007837FB">
      <w:pPr>
        <w:pStyle w:val="a3"/>
        <w:rPr>
          <w:rFonts w:hint="cs"/>
        </w:rPr>
      </w:pPr>
      <w:r>
        <w:rPr>
          <w:rStyle w:val="a5"/>
        </w:rPr>
        <w:footnoteRef/>
      </w:r>
      <w:r>
        <w:rPr>
          <w:rtl/>
        </w:rPr>
        <w:t xml:space="preserve"> </w:t>
      </w:r>
      <w:r w:rsidR="008B6692">
        <w:rPr>
          <w:rFonts w:hint="cs"/>
          <w:rtl/>
        </w:rPr>
        <w:t xml:space="preserve">אבל </w:t>
      </w:r>
      <w:r>
        <w:rPr>
          <w:rFonts w:hint="cs"/>
          <w:rtl/>
        </w:rPr>
        <w:t>מאיפה לנו שבנזירות יש דין של ידות? מכפל (מייתור) הלשון "נזיר להזיר".</w:t>
      </w:r>
    </w:p>
  </w:footnote>
  <w:footnote w:id="5">
    <w:p w:rsidR="007837FB" w:rsidRDefault="007837FB">
      <w:pPr>
        <w:pStyle w:val="a3"/>
        <w:rPr>
          <w:rFonts w:hint="cs"/>
          <w:rtl/>
        </w:rPr>
      </w:pPr>
      <w:r>
        <w:rPr>
          <w:rStyle w:val="a5"/>
        </w:rPr>
        <w:footnoteRef/>
      </w:r>
      <w:r>
        <w:rPr>
          <w:rtl/>
        </w:rPr>
        <w:t xml:space="preserve"> </w:t>
      </w:r>
      <w:r w:rsidR="008B6692">
        <w:rPr>
          <w:rFonts w:hint="cs"/>
          <w:rtl/>
        </w:rPr>
        <w:t xml:space="preserve">הרי </w:t>
      </w:r>
      <w:r>
        <w:rPr>
          <w:rFonts w:hint="cs"/>
          <w:rtl/>
        </w:rPr>
        <w:t>גם בנדרים יש כפל לשון "לנדור נדר", אז למה אני צריך ללמוד דין ידות מנזיר? נלמד אותו מכפל (ייתור) הלשון בנדר עצמו.</w:t>
      </w:r>
    </w:p>
  </w:footnote>
  <w:footnote w:id="6">
    <w:p w:rsidR="007837FB" w:rsidRDefault="007837FB">
      <w:pPr>
        <w:pStyle w:val="a3"/>
        <w:rPr>
          <w:rFonts w:hint="cs"/>
        </w:rPr>
      </w:pPr>
      <w:r>
        <w:rPr>
          <w:rStyle w:val="a5"/>
        </w:rPr>
        <w:footnoteRef/>
      </w:r>
      <w:r>
        <w:rPr>
          <w:rtl/>
        </w:rPr>
        <w:t xml:space="preserve"> </w:t>
      </w:r>
      <w:r>
        <w:rPr>
          <w:rFonts w:hint="cs"/>
          <w:rtl/>
        </w:rPr>
        <w:t xml:space="preserve">הגמרא עושה כאן הבחנה לשונית מאד עדינה. הלשון "נזיר להזיר" היא שונה מהרגיל ובאה ללמד אותנו דין ידות וכינויים, כך היה גם אילו כתבה התורה: "נדר לנדור". ואז לא היינו צריכים להקיש מנזירות לנדרים בדין ידות וכינויים. אבל כתבה התורה "לנדור נדר" שהוא לשון בני אדם, כמו "לאכול מאכל", </w:t>
      </w:r>
      <w:r w:rsidR="008B6692">
        <w:rPr>
          <w:rFonts w:hint="cs"/>
          <w:rtl/>
        </w:rPr>
        <w:t xml:space="preserve">"לחשוב מחשבות", </w:t>
      </w:r>
      <w:r>
        <w:rPr>
          <w:rFonts w:hint="cs"/>
          <w:rtl/>
        </w:rPr>
        <w:t>"לנאום נאום" וכו'. ומלשון כזו אין ללמוד הלכות.</w:t>
      </w:r>
      <w:r w:rsidR="008B6692">
        <w:rPr>
          <w:rFonts w:hint="cs"/>
          <w:rtl/>
        </w:rPr>
        <w:t xml:space="preserve"> זו לשון רגילה של בני אדם והתורה מדברת אל בני האדם בשפתם וכהבנתם. ואנו מיד שואלים: האם זה כלל חיובי ולכתחילה, או שמא רק כאשר הדרשן נדחק ואין לו תשובה אחרת הוא נוקט בכלל זה? </w:t>
      </w:r>
    </w:p>
  </w:footnote>
  <w:footnote w:id="7">
    <w:p w:rsidR="007837FB" w:rsidRDefault="007837FB" w:rsidP="00262E28">
      <w:pPr>
        <w:pStyle w:val="a3"/>
        <w:rPr>
          <w:rFonts w:hint="cs"/>
        </w:rPr>
      </w:pPr>
      <w:r>
        <w:rPr>
          <w:rStyle w:val="a5"/>
        </w:rPr>
        <w:footnoteRef/>
      </w:r>
      <w:r>
        <w:rPr>
          <w:rtl/>
        </w:rPr>
        <w:t xml:space="preserve"> </w:t>
      </w:r>
      <w:r>
        <w:rPr>
          <w:rFonts w:hint="cs"/>
          <w:rtl/>
        </w:rPr>
        <w:t xml:space="preserve">ולשיטה זו אכן נלמד שידות נדרים כנדרים מכפל הלשון "לנדור נדר", וההיקש לנזירות </w:t>
      </w:r>
      <w:r w:rsidR="00EC2C25">
        <w:rPr>
          <w:rFonts w:hint="cs"/>
          <w:rtl/>
        </w:rPr>
        <w:t>בא לחזק או ללימוד דינים</w:t>
      </w:r>
      <w:r>
        <w:rPr>
          <w:rFonts w:hint="cs"/>
          <w:rtl/>
        </w:rPr>
        <w:t xml:space="preserve"> אחרים. לא ניכנס כאן לכל עובי הקורה ונשאיר את המשך הסוגיה לבעלי תריסין. לעניינינו, יש שיטה שאינה מקבלת את הכלל "דברה תורה בלשון בני אדם" ולפיה כל כפל או תוספת לשון, יש ללמוד ממנ</w:t>
      </w:r>
      <w:r w:rsidR="00262E28">
        <w:rPr>
          <w:rFonts w:hint="cs"/>
          <w:rtl/>
        </w:rPr>
        <w:t>ו</w:t>
      </w:r>
      <w:r>
        <w:rPr>
          <w:rFonts w:hint="cs"/>
          <w:rtl/>
        </w:rPr>
        <w:t xml:space="preserve"> הלכות ודינים ולסבור ולפרש </w:t>
      </w:r>
      <w:r w:rsidR="00262E28">
        <w:rPr>
          <w:rFonts w:hint="cs"/>
          <w:rtl/>
        </w:rPr>
        <w:t>ל</w:t>
      </w:r>
      <w:r>
        <w:rPr>
          <w:rFonts w:hint="cs"/>
          <w:rtl/>
        </w:rPr>
        <w:t xml:space="preserve">מה התכוונה התורה בתוספת לשון זו. התורה </w:t>
      </w:r>
      <w:r w:rsidR="00262E28">
        <w:rPr>
          <w:rFonts w:hint="cs"/>
          <w:rtl/>
        </w:rPr>
        <w:t xml:space="preserve">אולי </w:t>
      </w:r>
      <w:r>
        <w:rPr>
          <w:rFonts w:hint="cs"/>
          <w:rtl/>
        </w:rPr>
        <w:t xml:space="preserve">מדברת </w:t>
      </w:r>
      <w:r w:rsidR="00EC2C25">
        <w:rPr>
          <w:rFonts w:hint="cs"/>
          <w:rtl/>
        </w:rPr>
        <w:t xml:space="preserve">בד"כ </w:t>
      </w:r>
      <w:r>
        <w:rPr>
          <w:rFonts w:hint="cs"/>
          <w:rtl/>
        </w:rPr>
        <w:t>בשפת בני האדם</w:t>
      </w:r>
      <w:r w:rsidR="00EC2C25">
        <w:rPr>
          <w:rFonts w:hint="cs"/>
          <w:rtl/>
        </w:rPr>
        <w:t>, אבל כאשר יש שינוי לשון בולט אין זו מליצה או 'לשון גבוהה'</w:t>
      </w:r>
      <w:r w:rsidR="00262E28">
        <w:rPr>
          <w:rFonts w:hint="cs"/>
          <w:rtl/>
        </w:rPr>
        <w:t>, אלא מסתתרת שם כוונה הלכתית ויש למצוא אותה</w:t>
      </w:r>
      <w:r>
        <w:rPr>
          <w:rFonts w:hint="cs"/>
          <w:rtl/>
        </w:rPr>
        <w:t>! מכאן, נחזור לדעה הראשונה שטוענת שכן דברה התורה כלשון בני האדם ואפשר (צריך) לקרוא פסוקים מסוימים כפשוטם, כפי שאנחנו בני האדם היינו כותבים או מדברים. כולל לעתים לשון מליצית.</w:t>
      </w:r>
    </w:p>
  </w:footnote>
  <w:footnote w:id="8">
    <w:p w:rsidR="007837FB" w:rsidRDefault="007837FB" w:rsidP="00C47563">
      <w:pPr>
        <w:pStyle w:val="a3"/>
        <w:rPr>
          <w:rFonts w:hint="cs"/>
        </w:rPr>
      </w:pPr>
      <w:r>
        <w:rPr>
          <w:rStyle w:val="a5"/>
        </w:rPr>
        <w:footnoteRef/>
      </w:r>
      <w:r>
        <w:rPr>
          <w:rtl/>
        </w:rPr>
        <w:t xml:space="preserve"> </w:t>
      </w:r>
      <w:r>
        <w:rPr>
          <w:rFonts w:hint="cs"/>
          <w:rtl/>
        </w:rPr>
        <w:t>ראה הפסוק המלא בראש פרשת מטות, שהוא מקור מרכזי לדיני נדרים: "</w:t>
      </w:r>
      <w:r>
        <w:rPr>
          <w:rtl/>
        </w:rPr>
        <w:t>אִישׁ כִּי יִדֹּר נֶדֶר לַה' אוֹ הִשָּׁבַע שְׁבֻעָה לֶאְסֹר אִסָּר עַל נַפְשׁוֹ לֹא יַחֵל דְּבָרוֹ כְּכָל הַיֹּצֵא מִפִּיו יַעֲשֶׂה</w:t>
      </w:r>
      <w:r>
        <w:rPr>
          <w:rFonts w:hint="cs"/>
          <w:rtl/>
        </w:rPr>
        <w:t xml:space="preserve">". ראה דברינו </w:t>
      </w:r>
      <w:hyperlink r:id="rId1" w:history="1">
        <w:r w:rsidRPr="008C63B7">
          <w:rPr>
            <w:rStyle w:val="Hyperlink"/>
            <w:rFonts w:hint="cs"/>
            <w:rtl/>
          </w:rPr>
          <w:t>איש כי ידור נדר לה'</w:t>
        </w:r>
      </w:hyperlink>
      <w:r>
        <w:rPr>
          <w:rFonts w:hint="cs"/>
          <w:rtl/>
        </w:rPr>
        <w:t xml:space="preserve"> בפרשת מטות.</w:t>
      </w:r>
    </w:p>
  </w:footnote>
  <w:footnote w:id="9">
    <w:p w:rsidR="007837FB" w:rsidRDefault="007837FB">
      <w:pPr>
        <w:pStyle w:val="a3"/>
        <w:rPr>
          <w:rFonts w:hint="cs"/>
          <w:rtl/>
        </w:rPr>
      </w:pPr>
      <w:r>
        <w:rPr>
          <w:rStyle w:val="a5"/>
        </w:rPr>
        <w:footnoteRef/>
      </w:r>
      <w:r>
        <w:rPr>
          <w:rtl/>
        </w:rPr>
        <w:t xml:space="preserve"> </w:t>
      </w:r>
      <w:r>
        <w:rPr>
          <w:rFonts w:hint="cs"/>
          <w:rtl/>
        </w:rPr>
        <w:t>וכך גם לגבי חרמים ונזירות, ראה שם. בכולם יש כינויים.</w:t>
      </w:r>
    </w:p>
  </w:footnote>
  <w:footnote w:id="10">
    <w:p w:rsidR="007837FB" w:rsidRDefault="007837FB" w:rsidP="00C47563">
      <w:pPr>
        <w:pStyle w:val="a3"/>
        <w:rPr>
          <w:rFonts w:hint="cs"/>
        </w:rPr>
      </w:pPr>
      <w:r>
        <w:rPr>
          <w:rStyle w:val="a5"/>
        </w:rPr>
        <w:footnoteRef/>
      </w:r>
      <w:r>
        <w:rPr>
          <w:rtl/>
        </w:rPr>
        <w:t xml:space="preserve"> </w:t>
      </w:r>
      <w:r>
        <w:rPr>
          <w:rFonts w:hint="cs"/>
          <w:rtl/>
        </w:rPr>
        <w:t xml:space="preserve">זו שיטת רבי עקיבא שדורש כל אות ומילה </w:t>
      </w:r>
      <w:r w:rsidR="00C47563">
        <w:rPr>
          <w:rFonts w:hint="cs"/>
          <w:rtl/>
        </w:rPr>
        <w:t>וכל ריבוי לשון ש</w:t>
      </w:r>
      <w:r>
        <w:rPr>
          <w:rFonts w:hint="cs"/>
          <w:rtl/>
        </w:rPr>
        <w:t>בתורה.</w:t>
      </w:r>
    </w:p>
  </w:footnote>
  <w:footnote w:id="11">
    <w:p w:rsidR="007837FB" w:rsidRDefault="007837FB">
      <w:pPr>
        <w:pStyle w:val="a3"/>
        <w:rPr>
          <w:rFonts w:hint="cs"/>
          <w:rtl/>
        </w:rPr>
      </w:pPr>
      <w:r>
        <w:rPr>
          <w:rStyle w:val="a5"/>
        </w:rPr>
        <w:footnoteRef/>
      </w:r>
      <w:r>
        <w:rPr>
          <w:rtl/>
        </w:rPr>
        <w:t xml:space="preserve"> </w:t>
      </w:r>
      <w:r>
        <w:rPr>
          <w:rFonts w:hint="cs"/>
          <w:rtl/>
        </w:rPr>
        <w:t>פה צריך לשים סימן שאלה. מה נעשה עם שיטת ר' ישמעאל שסובר שלשונות כפולים בתורה הם דרך דיבור ואין (בהכרח) לדרוש מהם הלכות?</w:t>
      </w:r>
      <w:r w:rsidR="00C47563">
        <w:rPr>
          <w:rFonts w:hint="cs"/>
          <w:rtl/>
        </w:rPr>
        <w:t xml:space="preserve"> מאיפה הוא לומד דין כינויי נדרים?</w:t>
      </w:r>
      <w:r>
        <w:rPr>
          <w:rFonts w:hint="cs"/>
          <w:rtl/>
        </w:rPr>
        <w:t xml:space="preserve">  </w:t>
      </w:r>
    </w:p>
  </w:footnote>
  <w:footnote w:id="12">
    <w:p w:rsidR="007837FB" w:rsidRDefault="007837FB">
      <w:pPr>
        <w:pStyle w:val="a3"/>
        <w:rPr>
          <w:rFonts w:hint="cs"/>
          <w:rtl/>
        </w:rPr>
      </w:pPr>
      <w:r>
        <w:rPr>
          <w:rStyle w:val="a5"/>
        </w:rPr>
        <w:footnoteRef/>
      </w:r>
      <w:r>
        <w:rPr>
          <w:rtl/>
        </w:rPr>
        <w:t xml:space="preserve"> </w:t>
      </w:r>
      <w:r>
        <w:rPr>
          <w:rFonts w:hint="cs"/>
          <w:rtl/>
        </w:rPr>
        <w:t>אלה דוגמאות ללשונות כפולים בשיטת ר' ישמעאל. אבל אפשר להעיר שכל הדוגמאות האלה הם מספר בראשית!</w:t>
      </w:r>
    </w:p>
  </w:footnote>
  <w:footnote w:id="13">
    <w:p w:rsidR="007837FB" w:rsidRDefault="007837FB" w:rsidP="002E20F0">
      <w:pPr>
        <w:pStyle w:val="a3"/>
        <w:rPr>
          <w:rFonts w:hint="cs"/>
        </w:rPr>
      </w:pPr>
      <w:r>
        <w:rPr>
          <w:rStyle w:val="a5"/>
        </w:rPr>
        <w:footnoteRef/>
      </w:r>
      <w:r>
        <w:rPr>
          <w:rtl/>
        </w:rPr>
        <w:t xml:space="preserve"> </w:t>
      </w:r>
      <w:r>
        <w:rPr>
          <w:rFonts w:hint="cs"/>
          <w:rtl/>
        </w:rPr>
        <w:t>מנין לר' ישמעאל דין כינויים בנדרים, שבועות וכו'?</w:t>
      </w:r>
    </w:p>
  </w:footnote>
  <w:footnote w:id="14">
    <w:p w:rsidR="007837FB" w:rsidRDefault="007837FB" w:rsidP="00C47563">
      <w:pPr>
        <w:pStyle w:val="a3"/>
        <w:rPr>
          <w:rFonts w:hint="cs"/>
          <w:rtl/>
        </w:rPr>
      </w:pPr>
      <w:r>
        <w:rPr>
          <w:rStyle w:val="a5"/>
        </w:rPr>
        <w:footnoteRef/>
      </w:r>
      <w:r>
        <w:rPr>
          <w:rtl/>
        </w:rPr>
        <w:t xml:space="preserve"> </w:t>
      </w:r>
      <w:r>
        <w:rPr>
          <w:rFonts w:hint="cs"/>
          <w:rtl/>
        </w:rPr>
        <w:t>ר' ישמעאל לומד דין כינויים מהמשך הפסוק (</w:t>
      </w:r>
      <w:r w:rsidR="00C47563">
        <w:rPr>
          <w:rFonts w:hint="cs"/>
          <w:rtl/>
        </w:rPr>
        <w:t xml:space="preserve">ראה </w:t>
      </w:r>
      <w:r>
        <w:rPr>
          <w:rFonts w:hint="cs"/>
          <w:rtl/>
        </w:rPr>
        <w:t>הערה 8), מהמילים: "ככל היוצא מפיו יעשה". והגמרא תשאל כמובן בהמשך מה לומד ר' עקיבא ממילים אלה וכן הלאה בסוגיה שם. אנו נעצור כאן ונצביע על הביטוי: "התורה דברה כדרכה" שהוא המקביל בתלמוד הירושלמי לביטוי הבבלי "דברה תורה כלשון בני אדם". האם יש כאן הבדל לשוני מהותי בין הבבלי לירושלמי או שמא נאמר שגם חכמים דברו בלשונם וכדרכם</w:t>
      </w:r>
      <w:r w:rsidR="00C47563">
        <w:rPr>
          <w:rFonts w:hint="cs"/>
          <w:rtl/>
        </w:rPr>
        <w:t xml:space="preserve"> </w:t>
      </w:r>
      <w:r w:rsidR="00C47563">
        <w:rPr>
          <w:rtl/>
        </w:rPr>
        <w:t>–</w:t>
      </w:r>
      <w:r w:rsidR="00C47563">
        <w:rPr>
          <w:rFonts w:hint="cs"/>
          <w:rtl/>
        </w:rPr>
        <w:t xml:space="preserve"> לשון בבל ולשון ארץ ישראל</w:t>
      </w:r>
      <w:r>
        <w:rPr>
          <w:rFonts w:hint="cs"/>
          <w:rtl/>
        </w:rPr>
        <w:t>. כך או כך, יש גם הבדל כמותי ניכר. את לשון הירושלמי "התורה דברה כדרכה" מצאנו רק עוד פעם אחת במסכת שבת פרק יט הלכה ב, אבל לשון הבבלי "דברה תורה בלשון בני אדם" מצוי במקומות רבים בתלמוד הבבלי וגם במדרשי ההלכה</w:t>
      </w:r>
      <w:r w:rsidR="00C47563">
        <w:rPr>
          <w:rFonts w:hint="cs"/>
          <w:rtl/>
        </w:rPr>
        <w:t>, מקצת מהם נראה להלן</w:t>
      </w:r>
      <w:r>
        <w:rPr>
          <w:rFonts w:hint="cs"/>
          <w:rtl/>
        </w:rPr>
        <w:t>.</w:t>
      </w:r>
    </w:p>
  </w:footnote>
  <w:footnote w:id="15">
    <w:p w:rsidR="007837FB" w:rsidRDefault="007837FB" w:rsidP="00594E3B">
      <w:pPr>
        <w:pStyle w:val="a3"/>
        <w:rPr>
          <w:rFonts w:hint="cs"/>
          <w:rtl/>
        </w:rPr>
      </w:pPr>
      <w:r>
        <w:rPr>
          <w:rStyle w:val="a5"/>
        </w:rPr>
        <w:footnoteRef/>
      </w:r>
      <w:r>
        <w:rPr>
          <w:rtl/>
        </w:rPr>
        <w:t xml:space="preserve"> </w:t>
      </w:r>
      <w:r>
        <w:rPr>
          <w:rFonts w:hint="cs"/>
          <w:rtl/>
        </w:rPr>
        <w:t xml:space="preserve">בפסח שעשה יאשיהו המלך ברוב עם, ראה פירושו המעניין של רש"י שם על טיבו של פסח זה. עכ"פ, מכאן ראיה לשיטת ר' יאשיה שגם צלי ו'על האש' הוא סוג של בישול ולפיכך הנודר שלא יאכל מבושל אסור גם בצלי ושלוק. </w:t>
      </w:r>
    </w:p>
  </w:footnote>
  <w:footnote w:id="16">
    <w:p w:rsidR="007837FB" w:rsidRDefault="007837FB">
      <w:pPr>
        <w:pStyle w:val="a3"/>
        <w:rPr>
          <w:rFonts w:hint="cs"/>
          <w:rtl/>
        </w:rPr>
      </w:pPr>
      <w:r>
        <w:rPr>
          <w:rStyle w:val="a5"/>
        </w:rPr>
        <w:footnoteRef/>
      </w:r>
      <w:r>
        <w:rPr>
          <w:rtl/>
        </w:rPr>
        <w:t xml:space="preserve"> </w:t>
      </w:r>
      <w:r>
        <w:rPr>
          <w:rFonts w:hint="cs"/>
          <w:rtl/>
        </w:rPr>
        <w:t>כל אחד כמו שנהוג במקומו.</w:t>
      </w:r>
    </w:p>
  </w:footnote>
  <w:footnote w:id="17">
    <w:p w:rsidR="007837FB" w:rsidRDefault="007837FB" w:rsidP="00E911DD">
      <w:pPr>
        <w:pStyle w:val="a3"/>
        <w:rPr>
          <w:rFonts w:hint="cs"/>
          <w:rtl/>
        </w:rPr>
      </w:pPr>
      <w:r>
        <w:rPr>
          <w:rStyle w:val="a5"/>
        </w:rPr>
        <w:footnoteRef/>
      </w:r>
      <w:r>
        <w:rPr>
          <w:rtl/>
        </w:rPr>
        <w:t xml:space="preserve"> </w:t>
      </w:r>
      <w:r w:rsidR="00E911DD">
        <w:rPr>
          <w:rFonts w:hint="cs"/>
          <w:rtl/>
        </w:rPr>
        <w:t xml:space="preserve">גלשנו לנושא שונה אך קשור לעניינינו. </w:t>
      </w:r>
      <w:r>
        <w:rPr>
          <w:rFonts w:hint="cs"/>
          <w:rtl/>
        </w:rPr>
        <w:t>"בנדרים הלך אחר לשון בני אדם" ותחולת הנדר היא בהתאם ללשון המקובלת בין בני אדם. אם בתהליכי הסקת ההלכה ולימוד דיני נדרים ונזירות (ושאר דינים שנראה להלן) יש מי שנוקט את הכלל "דברה תורה בלשון בני אדם" ויש מי שמערער על כך, בהלכה למעשה של אמירת נדר ותחולתו, בוודאי שרק לשון בני אדם קובעת ולא לשון התורה או המקרא או לשון חכמים וכו'. על כך שהתורה כספר דינים והלכות מדברת או לא מדברת בלשון בני אדם, אפשר להתווכח. אבל מרגע שנקבע בהלכה מה שנקבע, בפרט בדיני נדרים שהם מוצא פי האדם, וודאי שלשון בני האדם היא הקובעת. וכל אחד בשפה שלו שהרי נדרים נאמרים בכל לשון (נדרים י ע"א, הרחבה של נושא הידות והכינויים שראינו לעיל). כך או כך, ראה הכלל "בנדרים הלך אחר לשון בני אדם" גם בגמרא ראש השנה יב ע"ב בהגדרה מה היא שנה, יומא עו ע"ב מהו "תירוש", נדרים ל ע"ב מהו "ילד" ומהו "יילוד", נדרים נא ע"ב מהו "דג" ומה היא "דגה", בכורות נה ע"א מהו "ירדן" ועוד. המעניין במקור שהבאנו כאן הוא שלאחר שהגמרא דחתה את ההצעה שבאמירת הנדר נוקטים לשון תורה והסכימו הכל שבאמירת הנדר "הלך אחר לשון בני אדם", עדיין יכולה לשון זו להשתנות ממקום למקום, מתרבות דיבור אחת לשנייה וכמובן משפה לשפה. ראה אגב לשון הירושלמי (נדרים ו ג, ז א): "</w:t>
      </w:r>
      <w:r>
        <w:rPr>
          <w:rtl/>
        </w:rPr>
        <w:t>הילכו בנדרים אחר לשון בני אדם</w:t>
      </w:r>
      <w:r>
        <w:rPr>
          <w:rFonts w:hint="cs"/>
          <w:rtl/>
        </w:rPr>
        <w:t xml:space="preserve">". במשתמע לשון ציווי: ככה תנהגו. </w:t>
      </w:r>
      <w:r w:rsidR="00E911DD">
        <w:rPr>
          <w:rFonts w:hint="cs"/>
          <w:rtl/>
        </w:rPr>
        <w:t xml:space="preserve">הנה, גם במטבע לשון זו יש הבדלים. </w:t>
      </w:r>
      <w:r>
        <w:rPr>
          <w:rFonts w:hint="cs"/>
          <w:rtl/>
        </w:rPr>
        <w:t xml:space="preserve">נחזור לנושא הדף. </w:t>
      </w:r>
    </w:p>
  </w:footnote>
  <w:footnote w:id="18">
    <w:p w:rsidR="007837FB" w:rsidRDefault="007837FB" w:rsidP="001A3674">
      <w:pPr>
        <w:pStyle w:val="a3"/>
        <w:rPr>
          <w:rFonts w:hint="cs"/>
          <w:rtl/>
        </w:rPr>
      </w:pPr>
      <w:r>
        <w:rPr>
          <w:rStyle w:val="a5"/>
        </w:rPr>
        <w:footnoteRef/>
      </w:r>
      <w:r>
        <w:rPr>
          <w:rtl/>
        </w:rPr>
        <w:t xml:space="preserve"> </w:t>
      </w:r>
      <w:r>
        <w:rPr>
          <w:rFonts w:hint="cs"/>
          <w:rtl/>
        </w:rPr>
        <w:t>ראה הלשון הקשה במקבילה ובפסיקתא רבתי פיסקא מג: "</w:t>
      </w:r>
      <w:r w:rsidRPr="00B9252D">
        <w:rPr>
          <w:rFonts w:hint="eastAsia"/>
          <w:rtl/>
        </w:rPr>
        <w:t>מוטב</w:t>
      </w:r>
      <w:r w:rsidRPr="00B9252D">
        <w:rPr>
          <w:rtl/>
        </w:rPr>
        <w:t xml:space="preserve"> </w:t>
      </w:r>
      <w:r w:rsidRPr="00B9252D">
        <w:rPr>
          <w:rFonts w:hint="eastAsia"/>
          <w:rtl/>
        </w:rPr>
        <w:t>שתראה</w:t>
      </w:r>
      <w:r w:rsidRPr="00B9252D">
        <w:rPr>
          <w:rtl/>
        </w:rPr>
        <w:t xml:space="preserve"> </w:t>
      </w:r>
      <w:r w:rsidRPr="00B9252D">
        <w:rPr>
          <w:rFonts w:hint="eastAsia"/>
          <w:rtl/>
        </w:rPr>
        <w:t>בטובה</w:t>
      </w:r>
      <w:r w:rsidRPr="00B9252D">
        <w:rPr>
          <w:rtl/>
        </w:rPr>
        <w:t xml:space="preserve"> </w:t>
      </w:r>
      <w:r w:rsidRPr="00B9252D">
        <w:rPr>
          <w:rFonts w:hint="eastAsia"/>
          <w:rtl/>
        </w:rPr>
        <w:t>קודם</w:t>
      </w:r>
      <w:r w:rsidRPr="00B9252D">
        <w:rPr>
          <w:rtl/>
        </w:rPr>
        <w:t xml:space="preserve"> </w:t>
      </w:r>
      <w:r w:rsidRPr="00B9252D">
        <w:rPr>
          <w:rFonts w:hint="eastAsia"/>
          <w:rtl/>
        </w:rPr>
        <w:t>שתראה</w:t>
      </w:r>
      <w:r w:rsidRPr="00B9252D">
        <w:rPr>
          <w:rtl/>
        </w:rPr>
        <w:t xml:space="preserve"> </w:t>
      </w:r>
      <w:r w:rsidRPr="00B9252D">
        <w:rPr>
          <w:rFonts w:hint="eastAsia"/>
          <w:rtl/>
        </w:rPr>
        <w:t>שלא</w:t>
      </w:r>
      <w:r w:rsidRPr="00B9252D">
        <w:rPr>
          <w:rtl/>
        </w:rPr>
        <w:t xml:space="preserve"> </w:t>
      </w:r>
      <w:r w:rsidRPr="00B9252D">
        <w:rPr>
          <w:rFonts w:hint="eastAsia"/>
          <w:rtl/>
        </w:rPr>
        <w:t>בטוב</w:t>
      </w:r>
      <w:r>
        <w:rPr>
          <w:rFonts w:hint="cs"/>
          <w:rtl/>
        </w:rPr>
        <w:t>ה". כאילו אמרה</w:t>
      </w:r>
      <w:r w:rsidR="00E911DD">
        <w:rPr>
          <w:rFonts w:hint="cs"/>
          <w:rtl/>
        </w:rPr>
        <w:t xml:space="preserve"> חנה</w:t>
      </w:r>
      <w:r>
        <w:rPr>
          <w:rFonts w:hint="cs"/>
          <w:rtl/>
        </w:rPr>
        <w:t>: אתה תראה בטובתך או שלא בטובתך!</w:t>
      </w:r>
    </w:p>
  </w:footnote>
  <w:footnote w:id="19">
    <w:p w:rsidR="007837FB" w:rsidRDefault="007837FB">
      <w:pPr>
        <w:pStyle w:val="a3"/>
        <w:rPr>
          <w:rFonts w:hint="cs"/>
          <w:rtl/>
        </w:rPr>
      </w:pPr>
      <w:r>
        <w:rPr>
          <w:rStyle w:val="a5"/>
        </w:rPr>
        <w:footnoteRef/>
      </w:r>
      <w:r>
        <w:rPr>
          <w:rtl/>
        </w:rPr>
        <w:t xml:space="preserve"> </w:t>
      </w:r>
      <w:r>
        <w:rPr>
          <w:rFonts w:hint="cs"/>
          <w:rtl/>
        </w:rPr>
        <w:t xml:space="preserve">חנה </w:t>
      </w:r>
      <w:r w:rsidR="00E911DD">
        <w:rPr>
          <w:rFonts w:hint="cs"/>
          <w:rtl/>
        </w:rPr>
        <w:t>ע</w:t>
      </w:r>
      <w:r>
        <w:rPr>
          <w:rFonts w:hint="cs"/>
          <w:rtl/>
        </w:rPr>
        <w:t xml:space="preserve">ומדת ומטיחה דברים קשים כלפי מעלה, כפי שהגמרא מביאה שם בסוף הדף: "חנה הטיחה דברים כלפי מעלה". ראה דברינו </w:t>
      </w:r>
      <w:hyperlink r:id="rId2" w:history="1">
        <w:r w:rsidRPr="00C108CB">
          <w:rPr>
            <w:rStyle w:val="Hyperlink"/>
            <w:rFonts w:hint="cs"/>
            <w:rtl/>
          </w:rPr>
          <w:t>תפילת חנה</w:t>
        </w:r>
      </w:hyperlink>
      <w:r>
        <w:rPr>
          <w:rFonts w:hint="cs"/>
          <w:rtl/>
        </w:rPr>
        <w:t xml:space="preserve"> בראש השנה וכן </w:t>
      </w:r>
      <w:hyperlink r:id="rId3" w:history="1">
        <w:r w:rsidRPr="00C108CB">
          <w:rPr>
            <w:rStyle w:val="Hyperlink"/>
            <w:rFonts w:hint="cs"/>
            <w:rtl/>
          </w:rPr>
          <w:t>הטיחו דברים</w:t>
        </w:r>
        <w:r w:rsidRPr="00C108CB">
          <w:rPr>
            <w:rStyle w:val="Hyperlink"/>
            <w:rFonts w:hint="cs"/>
            <w:rtl/>
          </w:rPr>
          <w:t xml:space="preserve"> </w:t>
        </w:r>
        <w:r w:rsidRPr="00C108CB">
          <w:rPr>
            <w:rStyle w:val="Hyperlink"/>
            <w:rFonts w:hint="cs"/>
            <w:rtl/>
          </w:rPr>
          <w:t>כלפי מעלה</w:t>
        </w:r>
      </w:hyperlink>
      <w:r>
        <w:rPr>
          <w:rFonts w:hint="cs"/>
          <w:rtl/>
        </w:rPr>
        <w:t xml:space="preserve"> בפרשת שלח לך. חנה בחברה טובה: אליהו, משה</w:t>
      </w:r>
      <w:r w:rsidR="00E911DD">
        <w:rPr>
          <w:rFonts w:hint="cs"/>
          <w:rtl/>
        </w:rPr>
        <w:t>, נח, ירמיהו</w:t>
      </w:r>
      <w:r>
        <w:rPr>
          <w:rFonts w:hint="cs"/>
          <w:rtl/>
        </w:rPr>
        <w:t xml:space="preserve"> ועוד. </w:t>
      </w:r>
    </w:p>
  </w:footnote>
  <w:footnote w:id="20">
    <w:p w:rsidR="007837FB" w:rsidRDefault="007837FB" w:rsidP="00F02978">
      <w:pPr>
        <w:pStyle w:val="a3"/>
        <w:rPr>
          <w:rFonts w:hint="cs"/>
        </w:rPr>
      </w:pPr>
      <w:r>
        <w:rPr>
          <w:rStyle w:val="a5"/>
        </w:rPr>
        <w:footnoteRef/>
      </w:r>
      <w:r>
        <w:rPr>
          <w:rtl/>
        </w:rPr>
        <w:t xml:space="preserve"> </w:t>
      </w:r>
      <w:r>
        <w:rPr>
          <w:rFonts w:hint="cs"/>
          <w:rtl/>
        </w:rPr>
        <w:t>שיטת רבי ישמעאל בגמרא שם, בקטע שקצרנו והשמטנו, מפרשת את הפסוק: "ונזרעה זרע", כהבטחה לאשה שנחשדה שנסתרה ונמצא שהיא זכאית, שאם הייתה עקרה - כעת תלד. אבל שיטה אחרת, שיטת רבי עקיבא היא שהאשה שנחשדה ונמצאה זכאית תזכה כעת ללדת ילדים משופרים. לפי שיטה זו, אין בדברים של חנה "ראה תראה", בשימוש שהיא עושה בדין אשה סוטה שנמצאת זכאית (גם זה בפרשתנו), שום הבטחה לרפואה מעקרות.</w:t>
      </w:r>
    </w:p>
  </w:footnote>
  <w:footnote w:id="21">
    <w:p w:rsidR="007837FB" w:rsidRDefault="007837FB" w:rsidP="00E911DD">
      <w:pPr>
        <w:pStyle w:val="a3"/>
        <w:rPr>
          <w:rFonts w:hint="cs"/>
          <w:rtl/>
        </w:rPr>
      </w:pPr>
      <w:r>
        <w:rPr>
          <w:rStyle w:val="a5"/>
        </w:rPr>
        <w:footnoteRef/>
      </w:r>
      <w:r>
        <w:rPr>
          <w:rtl/>
        </w:rPr>
        <w:t xml:space="preserve"> </w:t>
      </w:r>
      <w:r>
        <w:rPr>
          <w:rFonts w:hint="cs"/>
          <w:rtl/>
        </w:rPr>
        <w:t>לשיטה זו, שיטת רבי עקיבא (</w:t>
      </w:r>
      <w:r w:rsidR="00E911DD">
        <w:rPr>
          <w:rFonts w:hint="cs"/>
          <w:rtl/>
        </w:rPr>
        <w:t>ההפך משיטתו בירושלמי לעיל</w:t>
      </w:r>
      <w:r>
        <w:rPr>
          <w:rFonts w:hint="cs"/>
          <w:rtl/>
        </w:rPr>
        <w:t xml:space="preserve">), דברי חנה: "ראה תראה" אינם אלא כפל לשון של דיבור רגיל של בני אדם. "חלק מן הסגנון המקראי" מפרש שטיינזלץ שם. ואולי גם לשון מליצית של תפילה. האם בכך רככנו את דברי חנה כמו שמשתמע שם בגמרא בקטע קודם: "מכל צבאי צבאות שבראת בעולמך קשה לך שתיתן ללי בן אחד?" </w:t>
      </w:r>
      <w:r>
        <w:rPr>
          <w:rtl/>
        </w:rPr>
        <w:t>–</w:t>
      </w:r>
      <w:r>
        <w:rPr>
          <w:rFonts w:hint="cs"/>
          <w:rtl/>
        </w:rPr>
        <w:t xml:space="preserve"> ריבונו של עולם, תראה מה אתה יכול לעשות; או אדרבא, הפכנו אותם לדברים קשים שהרי כאשר בני אדם אומרים אחד לשני: ראה תראה, זה נשמע די מאיים. ראה דברי הפסיקתא שהבאנו בהערה </w:t>
      </w:r>
      <w:r w:rsidR="00C47563">
        <w:rPr>
          <w:rFonts w:hint="cs"/>
          <w:rtl/>
        </w:rPr>
        <w:t>18</w:t>
      </w:r>
      <w:r>
        <w:rPr>
          <w:rFonts w:hint="cs"/>
          <w:rtl/>
        </w:rPr>
        <w:t xml:space="preserve"> שם אין שום שיטה מרככת.  </w:t>
      </w:r>
    </w:p>
  </w:footnote>
  <w:footnote w:id="22">
    <w:p w:rsidR="007837FB" w:rsidRDefault="007837FB" w:rsidP="009319D5">
      <w:pPr>
        <w:pStyle w:val="a3"/>
        <w:rPr>
          <w:rFonts w:hint="cs"/>
        </w:rPr>
      </w:pPr>
      <w:r>
        <w:rPr>
          <w:rStyle w:val="a5"/>
        </w:rPr>
        <w:footnoteRef/>
      </w:r>
      <w:r>
        <w:rPr>
          <w:rtl/>
        </w:rPr>
        <w:t xml:space="preserve"> </w:t>
      </w:r>
      <w:r>
        <w:rPr>
          <w:rFonts w:hint="cs"/>
          <w:rtl/>
        </w:rPr>
        <w:t>מדובר במצוות הענקה לעבד ש</w:t>
      </w:r>
      <w:r w:rsidR="009319D5">
        <w:rPr>
          <w:rFonts w:hint="cs"/>
          <w:rtl/>
        </w:rPr>
        <w:t>מ</w:t>
      </w:r>
      <w:r>
        <w:rPr>
          <w:rFonts w:hint="cs"/>
          <w:rtl/>
        </w:rPr>
        <w:t>שתחרר</w:t>
      </w:r>
      <w:r w:rsidR="009319D5" w:rsidRPr="009319D5">
        <w:rPr>
          <w:rFonts w:hint="cs"/>
          <w:rtl/>
        </w:rPr>
        <w:t xml:space="preserve"> </w:t>
      </w:r>
      <w:r w:rsidR="009319D5">
        <w:rPr>
          <w:rFonts w:hint="cs"/>
          <w:rtl/>
        </w:rPr>
        <w:t>לאחר שש שנים או ביובל</w:t>
      </w:r>
      <w:r>
        <w:rPr>
          <w:rFonts w:hint="cs"/>
          <w:rtl/>
        </w:rPr>
        <w:t>: "</w:t>
      </w:r>
      <w:r>
        <w:rPr>
          <w:rtl/>
        </w:rPr>
        <w:t>הַעֲנֵיק תַּעֲנִיק לוֹ מִצֹּאנְךָ וּמִגָּרְנְךָ וּמִיִּקְבֶךָ אֲשֶׁר בֵּרַכְךָ ה' אֱלֹהֶיךָ תִּתֶּן לוֹ</w:t>
      </w:r>
      <w:r>
        <w:rPr>
          <w:rFonts w:hint="cs"/>
          <w:rtl/>
        </w:rPr>
        <w:t xml:space="preserve">". ראה </w:t>
      </w:r>
      <w:r>
        <w:rPr>
          <w:rtl/>
        </w:rPr>
        <w:t>ספרי דברים פיסקא קיט</w:t>
      </w:r>
      <w:r w:rsidR="009319D5">
        <w:rPr>
          <w:rFonts w:hint="cs"/>
          <w:rtl/>
        </w:rPr>
        <w:t>: "</w:t>
      </w:r>
      <w:r>
        <w:rPr>
          <w:rtl/>
        </w:rPr>
        <w:t>וכי תשלחנו חפשי מעמך וגו' הענק תעניק לו, יכול אין מעניקים אלא ליוצא בשש</w:t>
      </w:r>
      <w:r w:rsidR="009319D5">
        <w:rPr>
          <w:rFonts w:hint="cs"/>
          <w:rtl/>
        </w:rPr>
        <w:t>,</w:t>
      </w:r>
      <w:r>
        <w:rPr>
          <w:rtl/>
        </w:rPr>
        <w:t xml:space="preserve"> מנין ליוצא ביובל ובמיתת האדון ואמה עבריה בסימנים</w:t>
      </w:r>
      <w:r w:rsidR="009319D5">
        <w:rPr>
          <w:rFonts w:hint="cs"/>
          <w:rtl/>
        </w:rPr>
        <w:t>?</w:t>
      </w:r>
      <w:r>
        <w:rPr>
          <w:rtl/>
        </w:rPr>
        <w:t xml:space="preserve"> תלמוד לומר</w:t>
      </w:r>
      <w:r w:rsidR="009319D5">
        <w:rPr>
          <w:rFonts w:hint="cs"/>
          <w:rtl/>
        </w:rPr>
        <w:t>:</w:t>
      </w:r>
      <w:r>
        <w:rPr>
          <w:rtl/>
        </w:rPr>
        <w:t xml:space="preserve"> תשלח, כי תשלח, וכי תשלחנו. יכול אף למשתלח בכסף אתה מעניק</w:t>
      </w:r>
      <w:r w:rsidR="009319D5">
        <w:rPr>
          <w:rFonts w:hint="cs"/>
          <w:rtl/>
        </w:rPr>
        <w:t>?</w:t>
      </w:r>
      <w:r>
        <w:rPr>
          <w:rtl/>
        </w:rPr>
        <w:t xml:space="preserve"> תלמוד לומר</w:t>
      </w:r>
      <w:r w:rsidR="009319D5">
        <w:rPr>
          <w:rFonts w:hint="cs"/>
          <w:rtl/>
        </w:rPr>
        <w:t>:</w:t>
      </w:r>
      <w:r>
        <w:rPr>
          <w:rtl/>
        </w:rPr>
        <w:t xml:space="preserve"> וכי תשלחנו חפשי מעמך וגו' למי שאתה משלחו אתה מעניק ואי אתה מעניק למי ששילוחו מעצמו</w:t>
      </w:r>
      <w:r w:rsidR="009319D5">
        <w:rPr>
          <w:rFonts w:hint="cs"/>
          <w:rtl/>
        </w:rPr>
        <w:t>".</w:t>
      </w:r>
    </w:p>
  </w:footnote>
  <w:footnote w:id="23">
    <w:p w:rsidR="007837FB" w:rsidRDefault="007837FB">
      <w:pPr>
        <w:pStyle w:val="a3"/>
        <w:rPr>
          <w:rFonts w:hint="cs"/>
        </w:rPr>
      </w:pPr>
      <w:r>
        <w:rPr>
          <w:rStyle w:val="a5"/>
        </w:rPr>
        <w:footnoteRef/>
      </w:r>
      <w:r>
        <w:rPr>
          <w:rtl/>
        </w:rPr>
        <w:t xml:space="preserve"> </w:t>
      </w:r>
      <w:r>
        <w:rPr>
          <w:rFonts w:hint="cs"/>
          <w:rtl/>
        </w:rPr>
        <w:t xml:space="preserve">נראה שכאן יש שתי תפיסות עולם איך להבין את דבר התורה, שהרי בפסוק יש ציווי על הענקה אבל גם יש גם קשר לברכה שבעל הבית התברך בשנים בהם עבד העבד אצלו. הדעה הראשונה רואה במילים </w:t>
      </w:r>
      <w:r w:rsidR="009319D5">
        <w:rPr>
          <w:rFonts w:hint="cs"/>
          <w:rtl/>
        </w:rPr>
        <w:t>"</w:t>
      </w:r>
      <w:r>
        <w:rPr>
          <w:rFonts w:hint="cs"/>
          <w:rtl/>
        </w:rPr>
        <w:t>הענק תעניק לו</w:t>
      </w:r>
      <w:r w:rsidR="009319D5">
        <w:rPr>
          <w:rFonts w:hint="cs"/>
          <w:rtl/>
        </w:rPr>
        <w:t>"</w:t>
      </w:r>
      <w:r>
        <w:rPr>
          <w:rFonts w:hint="cs"/>
          <w:rtl/>
        </w:rPr>
        <w:t xml:space="preserve"> את העיקר, אבל גם היא מסכימה שמידת המענק תהיה לפי הברכה. </w:t>
      </w:r>
      <w:r>
        <w:rPr>
          <w:rtl/>
        </w:rPr>
        <w:t>ר' אלעזר בן עזריה</w:t>
      </w:r>
      <w:r>
        <w:rPr>
          <w:rFonts w:hint="cs"/>
          <w:rtl/>
        </w:rPr>
        <w:t xml:space="preserve"> רואה במילים "</w:t>
      </w:r>
      <w:r>
        <w:rPr>
          <w:rtl/>
        </w:rPr>
        <w:t>אשר ברכך ה' אלהיך</w:t>
      </w:r>
      <w:r>
        <w:rPr>
          <w:rFonts w:hint="cs"/>
          <w:rtl/>
        </w:rPr>
        <w:t xml:space="preserve">" עיקר ואם לא התברך בעל הבית, לא ייתן מענק לעבד. זו שיטה קשה להולמה וקשה לומר שכל כולה מסתמכת על הכלל "דברה תורה כלשון בני אדם" ואין לייחס חשיבות ללשון "הענק תעניק" שמשמע שמשהו תמיד צריך לתת לעבד שהשתחרר אחרי שעבד עבורך שש או אפילו יובל שנים. נראה כאילו הוא דורש "הענק תעניק" </w:t>
      </w:r>
      <w:r>
        <w:rPr>
          <w:rtl/>
        </w:rPr>
        <w:t>–</w:t>
      </w:r>
      <w:r>
        <w:rPr>
          <w:rFonts w:hint="cs"/>
          <w:rtl/>
        </w:rPr>
        <w:t xml:space="preserve"> פעמים שאתה מעניק ופעמים שאי</w:t>
      </w:r>
      <w:r w:rsidR="009319D5">
        <w:rPr>
          <w:rFonts w:hint="cs"/>
          <w:rtl/>
        </w:rPr>
        <w:t>ן</w:t>
      </w:r>
      <w:r>
        <w:rPr>
          <w:rFonts w:hint="cs"/>
          <w:rtl/>
        </w:rPr>
        <w:t xml:space="preserve"> אתה מעניק. ועכ"פ, בעמוד הקודם בגמרא קידושין שם, יש פירוט רב כמה בדיוק צריך לתת לעבד: "</w:t>
      </w:r>
      <w:r>
        <w:rPr>
          <w:rtl/>
        </w:rPr>
        <w:t>תנו רבנן: כמה מעניקים לו? חמש סלעים מכל מין ומין, שהן חמש עשרה סלעים, דברי ר' מאיר; ר' יהודה אומר: שלשים, כשלשים של עבד; ר</w:t>
      </w:r>
      <w:r>
        <w:rPr>
          <w:rFonts w:hint="cs"/>
          <w:rtl/>
        </w:rPr>
        <w:t xml:space="preserve">' שמעון </w:t>
      </w:r>
      <w:r>
        <w:rPr>
          <w:rtl/>
        </w:rPr>
        <w:t>אומר: חמשים, כחמשים שבערכין</w:t>
      </w:r>
      <w:r>
        <w:rPr>
          <w:rFonts w:hint="cs"/>
          <w:rtl/>
        </w:rPr>
        <w:t xml:space="preserve">". </w:t>
      </w:r>
      <w:r w:rsidR="009319D5">
        <w:rPr>
          <w:rFonts w:hint="cs"/>
          <w:rtl/>
        </w:rPr>
        <w:t>ו</w:t>
      </w:r>
      <w:r>
        <w:rPr>
          <w:rFonts w:hint="cs"/>
          <w:rtl/>
        </w:rPr>
        <w:t>לא נזכרת שם שיטת ר' אלעזר בן עזריה.</w:t>
      </w:r>
    </w:p>
  </w:footnote>
  <w:footnote w:id="24">
    <w:p w:rsidR="007837FB" w:rsidRDefault="007837FB" w:rsidP="009319D5">
      <w:pPr>
        <w:pStyle w:val="a3"/>
        <w:rPr>
          <w:rFonts w:hint="cs"/>
        </w:rPr>
      </w:pPr>
      <w:r>
        <w:rPr>
          <w:rStyle w:val="a5"/>
        </w:rPr>
        <w:footnoteRef/>
      </w:r>
      <w:r>
        <w:rPr>
          <w:rtl/>
        </w:rPr>
        <w:t xml:space="preserve"> </w:t>
      </w:r>
      <w:r>
        <w:rPr>
          <w:rFonts w:hint="cs"/>
          <w:rtl/>
        </w:rPr>
        <w:t>בהלכות שומרים בפרשת משפטים, פרק כב פסוקים ו-יא. פסוק זה הוא מה שהגמרא שם מכנה "פרשה שנייה". ראה שם: "</w:t>
      </w:r>
      <w:r>
        <w:rPr>
          <w:rtl/>
        </w:rPr>
        <w:t>פרשה ראשונה נאמרה בשומר חנם, שניה בשומר שכר, שלישית בשואל</w:t>
      </w:r>
      <w:r>
        <w:rPr>
          <w:rFonts w:hint="cs"/>
          <w:rtl/>
        </w:rPr>
        <w:t>"</w:t>
      </w:r>
      <w:r>
        <w:rPr>
          <w:rtl/>
        </w:rPr>
        <w:t>.</w:t>
      </w:r>
      <w:r>
        <w:rPr>
          <w:rFonts w:hint="cs"/>
          <w:rtl/>
        </w:rPr>
        <w:t xml:space="preserve"> אך בעוד ששואל נזכר בפירוש בתורה, דיני (חובות) שומר חינם ושומר שכר צריכים לימוד.</w:t>
      </w:r>
    </w:p>
  </w:footnote>
  <w:footnote w:id="25">
    <w:p w:rsidR="007837FB" w:rsidRDefault="007837FB" w:rsidP="00BD7479">
      <w:pPr>
        <w:pStyle w:val="a3"/>
        <w:rPr>
          <w:rFonts w:hint="cs"/>
          <w:rtl/>
        </w:rPr>
      </w:pPr>
      <w:r>
        <w:rPr>
          <w:rStyle w:val="a5"/>
        </w:rPr>
        <w:footnoteRef/>
      </w:r>
      <w:r>
        <w:rPr>
          <w:rtl/>
        </w:rPr>
        <w:t xml:space="preserve"> </w:t>
      </w:r>
      <w:r>
        <w:rPr>
          <w:rFonts w:hint="cs"/>
          <w:rtl/>
        </w:rPr>
        <w:t>כפל הלשון "גנוב ייגנב" בא לרבות ששומר שכר חייב גם במקרה של אבידה. מק</w:t>
      </w:r>
      <w:r w:rsidR="009319D5">
        <w:rPr>
          <w:rFonts w:hint="cs"/>
          <w:rtl/>
        </w:rPr>
        <w:t>ו</w:t>
      </w:r>
      <w:r>
        <w:rPr>
          <w:rFonts w:hint="cs"/>
          <w:rtl/>
        </w:rPr>
        <w:t>ר זה שהגמרא מצטטת לקוח מהמכילתא.</w:t>
      </w:r>
    </w:p>
  </w:footnote>
  <w:footnote w:id="26">
    <w:p w:rsidR="007837FB" w:rsidRDefault="007837FB" w:rsidP="00767CAF">
      <w:pPr>
        <w:pStyle w:val="a3"/>
        <w:rPr>
          <w:rFonts w:hint="cs"/>
          <w:rtl/>
        </w:rPr>
      </w:pPr>
      <w:r>
        <w:rPr>
          <w:rStyle w:val="a5"/>
        </w:rPr>
        <w:footnoteRef/>
      </w:r>
      <w:r>
        <w:rPr>
          <w:rtl/>
        </w:rPr>
        <w:t xml:space="preserve"> </w:t>
      </w:r>
      <w:r>
        <w:rPr>
          <w:rFonts w:hint="cs"/>
          <w:rtl/>
        </w:rPr>
        <w:t xml:space="preserve">פה </w:t>
      </w:r>
      <w:r w:rsidR="00767CAF">
        <w:rPr>
          <w:rFonts w:hint="cs"/>
          <w:rtl/>
        </w:rPr>
        <w:t xml:space="preserve">המהלך קצת שונה </w:t>
      </w:r>
      <w:r>
        <w:rPr>
          <w:rFonts w:hint="cs"/>
          <w:rtl/>
        </w:rPr>
        <w:t xml:space="preserve">בהשוואה למקורות הקודמים. </w:t>
      </w:r>
      <w:r w:rsidR="00767CAF">
        <w:rPr>
          <w:rFonts w:hint="cs"/>
          <w:rtl/>
        </w:rPr>
        <w:t>ה</w:t>
      </w:r>
      <w:r>
        <w:rPr>
          <w:rFonts w:hint="cs"/>
          <w:rtl/>
        </w:rPr>
        <w:t xml:space="preserve">דרשה </w:t>
      </w:r>
      <w:r w:rsidR="00767CAF">
        <w:rPr>
          <w:rFonts w:hint="cs"/>
          <w:rtl/>
        </w:rPr>
        <w:t xml:space="preserve">של </w:t>
      </w:r>
      <w:r>
        <w:rPr>
          <w:rFonts w:hint="cs"/>
          <w:rtl/>
        </w:rPr>
        <w:t xml:space="preserve">"גנב ייגנב" </w:t>
      </w:r>
      <w:r w:rsidR="00767CAF">
        <w:rPr>
          <w:rFonts w:hint="cs"/>
          <w:rtl/>
        </w:rPr>
        <w:t xml:space="preserve">שמרחיבה גם לדין אבידה בשומר שכר, פשיטא שהיא </w:t>
      </w:r>
      <w:r>
        <w:rPr>
          <w:rFonts w:hint="cs"/>
          <w:rtl/>
        </w:rPr>
        <w:t xml:space="preserve">מתאימה למי שסבור שכל מילה בתורה צריכה להידרש ולא אומרים "דברה תורה בלשון בני אדם". </w:t>
      </w:r>
      <w:r w:rsidR="00767CAF">
        <w:rPr>
          <w:rFonts w:hint="cs"/>
          <w:rtl/>
        </w:rPr>
        <w:t>בה בעת גם פשיטא לגמרא שהיא לא תתאים ל</w:t>
      </w:r>
      <w:r>
        <w:rPr>
          <w:rFonts w:hint="cs"/>
          <w:rtl/>
        </w:rPr>
        <w:t>מי שנוקט בכלל "דברה תורה בלשון בני אדם"</w:t>
      </w:r>
      <w:r w:rsidR="00767CAF">
        <w:rPr>
          <w:rFonts w:hint="cs"/>
          <w:rtl/>
        </w:rPr>
        <w:t>. אך באמת, למה לא? אולי כאן הוא כן יסכים שהרי אין לו מקור אחר? מכאן הוכחה שהגמרא מבינה את הכלל "דברה תורה כלשון בני אדם" כקביעה חיובית ולכתחילה. וזה חידוש גדול.</w:t>
      </w:r>
      <w:r>
        <w:rPr>
          <w:rFonts w:hint="cs"/>
          <w:rtl/>
        </w:rPr>
        <w:t xml:space="preserve"> </w:t>
      </w:r>
    </w:p>
  </w:footnote>
  <w:footnote w:id="27">
    <w:p w:rsidR="007837FB" w:rsidRDefault="007837FB" w:rsidP="00BD7479">
      <w:pPr>
        <w:pStyle w:val="a3"/>
        <w:rPr>
          <w:rFonts w:hint="cs"/>
        </w:rPr>
      </w:pPr>
      <w:r>
        <w:rPr>
          <w:rStyle w:val="a5"/>
        </w:rPr>
        <w:footnoteRef/>
      </w:r>
      <w:r>
        <w:rPr>
          <w:rtl/>
        </w:rPr>
        <w:t xml:space="preserve"> </w:t>
      </w:r>
      <w:r>
        <w:rPr>
          <w:rFonts w:hint="cs"/>
          <w:rtl/>
        </w:rPr>
        <w:t>סוף דבר, מגייסים חכמי בבל את חכמי ארץ ישראל (מערבא) ומסבירים שמי שנוקט בכלל "דברה תורה בלשון בני אדם" ואינו יכול לדרוש את "גנב ייגנב", ילמד את אחריות שומר שכר (או שוכר) גם במקרה של אבידה מקל וחומר: אם ב</w:t>
      </w:r>
      <w:r>
        <w:rPr>
          <w:rtl/>
        </w:rPr>
        <w:t>גניבה ש</w:t>
      </w:r>
      <w:r>
        <w:rPr>
          <w:rFonts w:hint="cs"/>
          <w:rtl/>
        </w:rPr>
        <w:t xml:space="preserve">היא </w:t>
      </w:r>
      <w:r>
        <w:rPr>
          <w:rtl/>
        </w:rPr>
        <w:t>קרובה לאונס</w:t>
      </w:r>
      <w:r>
        <w:rPr>
          <w:rFonts w:hint="cs"/>
          <w:rtl/>
        </w:rPr>
        <w:t xml:space="preserve">, הוא חייב, קל וחומר במקרה של </w:t>
      </w:r>
      <w:r>
        <w:rPr>
          <w:rtl/>
        </w:rPr>
        <w:t>אבידה ש</w:t>
      </w:r>
      <w:r>
        <w:rPr>
          <w:rFonts w:hint="cs"/>
          <w:rtl/>
        </w:rPr>
        <w:t xml:space="preserve">היא </w:t>
      </w:r>
      <w:r>
        <w:rPr>
          <w:rtl/>
        </w:rPr>
        <w:t xml:space="preserve">קרובה </w:t>
      </w:r>
      <w:r>
        <w:rPr>
          <w:rFonts w:hint="cs"/>
          <w:rtl/>
        </w:rPr>
        <w:t xml:space="preserve">להזנחה או אפילו </w:t>
      </w:r>
      <w:r>
        <w:rPr>
          <w:rtl/>
        </w:rPr>
        <w:t>לפשיעה</w:t>
      </w:r>
      <w:r>
        <w:rPr>
          <w:rFonts w:hint="cs"/>
          <w:rtl/>
        </w:rPr>
        <w:t>. אז עכשיו התהפכו היוצרות ומי שאינו נוקט בכלל "דברה תורה כלשון בני אדם" צריך להסביר מדוע טורחת התורה בכפל הלשון "גנב ייגנב" אם אפשר ללמוד דין זה בקל וחומר? ותשובתו היא שלמרות שאכן ניתן ללמוד דין זה בקל וחומר (אחת מהמידות בהן נדרשת התורה), טרחה וכתבה התורה "גנב ייגנב". אז עכשיו דווקא דעה זו נזקקת להסביר שיש בתורה לעתים כפל וייתור מילים שאינו נחוץ להלכה. וגם זה מעין "דברה תורה בלשון בני אדם". ועד כאן בפלפול זה שמן הסתם דשן בו ראשונים ואחרונים ואנחנו רק מלקטים בין העמרים.</w:t>
      </w:r>
    </w:p>
  </w:footnote>
  <w:footnote w:id="28">
    <w:p w:rsidR="007837FB" w:rsidRDefault="007837FB" w:rsidP="001D257E">
      <w:pPr>
        <w:pStyle w:val="a3"/>
        <w:rPr>
          <w:rFonts w:hint="cs"/>
          <w:rtl/>
        </w:rPr>
      </w:pPr>
      <w:r>
        <w:rPr>
          <w:rStyle w:val="a5"/>
        </w:rPr>
        <w:footnoteRef/>
      </w:r>
      <w:r>
        <w:rPr>
          <w:rtl/>
        </w:rPr>
        <w:t xml:space="preserve"> </w:t>
      </w:r>
      <w:r>
        <w:rPr>
          <w:rFonts w:hint="cs"/>
          <w:rtl/>
        </w:rPr>
        <w:t>כאן יש לנו שימוש במטבע הלשון "דברה תורה בלשון בני אדם" במשמעות שונה ממה שראינו עד כה אם לא הפוכה. התורה מגוונת את לשונה: תדבר, צו, תצוה, אמור</w:t>
      </w:r>
      <w:r w:rsidR="001D257E">
        <w:rPr>
          <w:rFonts w:hint="cs"/>
          <w:rtl/>
        </w:rPr>
        <w:t>, וידבר</w:t>
      </w:r>
      <w:r>
        <w:rPr>
          <w:rFonts w:hint="cs"/>
          <w:rtl/>
        </w:rPr>
        <w:t xml:space="preserve"> וכו' על מנת לסבר את אזני בני האדם ולדבר אליהם בשפתם</w:t>
      </w:r>
      <w:r w:rsidR="001D257E">
        <w:rPr>
          <w:rFonts w:hint="cs"/>
          <w:rtl/>
        </w:rPr>
        <w:t>,</w:t>
      </w:r>
      <w:r>
        <w:rPr>
          <w:rFonts w:hint="cs"/>
          <w:rtl/>
        </w:rPr>
        <w:t xml:space="preserve"> ויחד עם זאת, עצם הגיוון הזה אומר דרשני והוא בסיס לדרשות חז"ל. מעין שילוב של שיטת ר' עקיבא ור' ישמעאל ובאמת נראה שזו שיטת ר' עקיבא (בעל הספרא) שאוחז </w:t>
      </w:r>
      <w:r w:rsidR="001D257E">
        <w:rPr>
          <w:rFonts w:hint="cs"/>
          <w:rtl/>
        </w:rPr>
        <w:t>את ה</w:t>
      </w:r>
      <w:r>
        <w:rPr>
          <w:rFonts w:hint="cs"/>
          <w:rtl/>
        </w:rPr>
        <w:t>שור בקרניו, תופס את דברי ר' ישמעאל והופכם לשיטתו. וצריך עיון נוס</w:t>
      </w:r>
      <w:r w:rsidR="001D257E">
        <w:rPr>
          <w:rFonts w:hint="cs"/>
          <w:rtl/>
        </w:rPr>
        <w:t>ף</w:t>
      </w:r>
      <w:r>
        <w:rPr>
          <w:rFonts w:hint="cs"/>
          <w:rtl/>
        </w:rPr>
        <w:t xml:space="preserve"> במדרש זה.</w:t>
      </w:r>
    </w:p>
  </w:footnote>
  <w:footnote w:id="29">
    <w:p w:rsidR="007837FB" w:rsidRDefault="007837FB">
      <w:pPr>
        <w:pStyle w:val="a3"/>
        <w:rPr>
          <w:rFonts w:hint="cs"/>
        </w:rPr>
      </w:pPr>
      <w:r>
        <w:rPr>
          <w:rStyle w:val="a5"/>
        </w:rPr>
        <w:footnoteRef/>
      </w:r>
      <w:r>
        <w:rPr>
          <w:rtl/>
        </w:rPr>
        <w:t xml:space="preserve"> </w:t>
      </w:r>
      <w:r>
        <w:rPr>
          <w:rFonts w:hint="cs"/>
          <w:rtl/>
        </w:rPr>
        <w:t>הביטוי "משתעי קרא הכי" נשמע דומה לביטוי "דברה תורה כלשון בני אדם", אמנם שם להלכה וכאן בדברי אגדה ותשובה למינים, אבל הדמיון ברור. כך אולי גם הביטוי "</w:t>
      </w:r>
      <w:hyperlink r:id="rId4" w:history="1">
        <w:r w:rsidRPr="00F40B3D">
          <w:rPr>
            <w:rStyle w:val="Hyperlink"/>
            <w:rFonts w:hint="cs"/>
            <w:rtl/>
          </w:rPr>
          <w:t>אין מקרא יו</w:t>
        </w:r>
        <w:r w:rsidRPr="00F40B3D">
          <w:rPr>
            <w:rStyle w:val="Hyperlink"/>
            <w:rFonts w:hint="cs"/>
            <w:rtl/>
          </w:rPr>
          <w:t>צ</w:t>
        </w:r>
        <w:r w:rsidRPr="00F40B3D">
          <w:rPr>
            <w:rStyle w:val="Hyperlink"/>
            <w:rFonts w:hint="cs"/>
            <w:rtl/>
          </w:rPr>
          <w:t>א מידי פשוטו</w:t>
        </w:r>
      </w:hyperlink>
      <w:r>
        <w:rPr>
          <w:rFonts w:hint="cs"/>
          <w:rtl/>
        </w:rPr>
        <w:t xml:space="preserve">" (דברינו בפרשת וישב) ואולי גם הביטוי "באותיותיה ניתנה תורה" שהוא מבית מדרשו של ר' ישמעאל, מובא בדברינו </w:t>
      </w:r>
      <w:hyperlink r:id="rId5" w:history="1">
        <w:r w:rsidRPr="00F40B3D">
          <w:rPr>
            <w:rStyle w:val="Hyperlink"/>
            <w:rFonts w:hint="cs"/>
            <w:rtl/>
          </w:rPr>
          <w:t>הנסתרות והגלויות</w:t>
        </w:r>
      </w:hyperlink>
      <w:r>
        <w:rPr>
          <w:rFonts w:hint="cs"/>
          <w:rtl/>
        </w:rPr>
        <w:t xml:space="preserve"> בפרשת ניצבים.</w:t>
      </w:r>
    </w:p>
  </w:footnote>
  <w:footnote w:id="30">
    <w:p w:rsidR="007837FB" w:rsidRDefault="007837FB">
      <w:pPr>
        <w:pStyle w:val="a3"/>
        <w:rPr>
          <w:rFonts w:hint="cs"/>
        </w:rPr>
      </w:pPr>
      <w:r>
        <w:rPr>
          <w:rStyle w:val="a5"/>
        </w:rPr>
        <w:footnoteRef/>
      </w:r>
      <w:r>
        <w:rPr>
          <w:rtl/>
        </w:rPr>
        <w:t xml:space="preserve"> </w:t>
      </w:r>
      <w:r>
        <w:rPr>
          <w:rFonts w:hint="cs"/>
          <w:rtl/>
        </w:rPr>
        <w:t>נעבור לפרשני המקרא</w:t>
      </w:r>
      <w:r w:rsidR="001D257E">
        <w:rPr>
          <w:rFonts w:hint="cs"/>
          <w:rtl/>
        </w:rPr>
        <w:t xml:space="preserve"> ביתרת המקום שנותר</w:t>
      </w:r>
      <w:r>
        <w:rPr>
          <w:rFonts w:hint="cs"/>
          <w:rtl/>
        </w:rPr>
        <w:t>.</w:t>
      </w:r>
    </w:p>
  </w:footnote>
  <w:footnote w:id="31">
    <w:p w:rsidR="007837FB" w:rsidRDefault="007837FB">
      <w:pPr>
        <w:pStyle w:val="a3"/>
        <w:rPr>
          <w:rFonts w:hint="cs"/>
          <w:rtl/>
        </w:rPr>
      </w:pPr>
      <w:r>
        <w:rPr>
          <w:rStyle w:val="a5"/>
        </w:rPr>
        <w:footnoteRef/>
      </w:r>
      <w:r>
        <w:rPr>
          <w:rtl/>
        </w:rPr>
        <w:t xml:space="preserve"> </w:t>
      </w:r>
      <w:r>
        <w:rPr>
          <w:rFonts w:hint="cs"/>
          <w:rtl/>
        </w:rPr>
        <w:t>זה אחד מהאזכורים הבודדים שמצאנו שרש"י משתמש בביטוי לשון בני אדם כחלק משיטתו להציג את גישת המדרש מול גישת פשט המקרא. המדרש יאמר שהשמש הקדימה לזרוח ליעקב על מנת לרפאותו מצליעתו אחרי המאבק עם המלאך וזריחה זו מחזירה את שעות השמש שחסרו כאשר זו מיהרה לשקוע בשביל יעקב בצאתו מבאר שבע לחרן. זה בתחילת פרשת ויצא וזה בתחילת פרשת וישלח כאשר עשרים שנה מפרידות ביניהן. ואם כך, שינוי זה במהלך השמש (או שמא סיבוב כדור הארץ סביב השמש) גדול מנס "שמש בגבעון דום וירח בעמק אילון" של יהושע. כל זה, מדרש אגדה נאה. אבל הפשט הוא שלשון בני אדם היא לומר זרחה לנו השמש כאשר הגענו למקום מסוים (או שקעה).</w:t>
      </w:r>
    </w:p>
  </w:footnote>
  <w:footnote w:id="32">
    <w:p w:rsidR="007837FB" w:rsidRDefault="007837FB" w:rsidP="001D257E">
      <w:pPr>
        <w:pStyle w:val="a3"/>
        <w:rPr>
          <w:rFonts w:hint="cs"/>
          <w:rtl/>
        </w:rPr>
      </w:pPr>
      <w:r>
        <w:rPr>
          <w:rStyle w:val="a5"/>
        </w:rPr>
        <w:footnoteRef/>
      </w:r>
      <w:r>
        <w:rPr>
          <w:rtl/>
        </w:rPr>
        <w:t xml:space="preserve"> </w:t>
      </w:r>
      <w:r>
        <w:rPr>
          <w:rFonts w:hint="cs"/>
          <w:rtl/>
        </w:rPr>
        <w:t>אצל פרשני המקרא, אבן עזרא בראשם, משמש הביטוי "דברה תורה כלשון בני אדם" על מנת להרחיק את האנשת האל (</w:t>
      </w:r>
      <w:r w:rsidRPr="00282AE8">
        <w:rPr>
          <w:rFonts w:hint="cs"/>
          <w:rtl/>
        </w:rPr>
        <w:t>אנתרופומורפיזם</w:t>
      </w:r>
      <w:r>
        <w:rPr>
          <w:rFonts w:hint="cs"/>
          <w:rtl/>
        </w:rPr>
        <w:t xml:space="preserve">). התורה מציירת לבני האדם את הקב"ה לפי הבנתם ובלשונם. כך כאן, </w:t>
      </w:r>
      <w:r w:rsidR="001D257E">
        <w:rPr>
          <w:rFonts w:hint="cs"/>
          <w:rtl/>
        </w:rPr>
        <w:t>בפירושו של אבן עזרא ל</w:t>
      </w:r>
      <w:r>
        <w:rPr>
          <w:rFonts w:hint="cs"/>
          <w:rtl/>
        </w:rPr>
        <w:t>פסוק "נעשה אדם בצלמנו כדמותנו" וכך גם בפירושו ל</w:t>
      </w:r>
      <w:r>
        <w:rPr>
          <w:rtl/>
        </w:rPr>
        <w:t>בראשית ו</w:t>
      </w:r>
      <w:r>
        <w:rPr>
          <w:rFonts w:hint="cs"/>
          <w:rtl/>
        </w:rPr>
        <w:t xml:space="preserve"> ו: "</w:t>
      </w:r>
      <w:r>
        <w:rPr>
          <w:rtl/>
        </w:rPr>
        <w:t xml:space="preserve">וינחם ד' </w:t>
      </w:r>
      <w:r>
        <w:rPr>
          <w:rFonts w:hint="cs"/>
          <w:rtl/>
        </w:rPr>
        <w:t xml:space="preserve">- </w:t>
      </w:r>
      <w:r>
        <w:rPr>
          <w:rtl/>
        </w:rPr>
        <w:t>ידוע כי לא אדם הוא לה</w:t>
      </w:r>
      <w:r>
        <w:rPr>
          <w:rFonts w:hint="cs"/>
          <w:rtl/>
        </w:rPr>
        <w:t>י</w:t>
      </w:r>
      <w:r>
        <w:rPr>
          <w:rtl/>
        </w:rPr>
        <w:t>נחם, רק דברה תורה כלשון בני אדם, כי המשחית מה שעשה יראה שניחם</w:t>
      </w:r>
      <w:r>
        <w:rPr>
          <w:rFonts w:hint="cs"/>
          <w:rtl/>
        </w:rPr>
        <w:t>". ראה עוד פירושו ב</w:t>
      </w:r>
      <w:r>
        <w:rPr>
          <w:rtl/>
        </w:rPr>
        <w:t>בראשית ו</w:t>
      </w:r>
      <w:r>
        <w:rPr>
          <w:rFonts w:hint="cs"/>
          <w:rtl/>
        </w:rPr>
        <w:t xml:space="preserve"> </w:t>
      </w:r>
      <w:r>
        <w:rPr>
          <w:rtl/>
        </w:rPr>
        <w:t>יא</w:t>
      </w:r>
      <w:r>
        <w:rPr>
          <w:rFonts w:hint="cs"/>
          <w:rtl/>
        </w:rPr>
        <w:t>: "</w:t>
      </w:r>
      <w:r>
        <w:rPr>
          <w:rtl/>
        </w:rPr>
        <w:t xml:space="preserve">ותשחת הארץ </w:t>
      </w:r>
      <w:r>
        <w:rPr>
          <w:rFonts w:hint="cs"/>
          <w:rtl/>
        </w:rPr>
        <w:t>ל</w:t>
      </w:r>
      <w:r>
        <w:rPr>
          <w:rtl/>
        </w:rPr>
        <w:t xml:space="preserve">פני האלהים </w:t>
      </w:r>
      <w:r>
        <w:rPr>
          <w:rFonts w:hint="cs"/>
          <w:rtl/>
        </w:rPr>
        <w:t xml:space="preserve">- </w:t>
      </w:r>
      <w:r>
        <w:rPr>
          <w:rtl/>
        </w:rPr>
        <w:t>אחרים אמרו כי הטעם שנשחתו בסתר ובדברים מכוסים שלא ידעם כי אם השם. והקרוב אלי שהתורה דברה כלשון בני אדם, על דרך שיבינו השומעים כעבד שיעשה עבירה לפני רבו ולא ייראנו</w:t>
      </w:r>
      <w:r>
        <w:rPr>
          <w:rFonts w:hint="cs"/>
          <w:rtl/>
        </w:rPr>
        <w:t xml:space="preserve">" ובבראשית </w:t>
      </w:r>
      <w:r>
        <w:rPr>
          <w:rtl/>
        </w:rPr>
        <w:t>יא</w:t>
      </w:r>
      <w:r>
        <w:rPr>
          <w:rFonts w:hint="cs"/>
          <w:rtl/>
        </w:rPr>
        <w:t xml:space="preserve"> </w:t>
      </w:r>
      <w:r>
        <w:rPr>
          <w:rtl/>
        </w:rPr>
        <w:t>ה</w:t>
      </w:r>
      <w:r>
        <w:rPr>
          <w:rFonts w:hint="cs"/>
          <w:rtl/>
        </w:rPr>
        <w:t>: "</w:t>
      </w:r>
      <w:r>
        <w:rPr>
          <w:rtl/>
        </w:rPr>
        <w:t xml:space="preserve">ומלת וירד ד' </w:t>
      </w:r>
      <w:r>
        <w:rPr>
          <w:rFonts w:hint="cs"/>
          <w:rtl/>
        </w:rPr>
        <w:t xml:space="preserve">... </w:t>
      </w:r>
      <w:r>
        <w:rPr>
          <w:rtl/>
        </w:rPr>
        <w:t>וכדרך לשון בני אדם אמר הכתוב וירד</w:t>
      </w:r>
      <w:r>
        <w:rPr>
          <w:rFonts w:hint="cs"/>
          <w:rtl/>
        </w:rPr>
        <w:t>".</w:t>
      </w:r>
    </w:p>
  </w:footnote>
  <w:footnote w:id="33">
    <w:p w:rsidR="004E4117" w:rsidRDefault="004E4117" w:rsidP="00EC2C25">
      <w:pPr>
        <w:pStyle w:val="a3"/>
        <w:rPr>
          <w:rFonts w:hint="cs"/>
          <w:rtl/>
        </w:rPr>
      </w:pPr>
      <w:r>
        <w:rPr>
          <w:rStyle w:val="a5"/>
        </w:rPr>
        <w:footnoteRef/>
      </w:r>
      <w:r>
        <w:rPr>
          <w:rtl/>
        </w:rPr>
        <w:t xml:space="preserve"> </w:t>
      </w:r>
      <w:r>
        <w:rPr>
          <w:rFonts w:hint="cs"/>
          <w:rtl/>
        </w:rPr>
        <w:t xml:space="preserve">מדרש/פירוש </w:t>
      </w:r>
      <w:r>
        <w:rPr>
          <w:rtl/>
        </w:rPr>
        <w:t xml:space="preserve">פסיקתא זוטרתא (לקח טוב) </w:t>
      </w:r>
      <w:r>
        <w:rPr>
          <w:rFonts w:hint="cs"/>
          <w:rtl/>
        </w:rPr>
        <w:t>מרבה גם הוא להשתמש בביטוי "דברה תורה כלשון בני אדם" על מנת להרחיק את האנשת הקב"ה. ראה דבריו ב</w:t>
      </w:r>
      <w:r>
        <w:rPr>
          <w:rtl/>
        </w:rPr>
        <w:t>שמות פרשת כי תשא לד</w:t>
      </w:r>
      <w:r>
        <w:rPr>
          <w:rFonts w:hint="cs"/>
          <w:rtl/>
        </w:rPr>
        <w:t xml:space="preserve"> </w:t>
      </w:r>
      <w:r>
        <w:rPr>
          <w:rtl/>
        </w:rPr>
        <w:t>יד</w:t>
      </w:r>
      <w:r>
        <w:rPr>
          <w:rFonts w:hint="cs"/>
          <w:rtl/>
        </w:rPr>
        <w:t>: "</w:t>
      </w:r>
      <w:r>
        <w:rPr>
          <w:rtl/>
        </w:rPr>
        <w:t>כי ה' קנא שמו. זהו לשון בני אדם המתקנאים עשיר בעשיר גבור בגבור, אבל הק</w:t>
      </w:r>
      <w:r>
        <w:rPr>
          <w:rFonts w:hint="cs"/>
          <w:rtl/>
        </w:rPr>
        <w:t xml:space="preserve">ב"ה </w:t>
      </w:r>
      <w:r>
        <w:rPr>
          <w:rtl/>
        </w:rPr>
        <w:t>אינו כן</w:t>
      </w:r>
      <w:r>
        <w:rPr>
          <w:rFonts w:hint="cs"/>
          <w:rtl/>
        </w:rPr>
        <w:t xml:space="preserve"> ... </w:t>
      </w:r>
      <w:r>
        <w:rPr>
          <w:rtl/>
        </w:rPr>
        <w:t>כי כל לשון בני אדם תמצאם על הבורא, אבל לא הם כדרך בבני אדם, אלא הוא משל לאדם שהיה לו בן והלך הבן וגידל כלב בביתו והעלה לו לכלב כשם אביו</w:t>
      </w:r>
      <w:r>
        <w:rPr>
          <w:rFonts w:hint="cs"/>
          <w:rtl/>
        </w:rPr>
        <w:t xml:space="preserve"> וכו' ". וכן דבריו ב</w:t>
      </w:r>
      <w:r>
        <w:rPr>
          <w:rtl/>
        </w:rPr>
        <w:t>דברים פרשת ואתחנן</w:t>
      </w:r>
      <w:r>
        <w:rPr>
          <w:rFonts w:hint="cs"/>
          <w:rtl/>
        </w:rPr>
        <w:t>, עשרת הדברות על מעשה מרכבה:</w:t>
      </w:r>
      <w:r>
        <w:rPr>
          <w:rtl/>
        </w:rPr>
        <w:t xml:space="preserve"> </w:t>
      </w:r>
      <w:r>
        <w:rPr>
          <w:rFonts w:hint="cs"/>
          <w:rtl/>
        </w:rPr>
        <w:t>"</w:t>
      </w:r>
      <w:r>
        <w:rPr>
          <w:rtl/>
        </w:rPr>
        <w:t>ואל יתמה אדם על ההיכלות דר' ישמעאל ועל דברי ר' עקיבא אשר דיברו בספר הישר במעשה מרכבה</w:t>
      </w:r>
      <w:r>
        <w:rPr>
          <w:rFonts w:hint="cs"/>
          <w:rtl/>
        </w:rPr>
        <w:t>,</w:t>
      </w:r>
      <w:r>
        <w:rPr>
          <w:rtl/>
        </w:rPr>
        <w:t xml:space="preserve"> כי כולם נכוחים למבין</w:t>
      </w:r>
      <w:r>
        <w:rPr>
          <w:rFonts w:hint="cs"/>
          <w:rtl/>
        </w:rPr>
        <w:t>,</w:t>
      </w:r>
      <w:r>
        <w:rPr>
          <w:rtl/>
        </w:rPr>
        <w:t xml:space="preserve"> כי כוחות וגבורות בורא הכל המה. מצוי</w:t>
      </w:r>
      <w:r>
        <w:rPr>
          <w:rFonts w:hint="cs"/>
          <w:rtl/>
        </w:rPr>
        <w:t xml:space="preserve"> -</w:t>
      </w:r>
      <w:r>
        <w:rPr>
          <w:rtl/>
        </w:rPr>
        <w:t xml:space="preserve"> ולא כמציאה שום דבר. קרוב</w:t>
      </w:r>
      <w:r>
        <w:rPr>
          <w:rFonts w:hint="cs"/>
          <w:rtl/>
        </w:rPr>
        <w:t xml:space="preserve"> - </w:t>
      </w:r>
      <w:r>
        <w:rPr>
          <w:rtl/>
        </w:rPr>
        <w:t>ולא כקריבת שום דבר בעולם</w:t>
      </w:r>
      <w:r>
        <w:rPr>
          <w:rFonts w:hint="cs"/>
          <w:rtl/>
        </w:rPr>
        <w:t xml:space="preserve"> ... </w:t>
      </w:r>
      <w:r>
        <w:rPr>
          <w:rtl/>
        </w:rPr>
        <w:t>ומי יכול לדבר על הנביאים אשר אמרו (שם ו) ואראה את ה'. (שם נה) דרשו את ה' בהמצאו קראוהו בהיותו קרוב. (שה"ש ה) ראשו כתם פז. (זכריה יד) ועמדו רגליו ביום ההוא</w:t>
      </w:r>
      <w:r>
        <w:rPr>
          <w:rFonts w:hint="cs"/>
          <w:rtl/>
        </w:rPr>
        <w:t xml:space="preserve"> ... </w:t>
      </w:r>
      <w:r>
        <w:rPr>
          <w:rtl/>
        </w:rPr>
        <w:t>וכיוצא באלה לאין סוף. אלא דברה תורה כלשון בני אדם. וכן הנביאים אחרי התורה. והכתובים אחרי הנביאים. וחכמים אחריהם. הכל דרך אחד להם ובינה בדבר וצריך שום שכל. וכן הוא אומר וידעת היום והשבות אל לבבך כי ה' הוא האלהים</w:t>
      </w:r>
      <w:r>
        <w:rPr>
          <w:rFonts w:hint="cs"/>
          <w:rtl/>
        </w:rPr>
        <w:t>". ואולי קדמו לאבן עזרא ולפסיקתא זוטרתא הגאונים, ב</w:t>
      </w:r>
      <w:r>
        <w:rPr>
          <w:rtl/>
        </w:rPr>
        <w:t>תשובות הגאונים - מוסאפיה סימן צח</w:t>
      </w:r>
      <w:r>
        <w:rPr>
          <w:rFonts w:hint="cs"/>
          <w:rtl/>
        </w:rPr>
        <w:t>: "</w:t>
      </w:r>
      <w:r>
        <w:rPr>
          <w:rtl/>
        </w:rPr>
        <w:t xml:space="preserve">דבין משיקול הדעת ובין מדברי חכמים לית ספק שהקב"ה אין לדמותו לשום בריה ואין לפניו לא שחוק ולא בכי ולא אנחה ולא דמעות ולא דוחקי </w:t>
      </w:r>
      <w:r>
        <w:rPr>
          <w:rFonts w:hint="cs"/>
          <w:rtl/>
        </w:rPr>
        <w:t xml:space="preserve">... </w:t>
      </w:r>
      <w:r>
        <w:rPr>
          <w:rtl/>
        </w:rPr>
        <w:t>דכל מלתא דאמרוה רבנן דומיא דהכי</w:t>
      </w:r>
      <w:r>
        <w:rPr>
          <w:rFonts w:hint="cs"/>
          <w:rtl/>
        </w:rPr>
        <w:t xml:space="preserve"> -</w:t>
      </w:r>
      <w:r>
        <w:rPr>
          <w:rtl/>
        </w:rPr>
        <w:t xml:space="preserve"> לאו על פשטיה אמרוה אלא בתורת משל ודימוי לדברים שנודעים בינותינו למראית העין כי היכי דדברה תורה בלשון בני אדם</w:t>
      </w:r>
      <w:r>
        <w:rPr>
          <w:rFonts w:hint="cs"/>
          <w:rtl/>
        </w:rPr>
        <w:t>.</w:t>
      </w:r>
      <w:r>
        <w:rPr>
          <w:rtl/>
        </w:rPr>
        <w:t xml:space="preserve"> דהא נביאים הכי ממתלין ואמרין עין ה'. הנה יד ה'. ויחר אף ה'. עלה עשן באפו ואש מפיו. ולאו על פשטיה אלא בתורת משל ולשון בני אדם</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FB" w:rsidRPr="00974531" w:rsidRDefault="007837FB" w:rsidP="003400B3">
    <w:pPr>
      <w:pStyle w:val="1"/>
      <w:tabs>
        <w:tab w:val="clear" w:pos="9469"/>
        <w:tab w:val="right" w:pos="9299"/>
      </w:tabs>
      <w:rPr>
        <w:rFonts w:hint="cs"/>
        <w:sz w:val="28"/>
        <w:rtl/>
      </w:rPr>
    </w:pPr>
    <w:r w:rsidRPr="00974531">
      <w:rPr>
        <w:sz w:val="28"/>
        <w:rtl/>
      </w:rPr>
      <w:t xml:space="preserve">פרשת </w:t>
    </w:r>
    <w:r>
      <w:rPr>
        <w:rFonts w:hint="cs"/>
        <w:sz w:val="28"/>
        <w:rtl/>
      </w:rPr>
      <w:t>נשא</w:t>
    </w:r>
    <w:r w:rsidRPr="00974531">
      <w:rPr>
        <w:sz w:val="28"/>
        <w:rtl/>
      </w:rPr>
      <w:tab/>
    </w:r>
    <w:r w:rsidRPr="00974531">
      <w:rPr>
        <w:rFonts w:hint="cs"/>
        <w:sz w:val="28"/>
        <w:rtl/>
      </w:rPr>
      <w:t>תש</w:t>
    </w:r>
    <w:r>
      <w:rPr>
        <w:rFonts w:hint="cs"/>
        <w:sz w:val="28"/>
        <w:rtl/>
      </w:rPr>
      <w:t>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FB" w:rsidRDefault="007837F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8D1C54">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F654C3">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34D44"/>
    <w:rsid w:val="00043867"/>
    <w:rsid w:val="00044D17"/>
    <w:rsid w:val="00053162"/>
    <w:rsid w:val="0005341A"/>
    <w:rsid w:val="00054FA8"/>
    <w:rsid w:val="00062F0F"/>
    <w:rsid w:val="00065E78"/>
    <w:rsid w:val="000664A0"/>
    <w:rsid w:val="00073ECC"/>
    <w:rsid w:val="000822F6"/>
    <w:rsid w:val="00087B09"/>
    <w:rsid w:val="00091D0D"/>
    <w:rsid w:val="00093492"/>
    <w:rsid w:val="000A5B36"/>
    <w:rsid w:val="000B3B78"/>
    <w:rsid w:val="000C67A3"/>
    <w:rsid w:val="000C7109"/>
    <w:rsid w:val="000E655C"/>
    <w:rsid w:val="000F1B82"/>
    <w:rsid w:val="000F2E7E"/>
    <w:rsid w:val="00100782"/>
    <w:rsid w:val="001025FA"/>
    <w:rsid w:val="00104991"/>
    <w:rsid w:val="00116D4B"/>
    <w:rsid w:val="001258F3"/>
    <w:rsid w:val="001265BD"/>
    <w:rsid w:val="0012745E"/>
    <w:rsid w:val="00135946"/>
    <w:rsid w:val="001416C6"/>
    <w:rsid w:val="00153EEF"/>
    <w:rsid w:val="00170528"/>
    <w:rsid w:val="001714FC"/>
    <w:rsid w:val="00173026"/>
    <w:rsid w:val="00175A1B"/>
    <w:rsid w:val="001773A0"/>
    <w:rsid w:val="0019491E"/>
    <w:rsid w:val="001974D6"/>
    <w:rsid w:val="001A3041"/>
    <w:rsid w:val="001A3674"/>
    <w:rsid w:val="001B03D8"/>
    <w:rsid w:val="001B0D4C"/>
    <w:rsid w:val="001B50E7"/>
    <w:rsid w:val="001C2A2A"/>
    <w:rsid w:val="001C4E66"/>
    <w:rsid w:val="001D1F1E"/>
    <w:rsid w:val="001D257E"/>
    <w:rsid w:val="001E6680"/>
    <w:rsid w:val="002019D7"/>
    <w:rsid w:val="0021058F"/>
    <w:rsid w:val="00213E12"/>
    <w:rsid w:val="00220878"/>
    <w:rsid w:val="002225BC"/>
    <w:rsid w:val="00222EDE"/>
    <w:rsid w:val="00226394"/>
    <w:rsid w:val="00226C53"/>
    <w:rsid w:val="0023612C"/>
    <w:rsid w:val="00236967"/>
    <w:rsid w:val="00241FFE"/>
    <w:rsid w:val="002522A2"/>
    <w:rsid w:val="00253DEB"/>
    <w:rsid w:val="00254132"/>
    <w:rsid w:val="00254722"/>
    <w:rsid w:val="00262E28"/>
    <w:rsid w:val="0026703E"/>
    <w:rsid w:val="002734EA"/>
    <w:rsid w:val="00273809"/>
    <w:rsid w:val="00282AE8"/>
    <w:rsid w:val="00293745"/>
    <w:rsid w:val="00297CE2"/>
    <w:rsid w:val="002A1DC0"/>
    <w:rsid w:val="002A2B6F"/>
    <w:rsid w:val="002B1776"/>
    <w:rsid w:val="002B2BC9"/>
    <w:rsid w:val="002C00F8"/>
    <w:rsid w:val="002C232E"/>
    <w:rsid w:val="002D1AB3"/>
    <w:rsid w:val="002D2B00"/>
    <w:rsid w:val="002D32ED"/>
    <w:rsid w:val="002D39F4"/>
    <w:rsid w:val="002D75F9"/>
    <w:rsid w:val="002D794C"/>
    <w:rsid w:val="002E15E4"/>
    <w:rsid w:val="002E20F0"/>
    <w:rsid w:val="002F28C2"/>
    <w:rsid w:val="002F3CA3"/>
    <w:rsid w:val="002F61EE"/>
    <w:rsid w:val="002F6407"/>
    <w:rsid w:val="003048EB"/>
    <w:rsid w:val="00304E21"/>
    <w:rsid w:val="003201C2"/>
    <w:rsid w:val="0033696C"/>
    <w:rsid w:val="003400B3"/>
    <w:rsid w:val="00353D22"/>
    <w:rsid w:val="00363688"/>
    <w:rsid w:val="0037457B"/>
    <w:rsid w:val="003829A2"/>
    <w:rsid w:val="00383836"/>
    <w:rsid w:val="00385018"/>
    <w:rsid w:val="0039288A"/>
    <w:rsid w:val="003C27B9"/>
    <w:rsid w:val="003C2F66"/>
    <w:rsid w:val="003D2F2D"/>
    <w:rsid w:val="003D4B7B"/>
    <w:rsid w:val="003D5076"/>
    <w:rsid w:val="003D6594"/>
    <w:rsid w:val="003D79F1"/>
    <w:rsid w:val="003E32B0"/>
    <w:rsid w:val="003E404E"/>
    <w:rsid w:val="003E4CA5"/>
    <w:rsid w:val="003F1CEB"/>
    <w:rsid w:val="00401B9A"/>
    <w:rsid w:val="00410A35"/>
    <w:rsid w:val="0041325C"/>
    <w:rsid w:val="00414F62"/>
    <w:rsid w:val="00415FE5"/>
    <w:rsid w:val="00417213"/>
    <w:rsid w:val="00424EE2"/>
    <w:rsid w:val="004261A7"/>
    <w:rsid w:val="00434026"/>
    <w:rsid w:val="004420B1"/>
    <w:rsid w:val="00443A3A"/>
    <w:rsid w:val="00444630"/>
    <w:rsid w:val="004603AF"/>
    <w:rsid w:val="004613CF"/>
    <w:rsid w:val="004628FB"/>
    <w:rsid w:val="00463604"/>
    <w:rsid w:val="004671AA"/>
    <w:rsid w:val="00471E33"/>
    <w:rsid w:val="00476D68"/>
    <w:rsid w:val="00476F09"/>
    <w:rsid w:val="00483364"/>
    <w:rsid w:val="004870CD"/>
    <w:rsid w:val="00487E0D"/>
    <w:rsid w:val="0049587F"/>
    <w:rsid w:val="004A2684"/>
    <w:rsid w:val="004A4164"/>
    <w:rsid w:val="004B4F64"/>
    <w:rsid w:val="004D3A37"/>
    <w:rsid w:val="004D6191"/>
    <w:rsid w:val="004E27FE"/>
    <w:rsid w:val="004E4117"/>
    <w:rsid w:val="004F12D2"/>
    <w:rsid w:val="00514490"/>
    <w:rsid w:val="0051587B"/>
    <w:rsid w:val="00527037"/>
    <w:rsid w:val="00536679"/>
    <w:rsid w:val="00540681"/>
    <w:rsid w:val="005449E6"/>
    <w:rsid w:val="005452FE"/>
    <w:rsid w:val="00545816"/>
    <w:rsid w:val="00550FDC"/>
    <w:rsid w:val="005523B6"/>
    <w:rsid w:val="00552DFD"/>
    <w:rsid w:val="00554CB2"/>
    <w:rsid w:val="00557F81"/>
    <w:rsid w:val="00565142"/>
    <w:rsid w:val="00594E3B"/>
    <w:rsid w:val="005A64D1"/>
    <w:rsid w:val="005B09BD"/>
    <w:rsid w:val="005C215A"/>
    <w:rsid w:val="005C2795"/>
    <w:rsid w:val="005D2A7F"/>
    <w:rsid w:val="005D62E3"/>
    <w:rsid w:val="005E1A8D"/>
    <w:rsid w:val="005E4B6E"/>
    <w:rsid w:val="005E5CAA"/>
    <w:rsid w:val="005E7CCF"/>
    <w:rsid w:val="005E7E24"/>
    <w:rsid w:val="005F3757"/>
    <w:rsid w:val="00601153"/>
    <w:rsid w:val="00602325"/>
    <w:rsid w:val="00622395"/>
    <w:rsid w:val="00632870"/>
    <w:rsid w:val="00650F57"/>
    <w:rsid w:val="006518A4"/>
    <w:rsid w:val="0065606A"/>
    <w:rsid w:val="006564D7"/>
    <w:rsid w:val="00662428"/>
    <w:rsid w:val="00685B6A"/>
    <w:rsid w:val="00690DE3"/>
    <w:rsid w:val="006A063C"/>
    <w:rsid w:val="006A65C0"/>
    <w:rsid w:val="006C0664"/>
    <w:rsid w:val="006C79C6"/>
    <w:rsid w:val="006D03E3"/>
    <w:rsid w:val="006E2D27"/>
    <w:rsid w:val="006E3377"/>
    <w:rsid w:val="006E6803"/>
    <w:rsid w:val="006E74C1"/>
    <w:rsid w:val="006F0C1A"/>
    <w:rsid w:val="006F270E"/>
    <w:rsid w:val="0070420A"/>
    <w:rsid w:val="0071003B"/>
    <w:rsid w:val="0071035B"/>
    <w:rsid w:val="00714E12"/>
    <w:rsid w:val="00722AA7"/>
    <w:rsid w:val="00724B6A"/>
    <w:rsid w:val="00724C90"/>
    <w:rsid w:val="007339F8"/>
    <w:rsid w:val="00733CAD"/>
    <w:rsid w:val="00735A7E"/>
    <w:rsid w:val="00744119"/>
    <w:rsid w:val="00744285"/>
    <w:rsid w:val="00745969"/>
    <w:rsid w:val="007476C1"/>
    <w:rsid w:val="00751B3D"/>
    <w:rsid w:val="00757660"/>
    <w:rsid w:val="00757C2D"/>
    <w:rsid w:val="00765DC4"/>
    <w:rsid w:val="00766293"/>
    <w:rsid w:val="00767CAF"/>
    <w:rsid w:val="00775761"/>
    <w:rsid w:val="007778DE"/>
    <w:rsid w:val="007837FB"/>
    <w:rsid w:val="007879FD"/>
    <w:rsid w:val="00792A54"/>
    <w:rsid w:val="00793C3B"/>
    <w:rsid w:val="007947C0"/>
    <w:rsid w:val="00794EEA"/>
    <w:rsid w:val="007975C6"/>
    <w:rsid w:val="007A2266"/>
    <w:rsid w:val="007B1911"/>
    <w:rsid w:val="007B20FD"/>
    <w:rsid w:val="007C1DC5"/>
    <w:rsid w:val="007C4D0F"/>
    <w:rsid w:val="007C7F3B"/>
    <w:rsid w:val="007D487C"/>
    <w:rsid w:val="007E4393"/>
    <w:rsid w:val="007F0F42"/>
    <w:rsid w:val="007F1B53"/>
    <w:rsid w:val="007F1EC0"/>
    <w:rsid w:val="007F4D1A"/>
    <w:rsid w:val="007F50CD"/>
    <w:rsid w:val="008077FB"/>
    <w:rsid w:val="00811DAB"/>
    <w:rsid w:val="00822C33"/>
    <w:rsid w:val="0082554D"/>
    <w:rsid w:val="0082734D"/>
    <w:rsid w:val="00827984"/>
    <w:rsid w:val="008424C6"/>
    <w:rsid w:val="00842794"/>
    <w:rsid w:val="00843E4A"/>
    <w:rsid w:val="00853C45"/>
    <w:rsid w:val="0085761D"/>
    <w:rsid w:val="008619FE"/>
    <w:rsid w:val="00864BDB"/>
    <w:rsid w:val="008655E1"/>
    <w:rsid w:val="0087324D"/>
    <w:rsid w:val="00877A5C"/>
    <w:rsid w:val="0088365F"/>
    <w:rsid w:val="00895E85"/>
    <w:rsid w:val="008A5A4D"/>
    <w:rsid w:val="008B3B5E"/>
    <w:rsid w:val="008B4AE7"/>
    <w:rsid w:val="008B5252"/>
    <w:rsid w:val="008B550A"/>
    <w:rsid w:val="008B6179"/>
    <w:rsid w:val="008B6692"/>
    <w:rsid w:val="008B6DE0"/>
    <w:rsid w:val="008C4048"/>
    <w:rsid w:val="008C63B7"/>
    <w:rsid w:val="008C7FDC"/>
    <w:rsid w:val="008D027F"/>
    <w:rsid w:val="008D0676"/>
    <w:rsid w:val="008D1C54"/>
    <w:rsid w:val="008E13ED"/>
    <w:rsid w:val="008E37EC"/>
    <w:rsid w:val="008F498E"/>
    <w:rsid w:val="008F58D5"/>
    <w:rsid w:val="00901B66"/>
    <w:rsid w:val="00904BC9"/>
    <w:rsid w:val="0091186B"/>
    <w:rsid w:val="0091517F"/>
    <w:rsid w:val="0091545D"/>
    <w:rsid w:val="009162DF"/>
    <w:rsid w:val="0091695C"/>
    <w:rsid w:val="00924670"/>
    <w:rsid w:val="00924BF2"/>
    <w:rsid w:val="009319D5"/>
    <w:rsid w:val="009339FA"/>
    <w:rsid w:val="0093748A"/>
    <w:rsid w:val="009422FA"/>
    <w:rsid w:val="00945098"/>
    <w:rsid w:val="00951DD0"/>
    <w:rsid w:val="00960633"/>
    <w:rsid w:val="00962AE1"/>
    <w:rsid w:val="00974531"/>
    <w:rsid w:val="00977169"/>
    <w:rsid w:val="009815F0"/>
    <w:rsid w:val="009A526D"/>
    <w:rsid w:val="009D0AF3"/>
    <w:rsid w:val="009E0DB3"/>
    <w:rsid w:val="009E582B"/>
    <w:rsid w:val="009E7C7F"/>
    <w:rsid w:val="009F39F2"/>
    <w:rsid w:val="009F45CA"/>
    <w:rsid w:val="00A02577"/>
    <w:rsid w:val="00A05A37"/>
    <w:rsid w:val="00A16B78"/>
    <w:rsid w:val="00A20559"/>
    <w:rsid w:val="00A2217D"/>
    <w:rsid w:val="00A24D8E"/>
    <w:rsid w:val="00A25C6B"/>
    <w:rsid w:val="00A2725D"/>
    <w:rsid w:val="00A274A0"/>
    <w:rsid w:val="00A43A0C"/>
    <w:rsid w:val="00A51C56"/>
    <w:rsid w:val="00A579B6"/>
    <w:rsid w:val="00A704B9"/>
    <w:rsid w:val="00A7305B"/>
    <w:rsid w:val="00A773A4"/>
    <w:rsid w:val="00A774AB"/>
    <w:rsid w:val="00A814D8"/>
    <w:rsid w:val="00A84CC9"/>
    <w:rsid w:val="00A94FD0"/>
    <w:rsid w:val="00A95155"/>
    <w:rsid w:val="00A951BC"/>
    <w:rsid w:val="00AB1DF3"/>
    <w:rsid w:val="00AB209A"/>
    <w:rsid w:val="00AB2D08"/>
    <w:rsid w:val="00AB3900"/>
    <w:rsid w:val="00AC52C2"/>
    <w:rsid w:val="00AD4E8F"/>
    <w:rsid w:val="00AD52E5"/>
    <w:rsid w:val="00AD69C6"/>
    <w:rsid w:val="00AF442A"/>
    <w:rsid w:val="00AF7D2E"/>
    <w:rsid w:val="00B06AAE"/>
    <w:rsid w:val="00B12588"/>
    <w:rsid w:val="00B14FD3"/>
    <w:rsid w:val="00B1696E"/>
    <w:rsid w:val="00B22E90"/>
    <w:rsid w:val="00B23402"/>
    <w:rsid w:val="00B43D07"/>
    <w:rsid w:val="00B43E01"/>
    <w:rsid w:val="00B46879"/>
    <w:rsid w:val="00B629F2"/>
    <w:rsid w:val="00B75C3B"/>
    <w:rsid w:val="00B76BA5"/>
    <w:rsid w:val="00B813EB"/>
    <w:rsid w:val="00B81E7E"/>
    <w:rsid w:val="00B93FC7"/>
    <w:rsid w:val="00BA181D"/>
    <w:rsid w:val="00BA713D"/>
    <w:rsid w:val="00BD06BB"/>
    <w:rsid w:val="00BD7370"/>
    <w:rsid w:val="00BD7479"/>
    <w:rsid w:val="00BD7CAB"/>
    <w:rsid w:val="00BF41E1"/>
    <w:rsid w:val="00C108CB"/>
    <w:rsid w:val="00C11832"/>
    <w:rsid w:val="00C26ED9"/>
    <w:rsid w:val="00C27B20"/>
    <w:rsid w:val="00C30EED"/>
    <w:rsid w:val="00C343C3"/>
    <w:rsid w:val="00C40244"/>
    <w:rsid w:val="00C40B39"/>
    <w:rsid w:val="00C41FBC"/>
    <w:rsid w:val="00C4528F"/>
    <w:rsid w:val="00C47563"/>
    <w:rsid w:val="00C60D18"/>
    <w:rsid w:val="00C64927"/>
    <w:rsid w:val="00C71D13"/>
    <w:rsid w:val="00C72E52"/>
    <w:rsid w:val="00C768E8"/>
    <w:rsid w:val="00C80AE5"/>
    <w:rsid w:val="00C85330"/>
    <w:rsid w:val="00C85FF4"/>
    <w:rsid w:val="00C975B9"/>
    <w:rsid w:val="00CA0225"/>
    <w:rsid w:val="00CA1AA1"/>
    <w:rsid w:val="00CA22F3"/>
    <w:rsid w:val="00CB515A"/>
    <w:rsid w:val="00CB74C6"/>
    <w:rsid w:val="00CC0E75"/>
    <w:rsid w:val="00CC1BD8"/>
    <w:rsid w:val="00CC2525"/>
    <w:rsid w:val="00CE1A53"/>
    <w:rsid w:val="00CF5371"/>
    <w:rsid w:val="00CF5AB9"/>
    <w:rsid w:val="00D039E1"/>
    <w:rsid w:val="00D100C2"/>
    <w:rsid w:val="00D122E2"/>
    <w:rsid w:val="00D15ACE"/>
    <w:rsid w:val="00D15BC4"/>
    <w:rsid w:val="00D208E1"/>
    <w:rsid w:val="00D2169B"/>
    <w:rsid w:val="00D251A4"/>
    <w:rsid w:val="00D257E1"/>
    <w:rsid w:val="00D26BBB"/>
    <w:rsid w:val="00D456A9"/>
    <w:rsid w:val="00D5060B"/>
    <w:rsid w:val="00D62BD5"/>
    <w:rsid w:val="00D71642"/>
    <w:rsid w:val="00D7538A"/>
    <w:rsid w:val="00D75584"/>
    <w:rsid w:val="00D83A3A"/>
    <w:rsid w:val="00D91A90"/>
    <w:rsid w:val="00D935D1"/>
    <w:rsid w:val="00D9434C"/>
    <w:rsid w:val="00D97309"/>
    <w:rsid w:val="00DA2CB3"/>
    <w:rsid w:val="00DA4683"/>
    <w:rsid w:val="00DB7412"/>
    <w:rsid w:val="00DC0465"/>
    <w:rsid w:val="00DC0C06"/>
    <w:rsid w:val="00DC377C"/>
    <w:rsid w:val="00DC78D2"/>
    <w:rsid w:val="00DD2374"/>
    <w:rsid w:val="00DD4002"/>
    <w:rsid w:val="00DE3596"/>
    <w:rsid w:val="00DE42CB"/>
    <w:rsid w:val="00DF291E"/>
    <w:rsid w:val="00E00821"/>
    <w:rsid w:val="00E03D75"/>
    <w:rsid w:val="00E126C4"/>
    <w:rsid w:val="00E15E2C"/>
    <w:rsid w:val="00E2287C"/>
    <w:rsid w:val="00E318A2"/>
    <w:rsid w:val="00E411A0"/>
    <w:rsid w:val="00E43532"/>
    <w:rsid w:val="00E446DC"/>
    <w:rsid w:val="00E533B8"/>
    <w:rsid w:val="00E56C28"/>
    <w:rsid w:val="00E62C28"/>
    <w:rsid w:val="00E83E13"/>
    <w:rsid w:val="00E8757B"/>
    <w:rsid w:val="00E911DD"/>
    <w:rsid w:val="00E92E56"/>
    <w:rsid w:val="00E96432"/>
    <w:rsid w:val="00EA1090"/>
    <w:rsid w:val="00EB25D4"/>
    <w:rsid w:val="00EB2DBB"/>
    <w:rsid w:val="00EC1C8A"/>
    <w:rsid w:val="00EC2AF0"/>
    <w:rsid w:val="00EC2C25"/>
    <w:rsid w:val="00ED6933"/>
    <w:rsid w:val="00ED7B3F"/>
    <w:rsid w:val="00EE1A23"/>
    <w:rsid w:val="00EE56CC"/>
    <w:rsid w:val="00EE70E2"/>
    <w:rsid w:val="00EF425A"/>
    <w:rsid w:val="00EF6384"/>
    <w:rsid w:val="00EF79BD"/>
    <w:rsid w:val="00F02978"/>
    <w:rsid w:val="00F04D1C"/>
    <w:rsid w:val="00F12B19"/>
    <w:rsid w:val="00F344CF"/>
    <w:rsid w:val="00F358F1"/>
    <w:rsid w:val="00F40B3D"/>
    <w:rsid w:val="00F42BB8"/>
    <w:rsid w:val="00F50EEB"/>
    <w:rsid w:val="00F61910"/>
    <w:rsid w:val="00F621CA"/>
    <w:rsid w:val="00F64D7A"/>
    <w:rsid w:val="00F654C3"/>
    <w:rsid w:val="00F663D5"/>
    <w:rsid w:val="00F70002"/>
    <w:rsid w:val="00F82D6D"/>
    <w:rsid w:val="00F846D0"/>
    <w:rsid w:val="00F9677F"/>
    <w:rsid w:val="00F9699B"/>
    <w:rsid w:val="00FA3FFC"/>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5A0829-C882-41C6-A3A7-C9A6D932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7563"/>
    <w:pPr>
      <w:bidi/>
    </w:pPr>
    <w:rPr>
      <w:rFonts w:cs="Narkisim"/>
      <w:sz w:val="22"/>
      <w:szCs w:val="22"/>
      <w:lang w:eastAsia="he-IL"/>
    </w:rPr>
  </w:style>
  <w:style w:type="paragraph" w:styleId="1">
    <w:name w:val="heading 1"/>
    <w:basedOn w:val="a"/>
    <w:next w:val="a"/>
    <w:link w:val="10"/>
    <w:qFormat/>
    <w:rsid w:val="00C47563"/>
    <w:pPr>
      <w:keepNext/>
      <w:tabs>
        <w:tab w:val="right" w:pos="9469"/>
      </w:tabs>
      <w:jc w:val="both"/>
      <w:outlineLvl w:val="0"/>
    </w:pPr>
    <w:rPr>
      <w:rFonts w:cs="David"/>
      <w:b/>
      <w:bCs/>
      <w:szCs w:val="28"/>
    </w:rPr>
  </w:style>
  <w:style w:type="character" w:default="1" w:styleId="a0">
    <w:name w:val="Default Paragraph Font"/>
    <w:uiPriority w:val="1"/>
    <w:semiHidden/>
    <w:unhideWhenUsed/>
    <w:rsid w:val="00C475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7563"/>
  </w:style>
  <w:style w:type="paragraph" w:styleId="a3">
    <w:name w:val="footnote text"/>
    <w:basedOn w:val="a"/>
    <w:link w:val="a4"/>
    <w:rsid w:val="00C47563"/>
    <w:pPr>
      <w:ind w:left="170" w:hanging="170"/>
      <w:jc w:val="both"/>
    </w:pPr>
    <w:rPr>
      <w:sz w:val="20"/>
      <w:szCs w:val="20"/>
    </w:rPr>
  </w:style>
  <w:style w:type="character" w:styleId="a5">
    <w:name w:val="footnote reference"/>
    <w:semiHidden/>
    <w:rsid w:val="00C47563"/>
    <w:rPr>
      <w:vertAlign w:val="superscript"/>
    </w:rPr>
  </w:style>
  <w:style w:type="paragraph" w:styleId="a6">
    <w:name w:val="header"/>
    <w:basedOn w:val="a"/>
    <w:link w:val="a7"/>
    <w:rsid w:val="00C47563"/>
    <w:pPr>
      <w:tabs>
        <w:tab w:val="center" w:pos="4153"/>
        <w:tab w:val="right" w:pos="8306"/>
      </w:tabs>
    </w:pPr>
  </w:style>
  <w:style w:type="paragraph" w:styleId="a8">
    <w:name w:val="footer"/>
    <w:basedOn w:val="a"/>
    <w:link w:val="a9"/>
    <w:rsid w:val="00C47563"/>
    <w:pPr>
      <w:tabs>
        <w:tab w:val="center" w:pos="4153"/>
        <w:tab w:val="right" w:pos="8306"/>
      </w:tabs>
    </w:pPr>
  </w:style>
  <w:style w:type="paragraph" w:customStyle="1" w:styleId="aa">
    <w:name w:val="כותרת"/>
    <w:basedOn w:val="a"/>
    <w:rsid w:val="00C47563"/>
    <w:pPr>
      <w:spacing w:before="240" w:line="320" w:lineRule="atLeast"/>
      <w:jc w:val="center"/>
    </w:pPr>
    <w:rPr>
      <w:rFonts w:cs="David"/>
      <w:b/>
      <w:bCs/>
      <w:spacing w:val="20"/>
      <w:szCs w:val="32"/>
    </w:rPr>
  </w:style>
  <w:style w:type="paragraph" w:customStyle="1" w:styleId="ab">
    <w:name w:val="כותרת קטע"/>
    <w:basedOn w:val="a"/>
    <w:rsid w:val="00C47563"/>
    <w:pPr>
      <w:spacing w:before="240" w:line="300" w:lineRule="atLeast"/>
    </w:pPr>
    <w:rPr>
      <w:rFonts w:cs="Arial"/>
      <w:b/>
      <w:bCs/>
      <w:szCs w:val="24"/>
    </w:rPr>
  </w:style>
  <w:style w:type="paragraph" w:customStyle="1" w:styleId="ac">
    <w:name w:val="מקור"/>
    <w:basedOn w:val="a"/>
    <w:rsid w:val="00C47563"/>
    <w:pPr>
      <w:spacing w:line="320" w:lineRule="atLeast"/>
      <w:jc w:val="both"/>
    </w:pPr>
    <w:rPr>
      <w:rFonts w:cs="David"/>
      <w:szCs w:val="24"/>
    </w:rPr>
  </w:style>
  <w:style w:type="paragraph" w:customStyle="1" w:styleId="ad">
    <w:name w:val="מחלקי המים"/>
    <w:basedOn w:val="a"/>
    <w:rsid w:val="00C4756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47563"/>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47563"/>
    <w:rPr>
      <w:rFonts w:ascii="Tahoma" w:hAnsi="Tahoma" w:cs="Tahoma"/>
      <w:sz w:val="16"/>
      <w:szCs w:val="16"/>
    </w:rPr>
  </w:style>
  <w:style w:type="character" w:customStyle="1" w:styleId="a4">
    <w:name w:val="טקסט הערת שוליים תו"/>
    <w:link w:val="a3"/>
    <w:rsid w:val="00C47563"/>
    <w:rPr>
      <w:rFonts w:cs="Narkisim"/>
      <w:lang w:eastAsia="he-IL"/>
    </w:rPr>
  </w:style>
  <w:style w:type="character" w:customStyle="1" w:styleId="10">
    <w:name w:val="כותרת 1 תו"/>
    <w:link w:val="1"/>
    <w:rsid w:val="00C47563"/>
    <w:rPr>
      <w:rFonts w:cs="David"/>
      <w:b/>
      <w:bCs/>
      <w:sz w:val="22"/>
      <w:szCs w:val="28"/>
      <w:lang w:eastAsia="he-IL"/>
    </w:rPr>
  </w:style>
  <w:style w:type="character" w:customStyle="1" w:styleId="a7">
    <w:name w:val="כותרת עליונה תו"/>
    <w:link w:val="a6"/>
    <w:rsid w:val="00C47563"/>
    <w:rPr>
      <w:rFonts w:cs="Narkisim"/>
      <w:sz w:val="22"/>
      <w:szCs w:val="22"/>
      <w:lang w:eastAsia="he-IL"/>
    </w:rPr>
  </w:style>
  <w:style w:type="character" w:customStyle="1" w:styleId="a9">
    <w:name w:val="כותרת תחתונה תו"/>
    <w:link w:val="a8"/>
    <w:rsid w:val="00C47563"/>
    <w:rPr>
      <w:rFonts w:cs="Narkisim"/>
      <w:sz w:val="22"/>
      <w:szCs w:val="22"/>
      <w:lang w:eastAsia="he-IL"/>
    </w:rPr>
  </w:style>
  <w:style w:type="character" w:customStyle="1" w:styleId="af1">
    <w:name w:val="טקסט בלונים תו"/>
    <w:link w:val="af0"/>
    <w:uiPriority w:val="99"/>
    <w:semiHidden/>
    <w:rsid w:val="00C47563"/>
    <w:rPr>
      <w:rFonts w:ascii="Tahoma" w:hAnsi="Tahoma" w:cs="Tahoma"/>
      <w:sz w:val="16"/>
      <w:szCs w:val="16"/>
      <w:lang w:eastAsia="he-IL"/>
    </w:rPr>
  </w:style>
  <w:style w:type="character" w:customStyle="1" w:styleId="gmail-tooltippedword">
    <w:name w:val="gmail-tooltippedword"/>
    <w:rsid w:val="00C4528F"/>
  </w:style>
  <w:style w:type="character" w:customStyle="1" w:styleId="gmail-maremakomnosaf">
    <w:name w:val="gmail-maremakomnosaf"/>
    <w:rsid w:val="00C4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95%D7%A7%D7%93%D7%9D-%D7%95%D7%9E%D7%90%D7%95%D7%97%D7%A8-%D7%91%D7%AA%D7%95%D7%A8%D7%94-%D7%91%D7%9E%D7%93%D7%A8%D7%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0%D7%99%D7%9F-%D7%9E%D7%95%D7%A7%D7%93%D7%9D-%D7%95%D7%9E%D7%90%D7%95%D7%97%D7%A8-%D7%91%D7%AA%D7%95%D7%A8%D7%94-%D7%91%D7%A4%D7%A8%D7%A9%D7%A0%D7%99-%D7%94%D7%9E%D7%A7%D7%A8%D7%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holiday=%d7%aa%d7%a4%d7%99%d7%9c%d7%aa-%d7%97%d7%a0%d7%94" TargetMode="External"/><Relationship Id="rId1" Type="http://schemas.openxmlformats.org/officeDocument/2006/relationships/hyperlink" Target="https://www.mayim.org.il/?parasha=%d7%90%d7%99%d7%a9-%d7%9b%d7%99-%d7%99%d7%93%d7%95%d7%a8-%d7%a0%d7%93%d7%a8-%d7%9c%d7%94" TargetMode="External"/><Relationship Id="rId5" Type="http://schemas.openxmlformats.org/officeDocument/2006/relationships/hyperlink" Target="https://www.mayim.org.il/?parasha=%D7%94%D7%A0%D7%92%D7%9C%D7%95%D7%AA-%D7%95%D7%94%D7%A0%D7%A1%D7%AA%D7%A8%D7%95%D7%AA1" TargetMode="External"/><Relationship Id="rId4" Type="http://schemas.openxmlformats.org/officeDocument/2006/relationships/hyperlink" Target="https://www.mayim.org.il/?parasha=%D7%90%D7%99%D7%9F-%D7%9E%D7%A7%D7%A8%D7%90-%D7%99%D7%95%D7%A6%D7%90-%D7%9E%D7%99%D7%93%D7%99-%D7%A4%D7%A9%D7%95%D7%98%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FA12-3D31-4C1A-8AE6-1E69031C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993</Words>
  <Characters>5665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6645</CharactersWithSpaces>
  <SharedDoc>false</SharedDoc>
  <HLinks>
    <vt:vector size="42" baseType="variant">
      <vt:variant>
        <vt:i4>4128870</vt:i4>
      </vt:variant>
      <vt:variant>
        <vt:i4>3</vt:i4>
      </vt:variant>
      <vt:variant>
        <vt:i4>0</vt:i4>
      </vt:variant>
      <vt:variant>
        <vt:i4>5</vt:i4>
      </vt:variant>
      <vt:variant>
        <vt:lpwstr>https://www.mayim.org.il/?parasha=%D7%90%D7%99%D7%9F-%D7%9E%D7%95%D7%A7%D7%93%D7%9D-%D7%95%D7%9E%D7%90%D7%95%D7%97%D7%A8-%D7%91%D7%AA%D7%95%D7%A8%D7%94-%D7%91%D7%9E%D7%93%D7%A8%D7%A9</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6029383</vt:i4>
      </vt:variant>
      <vt:variant>
        <vt:i4>12</vt:i4>
      </vt:variant>
      <vt:variant>
        <vt:i4>0</vt:i4>
      </vt:variant>
      <vt:variant>
        <vt:i4>5</vt:i4>
      </vt:variant>
      <vt:variant>
        <vt:lpwstr>https://www.mayim.org.il/?parasha=%D7%94%D7%A0%D7%92%D7%9C%D7%95%D7%AA-%D7%95%D7%94%D7%A0%D7%A1%D7%AA%D7%A8%D7%95%D7%AA1</vt:lpwstr>
      </vt:variant>
      <vt:variant>
        <vt:lpwstr/>
      </vt:variant>
      <vt:variant>
        <vt:i4>6553651</vt:i4>
      </vt:variant>
      <vt:variant>
        <vt:i4>9</vt:i4>
      </vt:variant>
      <vt:variant>
        <vt:i4>0</vt:i4>
      </vt:variant>
      <vt:variant>
        <vt:i4>5</vt:i4>
      </vt:variant>
      <vt:variant>
        <vt:lpwstr>https://www.mayim.org.il/?parasha=%D7%90%D7%99%D7%9F-%D7%9E%D7%A7%D7%A8%D7%90-%D7%99%D7%95%D7%A6%D7%90-%D7%9E%D7%99%D7%93%D7%99-%D7%A4%D7%A9%D7%95%D7%98%D7%951</vt:lpwstr>
      </vt:variant>
      <vt:variant>
        <vt:lpwstr/>
      </vt: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6750326</vt:i4>
      </vt:variant>
      <vt:variant>
        <vt:i4>3</vt:i4>
      </vt:variant>
      <vt:variant>
        <vt:i4>0</vt:i4>
      </vt:variant>
      <vt:variant>
        <vt:i4>5</vt:i4>
      </vt:variant>
      <vt:variant>
        <vt:lpwstr>https://www.mayim.org.il/?holiday=%d7%aa%d7%a4%d7%99%d7%9c%d7%aa-%d7%97%d7%a0%d7%94</vt:lpwstr>
      </vt:variant>
      <vt:variant>
        <vt:lpwstr/>
      </vt:variant>
      <vt:variant>
        <vt:i4>4063341</vt:i4>
      </vt:variant>
      <vt:variant>
        <vt:i4>0</vt:i4>
      </vt:variant>
      <vt:variant>
        <vt:i4>0</vt:i4>
      </vt:variant>
      <vt:variant>
        <vt:i4>5</vt:i4>
      </vt:variant>
      <vt:variant>
        <vt:lpwstr>https://www.mayim.org.il/?parasha=%d7%90%d7%99%d7%a9-%d7%9b%d7%99-%d7%99%d7%93%d7%95%d7%a8-%d7%a0%d7%93%d7%a8-%d7%9c%d7%94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Shimon Afek</cp:lastModifiedBy>
  <cp:revision>2</cp:revision>
  <cp:lastPrinted>2018-05-24T08:21:00Z</cp:lastPrinted>
  <dcterms:created xsi:type="dcterms:W3CDTF">2018-05-24T19:55:00Z</dcterms:created>
  <dcterms:modified xsi:type="dcterms:W3CDTF">2018-05-24T19:55:00Z</dcterms:modified>
</cp:coreProperties>
</file>