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A3795" w:rsidRDefault="006A3795" w:rsidP="00A725B1">
      <w:pPr>
        <w:pStyle w:val="aa"/>
        <w:spacing w:line="360" w:lineRule="auto"/>
        <w:rPr>
          <w:rFonts w:hint="cs"/>
          <w:rtl/>
        </w:rPr>
      </w:pPr>
      <w:r w:rsidRPr="00953800">
        <w:rPr>
          <w:rtl/>
        </w:rPr>
        <w:fldChar w:fldCharType="begin"/>
      </w:r>
      <w:r w:rsidRPr="00953800">
        <w:rPr>
          <w:rtl/>
        </w:rPr>
        <w:instrText xml:space="preserve"> </w:instrText>
      </w:r>
      <w:r w:rsidRPr="00953800">
        <w:instrText>TITLE  \* MERGEFORMAT</w:instrText>
      </w:r>
      <w:r w:rsidRPr="00953800">
        <w:rPr>
          <w:rtl/>
        </w:rPr>
        <w:instrText xml:space="preserve"> </w:instrText>
      </w:r>
      <w:r w:rsidRPr="00953800">
        <w:rPr>
          <w:rtl/>
        </w:rPr>
        <w:fldChar w:fldCharType="separate"/>
      </w:r>
      <w:r w:rsidR="00ED12A8">
        <w:rPr>
          <w:rtl/>
        </w:rPr>
        <w:t>כל ישראל ערבים זה בזה</w:t>
      </w:r>
      <w:r w:rsidRPr="00953800">
        <w:rPr>
          <w:rtl/>
        </w:rPr>
        <w:fldChar w:fldCharType="end"/>
      </w:r>
    </w:p>
    <w:p w:rsidR="00A725B1" w:rsidRPr="00A725B1" w:rsidRDefault="00A725B1" w:rsidP="00183602">
      <w:pPr>
        <w:pStyle w:val="ac"/>
        <w:spacing w:before="240"/>
        <w:rPr>
          <w:rFonts w:cs="Narkisim"/>
          <w:szCs w:val="22"/>
          <w:rtl/>
        </w:rPr>
      </w:pPr>
      <w:r w:rsidRPr="00A725B1">
        <w:rPr>
          <w:rFonts w:cs="Narkisim" w:hint="cs"/>
          <w:b/>
          <w:bCs/>
          <w:szCs w:val="22"/>
          <w:rtl/>
        </w:rPr>
        <w:t>מים ראשונים:</w:t>
      </w:r>
      <w:r w:rsidRPr="00A725B1">
        <w:rPr>
          <w:rFonts w:cs="Narkisim" w:hint="cs"/>
          <w:szCs w:val="22"/>
          <w:rtl/>
        </w:rPr>
        <w:t xml:space="preserve"> כבר נדרשנו בעקיפין לנושא הערבות בין אדם לחברו במספר מקומות: בדברינו </w:t>
      </w:r>
      <w:hyperlink r:id="rId6" w:history="1">
        <w:r w:rsidRPr="00A725B1">
          <w:rPr>
            <w:rStyle w:val="Hyperlink"/>
            <w:rFonts w:cs="Narkisim" w:hint="cs"/>
            <w:szCs w:val="22"/>
            <w:rtl/>
          </w:rPr>
          <w:t>היו דבריו של יהודה נראים לכל צד</w:t>
        </w:r>
      </w:hyperlink>
      <w:r w:rsidRPr="00A725B1">
        <w:rPr>
          <w:rFonts w:cs="Narkisim" w:hint="cs"/>
          <w:szCs w:val="22"/>
          <w:rtl/>
        </w:rPr>
        <w:t xml:space="preserve"> בפרשת ויגש, </w:t>
      </w:r>
      <w:hyperlink r:id="rId7" w:history="1">
        <w:r w:rsidRPr="00A725B1">
          <w:rPr>
            <w:rStyle w:val="Hyperlink"/>
            <w:rFonts w:cs="Narkisim" w:hint="cs"/>
            <w:szCs w:val="22"/>
            <w:rtl/>
          </w:rPr>
          <w:t>הוכח תוכיח את עמיתך</w:t>
        </w:r>
      </w:hyperlink>
      <w:r w:rsidRPr="00A725B1">
        <w:rPr>
          <w:rFonts w:cs="Narkisim" w:hint="cs"/>
          <w:szCs w:val="22"/>
          <w:rtl/>
        </w:rPr>
        <w:t xml:space="preserve"> בפרשת קדושים, </w:t>
      </w:r>
      <w:hyperlink r:id="rId8" w:history="1">
        <w:r w:rsidRPr="00A725B1">
          <w:rPr>
            <w:rStyle w:val="Hyperlink"/>
            <w:rFonts w:cs="Narkisim" w:hint="cs"/>
            <w:szCs w:val="22"/>
            <w:rtl/>
          </w:rPr>
          <w:t>או נצחת או נצחתי</w:t>
        </w:r>
      </w:hyperlink>
      <w:r w:rsidRPr="00A725B1">
        <w:rPr>
          <w:rFonts w:cs="Narkisim" w:hint="cs"/>
          <w:szCs w:val="22"/>
          <w:rtl/>
        </w:rPr>
        <w:t xml:space="preserve"> בפרשת יתרו ועוד שנראה בהמשך. הפעם נדון בנושא במישרין ואם נכפול ונחזור על מקצת הדברים, הרי </w:t>
      </w:r>
      <w:r w:rsidR="002B5B33">
        <w:rPr>
          <w:rFonts w:cs="Narkisim" w:hint="cs"/>
          <w:szCs w:val="22"/>
          <w:rtl/>
        </w:rPr>
        <w:t>"</w:t>
      </w:r>
      <w:r w:rsidRPr="00A725B1">
        <w:rPr>
          <w:rFonts w:cs="Narkisim" w:hint="cs"/>
          <w:szCs w:val="22"/>
          <w:rtl/>
        </w:rPr>
        <w:t>אי אפשר לבית המדרש בלא חידוש</w:t>
      </w:r>
      <w:r w:rsidR="002B5B33">
        <w:rPr>
          <w:rFonts w:cs="Narkisim" w:hint="cs"/>
          <w:szCs w:val="22"/>
          <w:rtl/>
        </w:rPr>
        <w:t>" (חגיגה ג ע"א</w:t>
      </w:r>
      <w:r w:rsidR="00183602">
        <w:rPr>
          <w:rFonts w:cs="Narkisim" w:hint="cs"/>
          <w:szCs w:val="22"/>
          <w:rtl/>
        </w:rPr>
        <w:t>)</w:t>
      </w:r>
      <w:r w:rsidR="002B5B33">
        <w:rPr>
          <w:rFonts w:cs="Narkisim" w:hint="cs"/>
          <w:szCs w:val="22"/>
          <w:rtl/>
        </w:rPr>
        <w:t xml:space="preserve"> ו"</w:t>
      </w:r>
      <w:r w:rsidR="002B5B33" w:rsidRPr="002B5B33">
        <w:rPr>
          <w:rFonts w:cs="Narkisim"/>
          <w:szCs w:val="22"/>
          <w:rtl/>
        </w:rPr>
        <w:t>דברי תורה עניים במקומן ועשירים במקום אחר</w:t>
      </w:r>
      <w:r w:rsidR="002B5B33">
        <w:rPr>
          <w:rFonts w:cs="Narkisim" w:hint="cs"/>
          <w:szCs w:val="22"/>
          <w:rtl/>
        </w:rPr>
        <w:t>" (</w:t>
      </w:r>
      <w:r w:rsidR="002B5B33" w:rsidRPr="002B5B33">
        <w:rPr>
          <w:rFonts w:cs="Narkisim"/>
          <w:szCs w:val="22"/>
          <w:rtl/>
        </w:rPr>
        <w:t xml:space="preserve">ירושלמי ראש השנה פרק ג </w:t>
      </w:r>
      <w:r w:rsidR="002B5B33">
        <w:rPr>
          <w:rFonts w:cs="Narkisim" w:hint="cs"/>
          <w:szCs w:val="22"/>
          <w:rtl/>
        </w:rPr>
        <w:t>הלכה ה).</w:t>
      </w:r>
    </w:p>
    <w:p w:rsidR="00ED12A8" w:rsidRDefault="00ED12A8" w:rsidP="00183602">
      <w:pPr>
        <w:spacing w:before="240" w:line="320" w:lineRule="atLeast"/>
        <w:jc w:val="both"/>
        <w:rPr>
          <w:rFonts w:ascii="David" w:hint="cs"/>
          <w:rtl/>
          <w:lang w:eastAsia="en-US"/>
        </w:rPr>
      </w:pPr>
      <w:r w:rsidRPr="00ED12A8">
        <w:rPr>
          <w:rFonts w:ascii="David" w:cs="David"/>
          <w:b/>
          <w:bCs/>
          <w:sz w:val="24"/>
          <w:szCs w:val="24"/>
          <w:rtl/>
          <w:lang w:eastAsia="en-US"/>
        </w:rPr>
        <w:t>וְכָשְׁלוּ אִישׁ בְּאָחִיו כְּמִפְּנֵי חֶרֶב וְרֹדֵף אָיִן וְלֹא תִהְיֶה לָכֶם תְּקוּמָה לִפְנֵי אֹיְבֵיכֶם</w:t>
      </w:r>
      <w:r w:rsidR="00183602">
        <w:rPr>
          <w:rFonts w:ascii="David" w:cs="David" w:hint="cs"/>
          <w:b/>
          <w:bCs/>
          <w:sz w:val="24"/>
          <w:szCs w:val="24"/>
          <w:rtl/>
          <w:lang w:eastAsia="en-US"/>
        </w:rPr>
        <w:t>:</w:t>
      </w:r>
      <w:r w:rsidRPr="00ED12A8">
        <w:rPr>
          <w:rFonts w:ascii="David" w:hint="cs"/>
          <w:rtl/>
          <w:lang w:eastAsia="en-US"/>
        </w:rPr>
        <w:t xml:space="preserve"> </w:t>
      </w:r>
      <w:r>
        <w:rPr>
          <w:rFonts w:ascii="David" w:hint="cs"/>
          <w:rtl/>
          <w:lang w:eastAsia="en-US"/>
        </w:rPr>
        <w:t>(</w:t>
      </w:r>
      <w:r w:rsidRPr="00ED12A8">
        <w:rPr>
          <w:rFonts w:ascii="David"/>
          <w:rtl/>
          <w:lang w:eastAsia="en-US"/>
        </w:rPr>
        <w:t xml:space="preserve">ויקרא כו </w:t>
      </w:r>
      <w:r>
        <w:rPr>
          <w:rFonts w:ascii="David" w:hint="cs"/>
          <w:rtl/>
          <w:lang w:eastAsia="en-US"/>
        </w:rPr>
        <w:t>לז).</w:t>
      </w:r>
      <w:r w:rsidR="000D263B">
        <w:rPr>
          <w:rStyle w:val="a5"/>
          <w:rFonts w:ascii="David"/>
          <w:rtl/>
          <w:lang w:eastAsia="en-US"/>
        </w:rPr>
        <w:footnoteReference w:id="1"/>
      </w:r>
    </w:p>
    <w:p w:rsidR="00ED12A8" w:rsidRPr="00ED12A8" w:rsidRDefault="00ED12A8" w:rsidP="00ED12A8">
      <w:pPr>
        <w:pStyle w:val="ab"/>
        <w:rPr>
          <w:rFonts w:hint="cs"/>
          <w:rtl/>
          <w:lang w:eastAsia="en-US"/>
        </w:rPr>
      </w:pPr>
      <w:r w:rsidRPr="00ED12A8">
        <w:rPr>
          <w:rtl/>
          <w:lang w:eastAsia="en-US"/>
        </w:rPr>
        <w:t xml:space="preserve">ספרא בחוקותי פרשה ב </w:t>
      </w:r>
      <w:r>
        <w:rPr>
          <w:rFonts w:hint="cs"/>
          <w:rtl/>
          <w:lang w:eastAsia="en-US"/>
        </w:rPr>
        <w:t>פרק ז</w:t>
      </w:r>
    </w:p>
    <w:p w:rsidR="0027749E" w:rsidRDefault="00BA79C2" w:rsidP="00ED12A8">
      <w:pPr>
        <w:pStyle w:val="a3"/>
        <w:rPr>
          <w:rFonts w:cs="David" w:hint="cs"/>
          <w:sz w:val="22"/>
          <w:szCs w:val="24"/>
          <w:rtl/>
          <w:lang w:eastAsia="en-US"/>
        </w:rPr>
      </w:pPr>
      <w:r>
        <w:rPr>
          <w:rFonts w:cs="David" w:hint="cs"/>
          <w:sz w:val="22"/>
          <w:szCs w:val="24"/>
          <w:rtl/>
          <w:lang w:eastAsia="en-US"/>
        </w:rPr>
        <w:t>"</w:t>
      </w:r>
      <w:r w:rsidR="00ED12A8" w:rsidRPr="00ED12A8">
        <w:rPr>
          <w:rFonts w:cs="David"/>
          <w:sz w:val="22"/>
          <w:szCs w:val="24"/>
          <w:rtl/>
          <w:lang w:eastAsia="en-US"/>
        </w:rPr>
        <w:t>וכשלו איש באחיו</w:t>
      </w:r>
      <w:r>
        <w:rPr>
          <w:rFonts w:cs="David" w:hint="cs"/>
          <w:sz w:val="22"/>
          <w:szCs w:val="24"/>
          <w:rtl/>
          <w:lang w:eastAsia="en-US"/>
        </w:rPr>
        <w:t>" -</w:t>
      </w:r>
      <w:r w:rsidR="00ED12A8" w:rsidRPr="00ED12A8">
        <w:rPr>
          <w:rFonts w:cs="David"/>
          <w:sz w:val="22"/>
          <w:szCs w:val="24"/>
          <w:rtl/>
          <w:lang w:eastAsia="en-US"/>
        </w:rPr>
        <w:t xml:space="preserve"> אינו אומר איש באחיו אלא איש בעון אחיו, מלמד שכל ישראל ערבים זה בזה.</w:t>
      </w:r>
      <w:r w:rsidR="00DC2D6D">
        <w:rPr>
          <w:rStyle w:val="a5"/>
          <w:rFonts w:cs="David"/>
          <w:sz w:val="22"/>
          <w:szCs w:val="24"/>
          <w:rtl/>
          <w:lang w:eastAsia="en-US"/>
        </w:rPr>
        <w:footnoteReference w:id="2"/>
      </w:r>
    </w:p>
    <w:p w:rsidR="00AE2FEE" w:rsidRDefault="00AE2FEE" w:rsidP="00AE2FEE">
      <w:pPr>
        <w:pStyle w:val="ab"/>
        <w:rPr>
          <w:rtl/>
          <w:lang w:eastAsia="en-US"/>
        </w:rPr>
      </w:pPr>
      <w:r>
        <w:rPr>
          <w:rtl/>
          <w:lang w:eastAsia="en-US"/>
        </w:rPr>
        <w:t xml:space="preserve">מסכת שבועות דף לט עמוד א </w:t>
      </w:r>
    </w:p>
    <w:p w:rsidR="00AE2FEE" w:rsidRDefault="00F0052B" w:rsidP="00F0052B">
      <w:pPr>
        <w:pStyle w:val="ac"/>
        <w:rPr>
          <w:rFonts w:hint="cs"/>
          <w:rtl/>
          <w:lang w:eastAsia="en-US"/>
        </w:rPr>
      </w:pPr>
      <w:r>
        <w:rPr>
          <w:rtl/>
          <w:lang w:eastAsia="en-US"/>
        </w:rPr>
        <w:t>כל עבירות שבתורה נפרעין ממנו, וכאן ממנו וממשפחתו</w:t>
      </w:r>
      <w:r>
        <w:rPr>
          <w:rFonts w:hint="cs"/>
          <w:rtl/>
          <w:lang w:eastAsia="en-US"/>
        </w:rPr>
        <w:t xml:space="preserve"> ...</w:t>
      </w:r>
      <w:r>
        <w:rPr>
          <w:rtl/>
          <w:lang w:eastAsia="en-US"/>
        </w:rPr>
        <w:t xml:space="preserve"> וכל עבירות שבתורה נפרעין ממנו, וכאן ממנו ומכל העולם כולו</w:t>
      </w:r>
      <w:r>
        <w:rPr>
          <w:rFonts w:hint="cs"/>
          <w:rtl/>
          <w:lang w:eastAsia="en-US"/>
        </w:rPr>
        <w:t>.</w:t>
      </w:r>
      <w:r>
        <w:rPr>
          <w:rStyle w:val="a5"/>
          <w:rtl/>
          <w:lang w:eastAsia="en-US"/>
        </w:rPr>
        <w:footnoteReference w:id="3"/>
      </w:r>
      <w:r>
        <w:rPr>
          <w:rFonts w:hint="cs"/>
          <w:rtl/>
          <w:lang w:eastAsia="en-US"/>
        </w:rPr>
        <w:t xml:space="preserve"> </w:t>
      </w:r>
      <w:r w:rsidR="00AE2FEE">
        <w:rPr>
          <w:rtl/>
          <w:lang w:eastAsia="en-US"/>
        </w:rPr>
        <w:t xml:space="preserve">וכל עבירות שבתורה מכל העולם לא? והכתיב: </w:t>
      </w:r>
      <w:r w:rsidR="00183602">
        <w:rPr>
          <w:rFonts w:hint="cs"/>
          <w:rtl/>
          <w:lang w:eastAsia="en-US"/>
        </w:rPr>
        <w:t>"</w:t>
      </w:r>
      <w:r w:rsidR="00AE2FEE">
        <w:rPr>
          <w:rtl/>
          <w:lang w:eastAsia="en-US"/>
        </w:rPr>
        <w:t>וכשלו איש באחיו</w:t>
      </w:r>
      <w:r w:rsidR="00183602">
        <w:rPr>
          <w:rFonts w:hint="cs"/>
          <w:rtl/>
          <w:lang w:eastAsia="en-US"/>
        </w:rPr>
        <w:t>"</w:t>
      </w:r>
      <w:r w:rsidR="00AE2FEE">
        <w:rPr>
          <w:rtl/>
          <w:lang w:eastAsia="en-US"/>
        </w:rPr>
        <w:t xml:space="preserve"> - איש בעון אחיו, מלמד שכל ישראל ערבים זה בזה!</w:t>
      </w:r>
      <w:r w:rsidR="00D412D9">
        <w:rPr>
          <w:rStyle w:val="a5"/>
          <w:rtl/>
          <w:lang w:eastAsia="en-US"/>
        </w:rPr>
        <w:footnoteReference w:id="4"/>
      </w:r>
      <w:r w:rsidR="00AE2FEE">
        <w:rPr>
          <w:rFonts w:hint="cs"/>
          <w:rtl/>
          <w:lang w:eastAsia="en-US"/>
        </w:rPr>
        <w:t xml:space="preserve"> </w:t>
      </w:r>
      <w:r w:rsidR="00AE2FEE">
        <w:rPr>
          <w:rtl/>
          <w:lang w:eastAsia="en-US"/>
        </w:rPr>
        <w:t>התם שיש בידם למחות ולא מיחו.</w:t>
      </w:r>
      <w:r w:rsidR="003C4528">
        <w:rPr>
          <w:rStyle w:val="a5"/>
          <w:rtl/>
          <w:lang w:eastAsia="en-US"/>
        </w:rPr>
        <w:footnoteReference w:id="5"/>
      </w:r>
    </w:p>
    <w:p w:rsidR="00F15972" w:rsidRPr="001B12C1" w:rsidRDefault="00F15972" w:rsidP="009F1689">
      <w:pPr>
        <w:pStyle w:val="ab"/>
        <w:rPr>
          <w:rFonts w:hint="cs"/>
          <w:rtl/>
          <w:lang w:eastAsia="en-US"/>
        </w:rPr>
      </w:pPr>
      <w:r w:rsidRPr="001B12C1">
        <w:rPr>
          <w:rtl/>
          <w:lang w:eastAsia="en-US"/>
        </w:rPr>
        <w:t>במדבר רבה פרשת נשא</w:t>
      </w:r>
      <w:r w:rsidR="009F1689">
        <w:rPr>
          <w:rFonts w:hint="cs"/>
          <w:rtl/>
          <w:lang w:eastAsia="en-US"/>
        </w:rPr>
        <w:t>,</w:t>
      </w:r>
      <w:r w:rsidRPr="001B12C1">
        <w:rPr>
          <w:rtl/>
          <w:lang w:eastAsia="en-US"/>
        </w:rPr>
        <w:t xml:space="preserve"> פרשה י </w:t>
      </w:r>
      <w:r w:rsidR="009F1689">
        <w:rPr>
          <w:rFonts w:hint="cs"/>
          <w:rtl/>
          <w:lang w:eastAsia="en-US"/>
        </w:rPr>
        <w:t>סימן ה</w:t>
      </w:r>
    </w:p>
    <w:p w:rsidR="00F15972" w:rsidRDefault="00F15972" w:rsidP="00165A83">
      <w:pPr>
        <w:pStyle w:val="ac"/>
        <w:rPr>
          <w:rFonts w:hint="cs"/>
          <w:rtl/>
          <w:lang w:eastAsia="en-US"/>
        </w:rPr>
      </w:pPr>
      <w:r>
        <w:rPr>
          <w:rFonts w:hint="cs"/>
          <w:rtl/>
          <w:lang w:eastAsia="en-US"/>
        </w:rPr>
        <w:t>"</w:t>
      </w:r>
      <w:r w:rsidRPr="001B12C1">
        <w:rPr>
          <w:rtl/>
          <w:lang w:eastAsia="en-US"/>
        </w:rPr>
        <w:t xml:space="preserve">דבר אל </w:t>
      </w:r>
      <w:smartTag w:uri="urn:schemas-microsoft-com:office:smarttags" w:element="PersonName">
        <w:smartTagPr>
          <w:attr w:name="ProductID" w:val="בני ישראל"/>
        </w:smartTagPr>
        <w:r w:rsidRPr="001B12C1">
          <w:rPr>
            <w:rtl/>
            <w:lang w:eastAsia="en-US"/>
          </w:rPr>
          <w:t>בני ישראל</w:t>
        </w:r>
      </w:smartTag>
      <w:r>
        <w:rPr>
          <w:rFonts w:hint="cs"/>
          <w:rtl/>
          <w:lang w:eastAsia="en-US"/>
        </w:rPr>
        <w:t xml:space="preserve">" - </w:t>
      </w:r>
      <w:r w:rsidRPr="001B12C1">
        <w:rPr>
          <w:rtl/>
          <w:lang w:eastAsia="en-US"/>
        </w:rPr>
        <w:t xml:space="preserve">אלו הנודרים בנזיר, </w:t>
      </w:r>
      <w:r>
        <w:rPr>
          <w:rFonts w:hint="cs"/>
          <w:rtl/>
          <w:lang w:eastAsia="en-US"/>
        </w:rPr>
        <w:t>"</w:t>
      </w:r>
      <w:r w:rsidRPr="001B12C1">
        <w:rPr>
          <w:rtl/>
          <w:lang w:eastAsia="en-US"/>
        </w:rPr>
        <w:t>ואמרת אליהם</w:t>
      </w:r>
      <w:r>
        <w:rPr>
          <w:rFonts w:hint="cs"/>
          <w:rtl/>
          <w:lang w:eastAsia="en-US"/>
        </w:rPr>
        <w:t>"</w:t>
      </w:r>
      <w:r w:rsidRPr="001B12C1">
        <w:rPr>
          <w:rtl/>
          <w:lang w:eastAsia="en-US"/>
        </w:rPr>
        <w:t xml:space="preserve"> </w:t>
      </w:r>
      <w:r>
        <w:rPr>
          <w:rFonts w:hint="cs"/>
          <w:rtl/>
          <w:lang w:eastAsia="en-US"/>
        </w:rPr>
        <w:t xml:space="preserve">- </w:t>
      </w:r>
      <w:r w:rsidRPr="001B12C1">
        <w:rPr>
          <w:rtl/>
          <w:lang w:eastAsia="en-US"/>
        </w:rPr>
        <w:t>להזהיר ב</w:t>
      </w:r>
      <w:r>
        <w:rPr>
          <w:rFonts w:hint="cs"/>
          <w:rtl/>
          <w:lang w:eastAsia="en-US"/>
        </w:rPr>
        <w:t xml:space="preserve">ית דין </w:t>
      </w:r>
      <w:r w:rsidRPr="001B12C1">
        <w:rPr>
          <w:rtl/>
          <w:lang w:eastAsia="en-US"/>
        </w:rPr>
        <w:t>על כך</w:t>
      </w:r>
      <w:r w:rsidR="00165A83">
        <w:rPr>
          <w:rFonts w:hint="cs"/>
          <w:rtl/>
          <w:lang w:eastAsia="en-US"/>
        </w:rPr>
        <w:t>,</w:t>
      </w:r>
      <w:r w:rsidRPr="001B12C1">
        <w:rPr>
          <w:rtl/>
          <w:lang w:eastAsia="en-US"/>
        </w:rPr>
        <w:t xml:space="preserve"> שלא יניחו לנזיר לעבור על נזירותו</w:t>
      </w:r>
      <w:r>
        <w:rPr>
          <w:rFonts w:hint="cs"/>
          <w:rtl/>
          <w:lang w:eastAsia="en-US"/>
        </w:rPr>
        <w:t>.</w:t>
      </w:r>
      <w:r w:rsidRPr="001B12C1">
        <w:rPr>
          <w:rtl/>
          <w:lang w:eastAsia="en-US"/>
        </w:rPr>
        <w:t xml:space="preserve"> שאם יראו שירצה לבטל נזירותו</w:t>
      </w:r>
      <w:r>
        <w:rPr>
          <w:rFonts w:hint="cs"/>
          <w:rtl/>
          <w:lang w:eastAsia="en-US"/>
        </w:rPr>
        <w:t>,</w:t>
      </w:r>
      <w:r w:rsidRPr="001B12C1">
        <w:rPr>
          <w:rtl/>
          <w:lang w:eastAsia="en-US"/>
        </w:rPr>
        <w:t xml:space="preserve"> יכופו אותו כדי לקיים דבריו</w:t>
      </w:r>
      <w:r>
        <w:rPr>
          <w:rFonts w:hint="cs"/>
          <w:rtl/>
          <w:lang w:eastAsia="en-US"/>
        </w:rPr>
        <w:t>.</w:t>
      </w:r>
      <w:r w:rsidRPr="001B12C1">
        <w:rPr>
          <w:rtl/>
          <w:lang w:eastAsia="en-US"/>
        </w:rPr>
        <w:t xml:space="preserve"> ללמדך</w:t>
      </w:r>
      <w:r w:rsidR="00165A83">
        <w:rPr>
          <w:rFonts w:hint="cs"/>
          <w:rtl/>
          <w:lang w:eastAsia="en-US"/>
        </w:rPr>
        <w:t>,</w:t>
      </w:r>
      <w:r w:rsidRPr="001B12C1">
        <w:rPr>
          <w:rtl/>
          <w:lang w:eastAsia="en-US"/>
        </w:rPr>
        <w:t xml:space="preserve"> שהגדולים מוזהרי</w:t>
      </w:r>
      <w:r w:rsidR="00165A83">
        <w:rPr>
          <w:rFonts w:hint="cs"/>
          <w:rtl/>
          <w:lang w:eastAsia="en-US"/>
        </w:rPr>
        <w:t>ם</w:t>
      </w:r>
      <w:r w:rsidRPr="001B12C1">
        <w:rPr>
          <w:rtl/>
          <w:lang w:eastAsia="en-US"/>
        </w:rPr>
        <w:t xml:space="preserve"> ע"י הקטנים והם נענשים על ידיהם אם לא יוכיחו אותם</w:t>
      </w:r>
      <w:r w:rsidR="00DC2D6D">
        <w:rPr>
          <w:rFonts w:hint="cs"/>
          <w:rtl/>
          <w:lang w:eastAsia="en-US"/>
        </w:rPr>
        <w:t>. וכן הוא אומר: "</w:t>
      </w:r>
      <w:r w:rsidRPr="001B12C1">
        <w:rPr>
          <w:rtl/>
          <w:lang w:eastAsia="en-US"/>
        </w:rPr>
        <w:t>וכשלו איש באחיו</w:t>
      </w:r>
      <w:r w:rsidR="00DC2D6D">
        <w:rPr>
          <w:rFonts w:hint="cs"/>
          <w:rtl/>
          <w:lang w:eastAsia="en-US"/>
        </w:rPr>
        <w:t>" -</w:t>
      </w:r>
      <w:r w:rsidRPr="001B12C1">
        <w:rPr>
          <w:rtl/>
          <w:lang w:eastAsia="en-US"/>
        </w:rPr>
        <w:t xml:space="preserve"> איש בע</w:t>
      </w:r>
      <w:r w:rsidR="00165A83">
        <w:rPr>
          <w:rFonts w:hint="cs"/>
          <w:rtl/>
          <w:lang w:eastAsia="en-US"/>
        </w:rPr>
        <w:t>ו</w:t>
      </w:r>
      <w:r w:rsidRPr="001B12C1">
        <w:rPr>
          <w:rtl/>
          <w:lang w:eastAsia="en-US"/>
        </w:rPr>
        <w:t>ון אחיו</w:t>
      </w:r>
      <w:r w:rsidR="00DC2D6D">
        <w:rPr>
          <w:rFonts w:hint="cs"/>
          <w:rtl/>
          <w:lang w:eastAsia="en-US"/>
        </w:rPr>
        <w:t>,</w:t>
      </w:r>
      <w:r w:rsidRPr="001B12C1">
        <w:rPr>
          <w:rtl/>
          <w:lang w:eastAsia="en-US"/>
        </w:rPr>
        <w:t xml:space="preserve"> מלמד שכל ישראל ערבים זה בזה</w:t>
      </w:r>
      <w:r w:rsidR="00DC2D6D">
        <w:rPr>
          <w:rFonts w:hint="cs"/>
          <w:rtl/>
          <w:lang w:eastAsia="en-US"/>
        </w:rPr>
        <w:t>.</w:t>
      </w:r>
      <w:r w:rsidR="005760C7">
        <w:rPr>
          <w:rStyle w:val="a5"/>
          <w:rtl/>
          <w:lang w:eastAsia="en-US"/>
        </w:rPr>
        <w:footnoteReference w:id="6"/>
      </w:r>
    </w:p>
    <w:p w:rsidR="00F15972" w:rsidRDefault="00F15972" w:rsidP="005760C7">
      <w:pPr>
        <w:pStyle w:val="ab"/>
        <w:rPr>
          <w:rtl/>
          <w:lang w:eastAsia="en-US"/>
        </w:rPr>
      </w:pPr>
      <w:r>
        <w:rPr>
          <w:rtl/>
          <w:lang w:eastAsia="en-US"/>
        </w:rPr>
        <w:lastRenderedPageBreak/>
        <w:t xml:space="preserve">בית הבחירה למאירי מסכת סנהדרין דף מד עמוד א </w:t>
      </w:r>
    </w:p>
    <w:p w:rsidR="00F15972" w:rsidRDefault="00F15972" w:rsidP="00E57C62">
      <w:pPr>
        <w:pStyle w:val="ac"/>
        <w:rPr>
          <w:rFonts w:hint="cs"/>
          <w:rtl/>
          <w:lang w:eastAsia="en-US"/>
        </w:rPr>
      </w:pPr>
      <w:r>
        <w:rPr>
          <w:rtl/>
          <w:lang w:eastAsia="en-US"/>
        </w:rPr>
        <w:t>דייני ישראל וחכמיהם ומנהיגיהם</w:t>
      </w:r>
      <w:r w:rsidR="00641E07">
        <w:rPr>
          <w:rFonts w:hint="cs"/>
          <w:rtl/>
          <w:lang w:eastAsia="en-US"/>
        </w:rPr>
        <w:t>,</w:t>
      </w:r>
      <w:r>
        <w:rPr>
          <w:rtl/>
          <w:lang w:eastAsia="en-US"/>
        </w:rPr>
        <w:t xml:space="preserve"> צריכים הם לפשפש תמיד ולחזר ולחקור על מעשה בני עירם</w:t>
      </w:r>
      <w:r w:rsidR="00641E07">
        <w:rPr>
          <w:rFonts w:hint="cs"/>
          <w:rtl/>
          <w:lang w:eastAsia="en-US"/>
        </w:rPr>
        <w:t>.</w:t>
      </w:r>
      <w:r>
        <w:rPr>
          <w:rtl/>
          <w:lang w:eastAsia="en-US"/>
        </w:rPr>
        <w:t xml:space="preserve"> ואין להם התנצלות כשיעשו הראוי על הנגלה הבא לידם</w:t>
      </w:r>
      <w:r w:rsidR="00641E07">
        <w:rPr>
          <w:rFonts w:hint="cs"/>
          <w:rtl/>
          <w:lang w:eastAsia="en-US"/>
        </w:rPr>
        <w:t>,</w:t>
      </w:r>
      <w:r w:rsidR="004E2841">
        <w:rPr>
          <w:rStyle w:val="a5"/>
          <w:rtl/>
          <w:lang w:eastAsia="en-US"/>
        </w:rPr>
        <w:footnoteReference w:id="7"/>
      </w:r>
      <w:r>
        <w:rPr>
          <w:rtl/>
          <w:lang w:eastAsia="en-US"/>
        </w:rPr>
        <w:t xml:space="preserve"> אלא צריכים לחקור ולרגל אחר הנסתרות כפי יכ</w:t>
      </w:r>
      <w:r w:rsidR="00DC2D6D">
        <w:rPr>
          <w:rFonts w:hint="cs"/>
          <w:rtl/>
          <w:lang w:eastAsia="en-US"/>
        </w:rPr>
        <w:t>ו</w:t>
      </w:r>
      <w:r>
        <w:rPr>
          <w:rtl/>
          <w:lang w:eastAsia="en-US"/>
        </w:rPr>
        <w:t>לתם</w:t>
      </w:r>
      <w:r w:rsidR="00641E07">
        <w:rPr>
          <w:rFonts w:hint="cs"/>
          <w:rtl/>
          <w:lang w:eastAsia="en-US"/>
        </w:rPr>
        <w:t>.</w:t>
      </w:r>
      <w:r>
        <w:rPr>
          <w:rtl/>
          <w:lang w:eastAsia="en-US"/>
        </w:rPr>
        <w:t xml:space="preserve"> וכל שמתרשלים בכך</w:t>
      </w:r>
      <w:r w:rsidR="00641E07">
        <w:rPr>
          <w:rFonts w:hint="cs"/>
          <w:rtl/>
          <w:lang w:eastAsia="en-US"/>
        </w:rPr>
        <w:t>,</w:t>
      </w:r>
      <w:r>
        <w:rPr>
          <w:rtl/>
          <w:lang w:eastAsia="en-US"/>
        </w:rPr>
        <w:t xml:space="preserve"> הרי הכל נענשים בנסתריהם של חוטאים</w:t>
      </w:r>
      <w:r w:rsidR="00641E07">
        <w:rPr>
          <w:rFonts w:hint="cs"/>
          <w:rtl/>
          <w:lang w:eastAsia="en-US"/>
        </w:rPr>
        <w:t>,</w:t>
      </w:r>
      <w:r>
        <w:rPr>
          <w:rtl/>
          <w:lang w:eastAsia="en-US"/>
        </w:rPr>
        <w:t xml:space="preserve"> שכל ישראל נעשו ערבים זה לזה משקבלו עליהם ברכות וקללות בגריזים ועיבל כמו שהתבאר בסוטה</w:t>
      </w:r>
      <w:r w:rsidR="00DC2D6D">
        <w:rPr>
          <w:rFonts w:hint="cs"/>
          <w:rtl/>
          <w:lang w:eastAsia="en-US"/>
        </w:rPr>
        <w:t>.</w:t>
      </w:r>
      <w:r w:rsidR="004E2841">
        <w:rPr>
          <w:rStyle w:val="a5"/>
          <w:rtl/>
          <w:lang w:eastAsia="en-US"/>
        </w:rPr>
        <w:footnoteReference w:id="8"/>
      </w:r>
      <w:r w:rsidR="00DC2D6D">
        <w:rPr>
          <w:rFonts w:hint="cs"/>
          <w:rtl/>
          <w:lang w:eastAsia="en-US"/>
        </w:rPr>
        <w:t xml:space="preserve"> </w:t>
      </w:r>
    </w:p>
    <w:p w:rsidR="00E95E91" w:rsidRDefault="00E95E91" w:rsidP="00E95E91">
      <w:pPr>
        <w:pStyle w:val="ab"/>
        <w:rPr>
          <w:rtl/>
          <w:lang w:eastAsia="en-US"/>
        </w:rPr>
      </w:pPr>
      <w:r>
        <w:rPr>
          <w:rtl/>
          <w:lang w:eastAsia="en-US"/>
        </w:rPr>
        <w:t xml:space="preserve">רש"י מסכת ראש השנה דף כט עמוד א </w:t>
      </w:r>
    </w:p>
    <w:p w:rsidR="00E95E91" w:rsidRDefault="00E95E91" w:rsidP="00E95E91">
      <w:pPr>
        <w:pStyle w:val="ac"/>
        <w:rPr>
          <w:rFonts w:hint="cs"/>
          <w:rtl/>
          <w:lang w:eastAsia="en-US"/>
        </w:rPr>
      </w:pPr>
      <w:r>
        <w:rPr>
          <w:rtl/>
          <w:lang w:eastAsia="en-US"/>
        </w:rPr>
        <w:t>אף על פי שיצא מוציא - שהרי כל ישראל ערבין זה בזה למצות.</w:t>
      </w:r>
      <w:r w:rsidR="003B23BD">
        <w:rPr>
          <w:rStyle w:val="a5"/>
          <w:rtl/>
          <w:lang w:eastAsia="en-US"/>
        </w:rPr>
        <w:footnoteReference w:id="9"/>
      </w:r>
    </w:p>
    <w:p w:rsidR="004E2841" w:rsidRDefault="0077608A" w:rsidP="0077608A">
      <w:pPr>
        <w:pStyle w:val="ab"/>
        <w:rPr>
          <w:rtl/>
          <w:lang w:eastAsia="en-US"/>
        </w:rPr>
      </w:pPr>
      <w:r>
        <w:rPr>
          <w:rFonts w:hint="cs"/>
          <w:rtl/>
          <w:lang w:eastAsia="en-US"/>
        </w:rPr>
        <w:t xml:space="preserve">רבי בחיי בן אשר </w:t>
      </w:r>
      <w:r w:rsidR="004E2841">
        <w:rPr>
          <w:rtl/>
          <w:lang w:eastAsia="en-US"/>
        </w:rPr>
        <w:t>ויקרא פרק כו</w:t>
      </w:r>
      <w:r w:rsidR="004E2841">
        <w:rPr>
          <w:rFonts w:hint="cs"/>
          <w:rtl/>
          <w:lang w:eastAsia="en-US"/>
        </w:rPr>
        <w:t xml:space="preserve"> פסוק לז</w:t>
      </w:r>
      <w:r w:rsidR="00C34E2C">
        <w:rPr>
          <w:rStyle w:val="a5"/>
          <w:rtl/>
          <w:lang w:eastAsia="en-US"/>
        </w:rPr>
        <w:footnoteReference w:id="10"/>
      </w:r>
      <w:r w:rsidR="004E2841">
        <w:rPr>
          <w:rtl/>
          <w:lang w:eastAsia="en-US"/>
        </w:rPr>
        <w:t xml:space="preserve"> </w:t>
      </w:r>
    </w:p>
    <w:p w:rsidR="00F15972" w:rsidRDefault="004E2841" w:rsidP="004E2841">
      <w:pPr>
        <w:pStyle w:val="ac"/>
        <w:rPr>
          <w:rFonts w:hint="cs"/>
          <w:rtl/>
          <w:lang w:eastAsia="en-US"/>
        </w:rPr>
      </w:pPr>
      <w:r>
        <w:rPr>
          <w:rFonts w:hint="cs"/>
          <w:rtl/>
          <w:lang w:eastAsia="en-US"/>
        </w:rPr>
        <w:t>"</w:t>
      </w:r>
      <w:r>
        <w:rPr>
          <w:rtl/>
          <w:lang w:eastAsia="en-US"/>
        </w:rPr>
        <w:t>וכשלו איש באחיו</w:t>
      </w:r>
      <w:r>
        <w:rPr>
          <w:rFonts w:hint="cs"/>
          <w:rtl/>
          <w:lang w:eastAsia="en-US"/>
        </w:rPr>
        <w:t>"</w:t>
      </w:r>
      <w:r>
        <w:rPr>
          <w:rtl/>
          <w:lang w:eastAsia="en-US"/>
        </w:rPr>
        <w:t>. דרשו רז"ל: (סנהדרין כז ב) בעון אחיו, מלמד שכל ישראל ערבים זה לזה. וכן אמר משה: (דברים כט, ט) "כל איש ישראל", כל ישראל נתפסים בעון איש אחד. וכן אתה מוצא בעכן שהוא החוטא וכל ישראל נתפשים בחטאו, שנאמר: (יהושע ז, יא) "חטא ישראל, וגם גנבו וגם כחשו וגם שמו בכליהם", חטא היחיד תלאו על כל ישראל.</w:t>
      </w:r>
      <w:r w:rsidR="00C34E2C">
        <w:rPr>
          <w:rStyle w:val="a5"/>
          <w:rtl/>
          <w:lang w:eastAsia="en-US"/>
        </w:rPr>
        <w:footnoteReference w:id="11"/>
      </w:r>
      <w:r>
        <w:rPr>
          <w:rtl/>
          <w:lang w:eastAsia="en-US"/>
        </w:rPr>
        <w:t xml:space="preserve"> ומזה אמרו בשיר השירים רבה: (שיר השירים רבה ו, יז) (שיר השירים ו, יא) "אל גנת אגוז ירדתי", למה נמשלו ישראל לאגוז, מה אגוז אתה נוטל אחד מן הכרי כולם מדרדרין ומתגלגלין זה אחר זה, כך ישראל לקה אחד מהם כולם מרגישין, שנאמר: (במדבר טז, כב) "האיש אחד יחטא ועל כל העדה תקצוף".</w:t>
      </w:r>
      <w:r w:rsidR="004F7DA1">
        <w:rPr>
          <w:rStyle w:val="a5"/>
          <w:rtl/>
          <w:lang w:eastAsia="en-US"/>
        </w:rPr>
        <w:footnoteReference w:id="12"/>
      </w:r>
    </w:p>
    <w:p w:rsidR="00170354" w:rsidRDefault="00170354" w:rsidP="00170354">
      <w:pPr>
        <w:pStyle w:val="ab"/>
        <w:rPr>
          <w:rtl/>
          <w:lang w:eastAsia="en-US"/>
        </w:rPr>
      </w:pPr>
      <w:r>
        <w:rPr>
          <w:rFonts w:hint="eastAsia"/>
          <w:rtl/>
          <w:lang w:eastAsia="en-US"/>
        </w:rPr>
        <w:lastRenderedPageBreak/>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Pr>
          <w:rtl/>
          <w:lang w:eastAsia="en-US"/>
        </w:rPr>
        <w:t xml:space="preserve"> </w:t>
      </w:r>
      <w:r>
        <w:rPr>
          <w:rFonts w:hint="cs"/>
          <w:rtl/>
          <w:lang w:eastAsia="en-US"/>
        </w:rPr>
        <w:t>סימן ו</w:t>
      </w:r>
      <w:r>
        <w:rPr>
          <w:rtl/>
          <w:lang w:eastAsia="en-US"/>
        </w:rPr>
        <w:t xml:space="preserve"> </w:t>
      </w:r>
    </w:p>
    <w:p w:rsidR="00170354" w:rsidRDefault="00170354" w:rsidP="00170354">
      <w:pPr>
        <w:pStyle w:val="ac"/>
        <w:rPr>
          <w:rFonts w:hint="cs"/>
          <w:rtl/>
          <w:lang w:eastAsia="en-US"/>
        </w:rPr>
      </w:pPr>
      <w:r>
        <w:rPr>
          <w:rFonts w:hint="eastAsia"/>
          <w:rtl/>
          <w:lang w:eastAsia="en-US"/>
        </w:rPr>
        <w:t>תני</w:t>
      </w:r>
      <w:r>
        <w:rPr>
          <w:rtl/>
          <w:lang w:eastAsia="en-US"/>
        </w:rPr>
        <w:t xml:space="preserve"> </w:t>
      </w:r>
      <w:r>
        <w:rPr>
          <w:rFonts w:hint="eastAsia"/>
          <w:rtl/>
          <w:lang w:eastAsia="en-US"/>
        </w:rPr>
        <w:t>חזקיה</w:t>
      </w:r>
      <w:r>
        <w:rPr>
          <w:rFonts w:hint="cs"/>
          <w:rtl/>
          <w:lang w:eastAsia="en-US"/>
        </w:rPr>
        <w:t>: "ש</w:t>
      </w:r>
      <w:r>
        <w:rPr>
          <w:rFonts w:hint="eastAsia"/>
          <w:rtl/>
          <w:lang w:eastAsia="en-US"/>
        </w:rPr>
        <w:t>ה</w:t>
      </w:r>
      <w:r>
        <w:rPr>
          <w:rtl/>
          <w:lang w:eastAsia="en-US"/>
        </w:rPr>
        <w:t xml:space="preserve"> </w:t>
      </w:r>
      <w:r>
        <w:rPr>
          <w:rFonts w:hint="eastAsia"/>
          <w:rtl/>
          <w:lang w:eastAsia="en-US"/>
        </w:rPr>
        <w:t>פזורה</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נ</w:t>
      </w:r>
      <w:r>
        <w:rPr>
          <w:rFonts w:hint="cs"/>
          <w:rtl/>
          <w:lang w:eastAsia="en-US"/>
        </w:rPr>
        <w:t xml:space="preserve"> יז</w:t>
      </w:r>
      <w:r>
        <w:rPr>
          <w:rtl/>
          <w:lang w:eastAsia="en-US"/>
        </w:rPr>
        <w:t>)</w:t>
      </w:r>
      <w:r>
        <w:rPr>
          <w:rFonts w:hint="cs"/>
          <w:rtl/>
          <w:lang w:eastAsia="en-US"/>
        </w:rPr>
        <w:t>.</w:t>
      </w:r>
      <w:r>
        <w:rPr>
          <w:rStyle w:val="a5"/>
          <w:rtl/>
          <w:lang w:eastAsia="en-US"/>
        </w:rPr>
        <w:footnoteReference w:id="13"/>
      </w:r>
      <w:r>
        <w:rPr>
          <w:rtl/>
          <w:lang w:eastAsia="en-US"/>
        </w:rPr>
        <w:t xml:space="preserve"> </w:t>
      </w:r>
      <w:r>
        <w:rPr>
          <w:rFonts w:hint="eastAsia"/>
          <w:rtl/>
          <w:lang w:eastAsia="en-US"/>
        </w:rPr>
        <w:t>נמשלו</w:t>
      </w:r>
      <w:r>
        <w:rPr>
          <w:rtl/>
          <w:lang w:eastAsia="en-US"/>
        </w:rPr>
        <w:t xml:space="preserve"> </w:t>
      </w:r>
      <w:r>
        <w:rPr>
          <w:rFonts w:hint="eastAsia"/>
          <w:rtl/>
          <w:lang w:eastAsia="en-US"/>
        </w:rPr>
        <w:t>ישראל</w:t>
      </w:r>
      <w:r>
        <w:rPr>
          <w:rtl/>
          <w:lang w:eastAsia="en-US"/>
        </w:rPr>
        <w:t xml:space="preserve"> </w:t>
      </w:r>
      <w:r>
        <w:rPr>
          <w:rFonts w:hint="eastAsia"/>
          <w:rtl/>
          <w:lang w:eastAsia="en-US"/>
        </w:rPr>
        <w:t>לשה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שה</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[אם] </w:t>
      </w:r>
      <w:r>
        <w:rPr>
          <w:rFonts w:hint="eastAsia"/>
          <w:rtl/>
          <w:lang w:eastAsia="en-US"/>
        </w:rPr>
        <w:t>לוקה</w:t>
      </w:r>
      <w:r>
        <w:rPr>
          <w:rtl/>
          <w:lang w:eastAsia="en-US"/>
        </w:rPr>
        <w:t xml:space="preserve"> </w:t>
      </w:r>
      <w:r>
        <w:rPr>
          <w:rFonts w:hint="eastAsia"/>
          <w:rtl/>
          <w:lang w:eastAsia="en-US"/>
        </w:rPr>
        <w:t>על</w:t>
      </w:r>
      <w:r>
        <w:rPr>
          <w:rtl/>
          <w:lang w:eastAsia="en-US"/>
        </w:rPr>
        <w:t xml:space="preserve"> </w:t>
      </w:r>
      <w:r>
        <w:rPr>
          <w:rFonts w:hint="eastAsia"/>
          <w:rtl/>
          <w:lang w:eastAsia="en-US"/>
        </w:rPr>
        <w:t>ראשו</w:t>
      </w:r>
      <w:r>
        <w:rPr>
          <w:rtl/>
          <w:lang w:eastAsia="en-US"/>
        </w:rPr>
        <w:t xml:space="preserve"> </w:t>
      </w:r>
      <w:r>
        <w:rPr>
          <w:rFonts w:hint="eastAsia"/>
          <w:rtl/>
          <w:lang w:eastAsia="en-US"/>
        </w:rPr>
        <w:t>או</w:t>
      </w:r>
      <w:r>
        <w:rPr>
          <w:rtl/>
          <w:lang w:eastAsia="en-US"/>
        </w:rPr>
        <w:t xml:space="preserve"> </w:t>
      </w:r>
      <w:r>
        <w:rPr>
          <w:rFonts w:hint="eastAsia"/>
          <w:rtl/>
          <w:lang w:eastAsia="en-US"/>
        </w:rPr>
        <w:t>בא</w:t>
      </w:r>
      <w:r>
        <w:rPr>
          <w:rFonts w:hint="cs"/>
          <w:rtl/>
          <w:lang w:eastAsia="en-US"/>
        </w:rPr>
        <w:t xml:space="preserve">חד </w:t>
      </w:r>
      <w:r>
        <w:rPr>
          <w:rFonts w:hint="eastAsia"/>
          <w:rtl/>
          <w:lang w:eastAsia="en-US"/>
        </w:rPr>
        <w:t>מאבריו</w:t>
      </w:r>
      <w:r>
        <w:rPr>
          <w:rFonts w:hint="cs"/>
          <w:rtl/>
          <w:lang w:eastAsia="en-US"/>
        </w:rPr>
        <w:t xml:space="preserve"> - </w:t>
      </w:r>
      <w:r>
        <w:rPr>
          <w:rFonts w:hint="eastAsia"/>
          <w:rtl/>
          <w:lang w:eastAsia="en-US"/>
        </w:rPr>
        <w:t>כל</w:t>
      </w:r>
      <w:r>
        <w:rPr>
          <w:rtl/>
          <w:lang w:eastAsia="en-US"/>
        </w:rPr>
        <w:t xml:space="preserve"> </w:t>
      </w:r>
      <w:r>
        <w:rPr>
          <w:rFonts w:hint="eastAsia"/>
          <w:rtl/>
          <w:lang w:eastAsia="en-US"/>
        </w:rPr>
        <w:t>אבריו</w:t>
      </w:r>
      <w:r>
        <w:rPr>
          <w:rtl/>
          <w:lang w:eastAsia="en-US"/>
        </w:rPr>
        <w:t xml:space="preserve"> </w:t>
      </w:r>
      <w:r>
        <w:rPr>
          <w:rFonts w:hint="eastAsia"/>
          <w:rtl/>
          <w:lang w:eastAsia="en-US"/>
        </w:rPr>
        <w:t>מרגישי</w:t>
      </w:r>
      <w:r>
        <w:rPr>
          <w:rFonts w:hint="cs"/>
          <w:rtl/>
          <w:lang w:eastAsia="en-US"/>
        </w:rPr>
        <w:t xml:space="preserve">ם; </w:t>
      </w:r>
      <w:r>
        <w:rPr>
          <w:rFonts w:hint="eastAsia"/>
          <w:rtl/>
          <w:lang w:eastAsia="en-US"/>
        </w:rPr>
        <w:t>כך</w:t>
      </w:r>
      <w:r>
        <w:rPr>
          <w:rtl/>
          <w:lang w:eastAsia="en-US"/>
        </w:rPr>
        <w:t xml:space="preserve"> </w:t>
      </w:r>
      <w:r>
        <w:rPr>
          <w:rFonts w:hint="eastAsia"/>
          <w:rtl/>
          <w:lang w:eastAsia="en-US"/>
        </w:rPr>
        <w:t>הן</w:t>
      </w:r>
      <w:r>
        <w:rPr>
          <w:rtl/>
          <w:lang w:eastAsia="en-US"/>
        </w:rPr>
        <w:t xml:space="preserve"> </w:t>
      </w:r>
      <w:r>
        <w:rPr>
          <w:rFonts w:hint="eastAsia"/>
          <w:rtl/>
          <w:lang w:eastAsia="en-US"/>
        </w:rPr>
        <w:t>ישראל</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חוטא</w:t>
      </w:r>
      <w:r>
        <w:rPr>
          <w:rtl/>
          <w:lang w:eastAsia="en-US"/>
        </w:rPr>
        <w:t xml:space="preserve"> </w:t>
      </w:r>
      <w:r>
        <w:rPr>
          <w:rFonts w:hint="eastAsia"/>
          <w:rtl/>
          <w:lang w:eastAsia="en-US"/>
        </w:rPr>
        <w:t>וכולן</w:t>
      </w:r>
      <w:r>
        <w:rPr>
          <w:rtl/>
          <w:lang w:eastAsia="en-US"/>
        </w:rPr>
        <w:t xml:space="preserve"> </w:t>
      </w:r>
      <w:r>
        <w:rPr>
          <w:rFonts w:hint="eastAsia"/>
          <w:rtl/>
          <w:lang w:eastAsia="en-US"/>
        </w:rPr>
        <w:t>מרגישי</w:t>
      </w:r>
      <w:r>
        <w:rPr>
          <w:rFonts w:hint="cs"/>
          <w:rtl/>
          <w:lang w:eastAsia="en-US"/>
        </w:rPr>
        <w:t>ם: "</w:t>
      </w:r>
      <w:r>
        <w:rPr>
          <w:rFonts w:hint="eastAsia"/>
          <w:rtl/>
          <w:lang w:eastAsia="en-US"/>
        </w:rPr>
        <w:t>האיש</w:t>
      </w:r>
      <w:r>
        <w:rPr>
          <w:rtl/>
          <w:lang w:eastAsia="en-US"/>
        </w:rPr>
        <w:t xml:space="preserve"> </w:t>
      </w:r>
      <w:r>
        <w:rPr>
          <w:rFonts w:hint="eastAsia"/>
          <w:rtl/>
          <w:lang w:eastAsia="en-US"/>
        </w:rPr>
        <w:t>אחד</w:t>
      </w:r>
      <w:r>
        <w:rPr>
          <w:rtl/>
          <w:lang w:eastAsia="en-US"/>
        </w:rPr>
        <w:t xml:space="preserve"> </w:t>
      </w:r>
      <w:r>
        <w:rPr>
          <w:rFonts w:hint="eastAsia"/>
          <w:rtl/>
          <w:lang w:eastAsia="en-US"/>
        </w:rPr>
        <w:t>יחטא</w:t>
      </w:r>
      <w:r>
        <w:rPr>
          <w:rFonts w:hint="cs"/>
          <w:rtl/>
          <w:lang w:eastAsia="en-US"/>
        </w:rPr>
        <w:t xml:space="preserve"> ועל כל העדה תקצוף?"</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Fonts w:hint="cs"/>
          <w:rtl/>
          <w:lang w:eastAsia="en-US"/>
        </w:rPr>
        <w:t xml:space="preserve"> כב</w:t>
      </w:r>
      <w:r>
        <w:rPr>
          <w:rtl/>
          <w:lang w:eastAsia="en-US"/>
        </w:rPr>
        <w:t>)</w:t>
      </w:r>
      <w:r>
        <w:rPr>
          <w:rFonts w:hint="cs"/>
          <w:rtl/>
          <w:lang w:eastAsia="en-US"/>
        </w:rPr>
        <w:t>.</w:t>
      </w:r>
      <w:r>
        <w:rPr>
          <w:rStyle w:val="a5"/>
          <w:rtl/>
          <w:lang w:eastAsia="en-US"/>
        </w:rPr>
        <w:footnoteReference w:id="14"/>
      </w:r>
      <w:r>
        <w:rPr>
          <w:rtl/>
          <w:lang w:eastAsia="en-US"/>
        </w:rPr>
        <w:t xml:space="preserve"> </w:t>
      </w:r>
      <w:r w:rsidRPr="00D029B1">
        <w:rPr>
          <w:rtl/>
        </w:rPr>
        <w:t>תני ר' שמעון בן יוחי</w:t>
      </w:r>
      <w:r w:rsidRPr="00D029B1">
        <w:rPr>
          <w:rFonts w:hint="cs"/>
          <w:rtl/>
        </w:rPr>
        <w:t>:</w:t>
      </w:r>
      <w:r w:rsidRPr="00D029B1">
        <w:rPr>
          <w:rtl/>
        </w:rPr>
        <w:t xml:space="preserve"> משל לבני אדם שהיו נתוני</w:t>
      </w:r>
      <w:r w:rsidRPr="00D029B1">
        <w:rPr>
          <w:rFonts w:hint="cs"/>
          <w:rtl/>
        </w:rPr>
        <w:t>ם</w:t>
      </w:r>
      <w:r w:rsidRPr="00D029B1">
        <w:rPr>
          <w:rtl/>
        </w:rPr>
        <w:t xml:space="preserve"> בספינה</w:t>
      </w:r>
      <w:r w:rsidRPr="00D029B1">
        <w:rPr>
          <w:rFonts w:hint="cs"/>
          <w:rtl/>
        </w:rPr>
        <w:t>,</w:t>
      </w:r>
      <w:r w:rsidRPr="00D029B1">
        <w:rPr>
          <w:rtl/>
        </w:rPr>
        <w:t xml:space="preserve"> ונטל אחד מהן מקדח והתחיל קודח תחתיו. אמרו לו חבריו</w:t>
      </w:r>
      <w:r w:rsidRPr="00D029B1">
        <w:rPr>
          <w:rFonts w:hint="cs"/>
          <w:rtl/>
        </w:rPr>
        <w:t>:</w:t>
      </w:r>
      <w:r w:rsidRPr="00D029B1">
        <w:rPr>
          <w:rtl/>
        </w:rPr>
        <w:t xml:space="preserve"> למה את עושה כן</w:t>
      </w:r>
      <w:r w:rsidRPr="00D029B1">
        <w:rPr>
          <w:rFonts w:hint="cs"/>
          <w:rtl/>
        </w:rPr>
        <w:t>?</w:t>
      </w:r>
      <w:r w:rsidRPr="00D029B1">
        <w:rPr>
          <w:rtl/>
        </w:rPr>
        <w:t xml:space="preserve"> אמ</w:t>
      </w:r>
      <w:r w:rsidRPr="00D029B1">
        <w:rPr>
          <w:rFonts w:hint="cs"/>
          <w:rtl/>
        </w:rPr>
        <w:t>ר</w:t>
      </w:r>
      <w:r w:rsidRPr="00D029B1">
        <w:rPr>
          <w:rtl/>
        </w:rPr>
        <w:t xml:space="preserve"> לה</w:t>
      </w:r>
      <w:r w:rsidRPr="00D029B1">
        <w:rPr>
          <w:rFonts w:hint="cs"/>
          <w:rtl/>
        </w:rPr>
        <w:t>ם:</w:t>
      </w:r>
      <w:r w:rsidRPr="00D029B1">
        <w:rPr>
          <w:rtl/>
        </w:rPr>
        <w:t xml:space="preserve"> מה איכפת לכם</w:t>
      </w:r>
      <w:r w:rsidRPr="00D029B1">
        <w:rPr>
          <w:rFonts w:hint="cs"/>
          <w:rtl/>
        </w:rPr>
        <w:t>?</w:t>
      </w:r>
      <w:r w:rsidRPr="00D029B1">
        <w:rPr>
          <w:rtl/>
        </w:rPr>
        <w:t xml:space="preserve"> לא תחתי אני קודח</w:t>
      </w:r>
      <w:r w:rsidRPr="00D029B1">
        <w:rPr>
          <w:rFonts w:hint="cs"/>
          <w:rtl/>
        </w:rPr>
        <w:t>?!</w:t>
      </w:r>
      <w:r w:rsidRPr="00D029B1">
        <w:rPr>
          <w:rtl/>
        </w:rPr>
        <w:t xml:space="preserve"> אמרו לו</w:t>
      </w:r>
      <w:r w:rsidRPr="00D029B1">
        <w:rPr>
          <w:rFonts w:hint="cs"/>
          <w:rtl/>
        </w:rPr>
        <w:t>:</w:t>
      </w:r>
      <w:r w:rsidRPr="00D029B1">
        <w:rPr>
          <w:rtl/>
        </w:rPr>
        <w:t xml:space="preserve"> מפני שאתה מציף עלינו את הספינה</w:t>
      </w:r>
      <w:r>
        <w:rPr>
          <w:rtl/>
          <w:lang w:eastAsia="en-US"/>
        </w:rPr>
        <w:t>.</w:t>
      </w:r>
      <w:r>
        <w:rPr>
          <w:rStyle w:val="a5"/>
          <w:rtl/>
          <w:lang w:eastAsia="en-US"/>
        </w:rPr>
        <w:footnoteReference w:id="15"/>
      </w:r>
    </w:p>
    <w:p w:rsidR="00170354" w:rsidRDefault="00170354" w:rsidP="00170354">
      <w:pPr>
        <w:pStyle w:val="ac"/>
        <w:rPr>
          <w:rFonts w:hint="cs"/>
          <w:rtl/>
          <w:lang w:eastAsia="en-US"/>
        </w:rPr>
      </w:pPr>
      <w:r>
        <w:rPr>
          <w:rtl/>
          <w:lang w:eastAsia="en-US"/>
        </w:rPr>
        <w:t>כך אמר איוב</w:t>
      </w:r>
      <w:r>
        <w:rPr>
          <w:rFonts w:hint="cs"/>
          <w:rtl/>
          <w:lang w:eastAsia="en-US"/>
        </w:rPr>
        <w:t>:</w:t>
      </w:r>
      <w:r>
        <w:rPr>
          <w:rtl/>
          <w:lang w:eastAsia="en-US"/>
        </w:rPr>
        <w:t xml:space="preserve"> </w:t>
      </w:r>
      <w:r>
        <w:rPr>
          <w:rFonts w:hint="cs"/>
          <w:rtl/>
          <w:lang w:eastAsia="en-US"/>
        </w:rPr>
        <w:t>"</w:t>
      </w:r>
      <w:r>
        <w:rPr>
          <w:rtl/>
          <w:lang w:eastAsia="en-US"/>
        </w:rPr>
        <w:t>ואף אמנם שגיתי אתי תלין משוגת</w:t>
      </w:r>
      <w:r>
        <w:rPr>
          <w:rFonts w:hint="cs"/>
          <w:rtl/>
          <w:lang w:eastAsia="en-US"/>
        </w:rPr>
        <w:t xml:space="preserve">י" </w:t>
      </w:r>
      <w:r>
        <w:rPr>
          <w:rtl/>
          <w:lang w:eastAsia="en-US"/>
        </w:rPr>
        <w:t>(איוב יט</w:t>
      </w:r>
      <w:r>
        <w:rPr>
          <w:rFonts w:hint="cs"/>
          <w:rtl/>
          <w:lang w:eastAsia="en-US"/>
        </w:rPr>
        <w:t xml:space="preserve"> ד</w:t>
      </w:r>
      <w:r>
        <w:rPr>
          <w:rtl/>
          <w:lang w:eastAsia="en-US"/>
        </w:rPr>
        <w:t>)</w:t>
      </w:r>
      <w:r>
        <w:rPr>
          <w:rFonts w:hint="cs"/>
          <w:rtl/>
          <w:lang w:eastAsia="en-US"/>
        </w:rPr>
        <w:t xml:space="preserve">. </w:t>
      </w:r>
      <w:r>
        <w:rPr>
          <w:rtl/>
          <w:lang w:eastAsia="en-US"/>
        </w:rPr>
        <w:t>אמרו לו חבריו</w:t>
      </w:r>
      <w:r>
        <w:rPr>
          <w:rFonts w:hint="cs"/>
          <w:rtl/>
          <w:lang w:eastAsia="en-US"/>
        </w:rPr>
        <w:t>:</w:t>
      </w:r>
      <w:r>
        <w:rPr>
          <w:rtl/>
          <w:lang w:eastAsia="en-US"/>
        </w:rPr>
        <w:t xml:space="preserve"> </w:t>
      </w:r>
      <w:r>
        <w:rPr>
          <w:rFonts w:hint="cs"/>
          <w:rtl/>
          <w:lang w:eastAsia="en-US"/>
        </w:rPr>
        <w:t>"</w:t>
      </w:r>
      <w:r>
        <w:rPr>
          <w:rtl/>
          <w:lang w:eastAsia="en-US"/>
        </w:rPr>
        <w:t>כי יוס</w:t>
      </w:r>
      <w:r>
        <w:rPr>
          <w:rFonts w:hint="cs"/>
          <w:rtl/>
          <w:lang w:eastAsia="en-US"/>
        </w:rPr>
        <w:t>י</w:t>
      </w:r>
      <w:r>
        <w:rPr>
          <w:rtl/>
          <w:lang w:eastAsia="en-US"/>
        </w:rPr>
        <w:t>ף על חטאתו פשע</w:t>
      </w:r>
      <w:r>
        <w:rPr>
          <w:rFonts w:hint="cs"/>
          <w:rtl/>
          <w:lang w:eastAsia="en-US"/>
        </w:rPr>
        <w:t>,</w:t>
      </w:r>
      <w:r>
        <w:rPr>
          <w:rtl/>
          <w:lang w:eastAsia="en-US"/>
        </w:rPr>
        <w:t xml:space="preserve"> בינינו יספוק</w:t>
      </w:r>
      <w:r>
        <w:rPr>
          <w:rFonts w:hint="cs"/>
          <w:rtl/>
          <w:lang w:eastAsia="en-US"/>
        </w:rPr>
        <w:t xml:space="preserve">" </w:t>
      </w:r>
      <w:r>
        <w:rPr>
          <w:rtl/>
          <w:lang w:eastAsia="en-US"/>
        </w:rPr>
        <w:t>(איוב לד</w:t>
      </w:r>
      <w:r>
        <w:rPr>
          <w:rFonts w:hint="cs"/>
          <w:rtl/>
          <w:lang w:eastAsia="en-US"/>
        </w:rPr>
        <w:t xml:space="preserve"> לז</w:t>
      </w:r>
      <w:r>
        <w:rPr>
          <w:rtl/>
          <w:lang w:eastAsia="en-US"/>
        </w:rPr>
        <w:t>)</w:t>
      </w:r>
      <w:r>
        <w:rPr>
          <w:rFonts w:hint="cs"/>
          <w:rtl/>
          <w:lang w:eastAsia="en-US"/>
        </w:rPr>
        <w:t xml:space="preserve"> </w:t>
      </w:r>
      <w:r>
        <w:rPr>
          <w:rtl/>
          <w:lang w:eastAsia="en-US"/>
        </w:rPr>
        <w:t>–</w:t>
      </w:r>
      <w:r>
        <w:rPr>
          <w:rFonts w:hint="cs"/>
          <w:rtl/>
          <w:lang w:eastAsia="en-US"/>
        </w:rPr>
        <w:t xml:space="preserve"> </w:t>
      </w:r>
      <w:r>
        <w:rPr>
          <w:rtl/>
          <w:lang w:eastAsia="en-US"/>
        </w:rPr>
        <w:t>בינ</w:t>
      </w:r>
      <w:r>
        <w:rPr>
          <w:rFonts w:hint="cs"/>
          <w:rtl/>
          <w:lang w:eastAsia="en-US"/>
        </w:rPr>
        <w:t xml:space="preserve">ותינו אתה מספק </w:t>
      </w:r>
      <w:r>
        <w:rPr>
          <w:rtl/>
          <w:lang w:eastAsia="en-US"/>
        </w:rPr>
        <w:t>עונותיך</w:t>
      </w:r>
      <w:r>
        <w:rPr>
          <w:rFonts w:hint="cs"/>
          <w:rtl/>
          <w:lang w:eastAsia="en-US"/>
        </w:rPr>
        <w:t>.</w:t>
      </w:r>
      <w:r>
        <w:rPr>
          <w:rStyle w:val="a5"/>
          <w:rtl/>
          <w:lang w:eastAsia="en-US"/>
        </w:rPr>
        <w:footnoteReference w:id="16"/>
      </w:r>
    </w:p>
    <w:p w:rsidR="00437C36" w:rsidRPr="00437C36" w:rsidRDefault="008B2256" w:rsidP="008B2256">
      <w:pPr>
        <w:pStyle w:val="ab"/>
        <w:rPr>
          <w:rFonts w:hint="cs"/>
          <w:rtl/>
          <w:lang w:eastAsia="en-US"/>
        </w:rPr>
      </w:pPr>
      <w:r>
        <w:rPr>
          <w:rFonts w:hint="cs"/>
          <w:rtl/>
          <w:lang w:eastAsia="en-US"/>
        </w:rPr>
        <w:t xml:space="preserve">רבי בחיי בן אשר </w:t>
      </w:r>
      <w:r w:rsidR="00437C36" w:rsidRPr="00437C36">
        <w:rPr>
          <w:rtl/>
          <w:lang w:eastAsia="en-US"/>
        </w:rPr>
        <w:t xml:space="preserve">שמות פרק ל </w:t>
      </w:r>
      <w:r w:rsidR="00437C36">
        <w:rPr>
          <w:rFonts w:hint="cs"/>
          <w:rtl/>
          <w:lang w:eastAsia="en-US"/>
        </w:rPr>
        <w:t xml:space="preserve">פסוק לד </w:t>
      </w:r>
      <w:r w:rsidR="00437C36">
        <w:rPr>
          <w:rtl/>
          <w:lang w:eastAsia="en-US"/>
        </w:rPr>
        <w:t>–</w:t>
      </w:r>
      <w:r w:rsidR="00437C36">
        <w:rPr>
          <w:rFonts w:hint="cs"/>
          <w:rtl/>
          <w:lang w:eastAsia="en-US"/>
        </w:rPr>
        <w:t xml:space="preserve"> מעשה קטורת הסמים</w:t>
      </w:r>
    </w:p>
    <w:p w:rsidR="00064142" w:rsidRDefault="00064142" w:rsidP="00064142">
      <w:pPr>
        <w:pStyle w:val="ac"/>
        <w:rPr>
          <w:rFonts w:hint="cs"/>
          <w:rtl/>
          <w:lang w:eastAsia="en-US"/>
        </w:rPr>
      </w:pPr>
      <w:r>
        <w:rPr>
          <w:rFonts w:hint="cs"/>
          <w:rtl/>
          <w:lang w:eastAsia="en-US"/>
        </w:rPr>
        <w:t>"</w:t>
      </w:r>
      <w:r w:rsidR="00437C36" w:rsidRPr="00437C36">
        <w:rPr>
          <w:rtl/>
          <w:lang w:eastAsia="en-US"/>
        </w:rPr>
        <w:t>נטף ושחלת וחלבנה</w:t>
      </w:r>
      <w:r>
        <w:rPr>
          <w:rFonts w:hint="cs"/>
          <w:rtl/>
          <w:lang w:eastAsia="en-US"/>
        </w:rPr>
        <w:t xml:space="preserve">". </w:t>
      </w:r>
      <w:r w:rsidR="00437C36" w:rsidRPr="00437C36">
        <w:rPr>
          <w:rtl/>
          <w:lang w:eastAsia="en-US"/>
        </w:rPr>
        <w:t>נטף הוא צרי</w:t>
      </w:r>
      <w:r>
        <w:rPr>
          <w:rFonts w:hint="cs"/>
          <w:rtl/>
          <w:lang w:eastAsia="en-US"/>
        </w:rPr>
        <w:t xml:space="preserve"> ...</w:t>
      </w:r>
      <w:r w:rsidR="00437C36" w:rsidRPr="00437C36">
        <w:rPr>
          <w:rtl/>
          <w:lang w:eastAsia="en-US"/>
        </w:rPr>
        <w:t xml:space="preserve"> והוא ב</w:t>
      </w:r>
      <w:r>
        <w:rPr>
          <w:rFonts w:hint="cs"/>
          <w:rtl/>
          <w:lang w:eastAsia="en-US"/>
        </w:rPr>
        <w:t>ו</w:t>
      </w:r>
      <w:r w:rsidR="00437C36" w:rsidRPr="00437C36">
        <w:rPr>
          <w:rtl/>
          <w:lang w:eastAsia="en-US"/>
        </w:rPr>
        <w:t>שם חשוב מאד, שכן אסרו רז"ל בפרק במה מדליקין להדליק ממנו, ואמרו: (שבת נה ב) אין מדליקין בצרי, והטעם למעלתו וחשיבותו גזרה שמא יסתפק ממנו. וחלבנה ריחה רע, ואעפ"כ הכניסה הכתוב בכלל הבשמים החשובים, ובא לרמוז שאין לנו להקל ברשעים פושעי ישראל שלא יהיו בכלל תעניותינו ותפ</w:t>
      </w:r>
      <w:r>
        <w:rPr>
          <w:rFonts w:hint="cs"/>
          <w:rtl/>
          <w:lang w:eastAsia="en-US"/>
        </w:rPr>
        <w:t>י</w:t>
      </w:r>
      <w:r w:rsidR="00437C36" w:rsidRPr="00437C36">
        <w:rPr>
          <w:rtl/>
          <w:lang w:eastAsia="en-US"/>
        </w:rPr>
        <w:t>ל</w:t>
      </w:r>
      <w:r>
        <w:rPr>
          <w:rFonts w:hint="cs"/>
          <w:rtl/>
          <w:lang w:eastAsia="en-US"/>
        </w:rPr>
        <w:t>ו</w:t>
      </w:r>
      <w:r w:rsidR="00437C36" w:rsidRPr="00437C36">
        <w:rPr>
          <w:rtl/>
          <w:lang w:eastAsia="en-US"/>
        </w:rPr>
        <w:t>ת</w:t>
      </w:r>
      <w:r>
        <w:rPr>
          <w:rFonts w:hint="cs"/>
          <w:rtl/>
          <w:lang w:eastAsia="en-US"/>
        </w:rPr>
        <w:t>י</w:t>
      </w:r>
      <w:r w:rsidR="00437C36" w:rsidRPr="00437C36">
        <w:rPr>
          <w:rtl/>
          <w:lang w:eastAsia="en-US"/>
        </w:rPr>
        <w:t xml:space="preserve">נו, וכמו שאמר רז"ל: (כריתות ו ב) כל אגודה שאין בה מפושעי </w:t>
      </w:r>
      <w:smartTag w:uri="urn:schemas-microsoft-com:office:smarttags" w:element="PersonName">
        <w:smartTagPr>
          <w:attr w:name="ProductID" w:val="ישראל אינה"/>
        </w:smartTagPr>
        <w:r w:rsidR="00437C36" w:rsidRPr="00437C36">
          <w:rPr>
            <w:rtl/>
            <w:lang w:eastAsia="en-US"/>
          </w:rPr>
          <w:t>ישראל אינה</w:t>
        </w:r>
      </w:smartTag>
      <w:r w:rsidR="00437C36" w:rsidRPr="00437C36">
        <w:rPr>
          <w:rtl/>
          <w:lang w:eastAsia="en-US"/>
        </w:rPr>
        <w:t xml:space="preserve"> אגודה</w:t>
      </w:r>
      <w:r>
        <w:rPr>
          <w:rFonts w:hint="cs"/>
          <w:rtl/>
          <w:lang w:eastAsia="en-US"/>
        </w:rPr>
        <w:t>.</w:t>
      </w:r>
      <w:r w:rsidR="00437C36" w:rsidRPr="00437C36">
        <w:rPr>
          <w:rtl/>
          <w:lang w:eastAsia="en-US"/>
        </w:rPr>
        <w:t xml:space="preserve"> ובאור זה כי שם שמים מתעלה ומתקדש בשעה שהרשעים חוזרים בתשובה ונמנין בכלל הצדיקים, שאם לא כן הצדיקים נתפשים עליהם מפני הערבות, שהרי כל ישראל ערבים זה לזה. ומטעם זה נצטוינו במצות לולב ליקח ד' מינים באגודה אחת ולתת ערבה שאין לה טעם וריח, רמז לרשעי ישראל שאין להם תורה ומצות, בכלל האתרוג שיש בו טעם וריח, ובכלל הלולב שיש בו אוכל, וההדס שיש בו ריח, ואנו מרצים להקב"ה בכ</w:t>
      </w:r>
      <w:r>
        <w:rPr>
          <w:rFonts w:hint="cs"/>
          <w:rtl/>
          <w:lang w:eastAsia="en-US"/>
        </w:rPr>
        <w:t>ו</w:t>
      </w:r>
      <w:r w:rsidR="00437C36" w:rsidRPr="00437C36">
        <w:rPr>
          <w:rtl/>
          <w:lang w:eastAsia="en-US"/>
        </w:rPr>
        <w:t>לם כאחד</w:t>
      </w:r>
      <w:r>
        <w:rPr>
          <w:rFonts w:hint="cs"/>
          <w:rtl/>
          <w:lang w:eastAsia="en-US"/>
        </w:rPr>
        <w:t>.</w:t>
      </w:r>
      <w:r w:rsidR="00170354">
        <w:rPr>
          <w:rStyle w:val="a5"/>
          <w:rtl/>
          <w:lang w:eastAsia="en-US"/>
        </w:rPr>
        <w:footnoteReference w:id="17"/>
      </w:r>
    </w:p>
    <w:p w:rsidR="0094566A" w:rsidRDefault="0094566A" w:rsidP="004F7DA1">
      <w:pPr>
        <w:pStyle w:val="ab"/>
        <w:rPr>
          <w:rtl/>
          <w:lang w:eastAsia="en-US"/>
        </w:rPr>
      </w:pPr>
      <w:r>
        <w:rPr>
          <w:rtl/>
          <w:lang w:eastAsia="en-US"/>
        </w:rPr>
        <w:t xml:space="preserve">משיבת נפש ויקרא פרק ה </w:t>
      </w:r>
    </w:p>
    <w:p w:rsidR="0094566A" w:rsidRDefault="0094566A" w:rsidP="009C4CFB">
      <w:pPr>
        <w:pStyle w:val="ac"/>
        <w:rPr>
          <w:rFonts w:hint="cs"/>
          <w:rtl/>
          <w:lang w:eastAsia="en-US"/>
        </w:rPr>
      </w:pPr>
      <w:r>
        <w:rPr>
          <w:rtl/>
          <w:lang w:eastAsia="en-US"/>
        </w:rPr>
        <w:t>עוד הערה שלא ידיח לב מלך או נשיא או רב על גדולתו למעלתו כי [לא] לכבודו נפסק עליו כ</w:t>
      </w:r>
      <w:r w:rsidR="009C4CFB">
        <w:rPr>
          <w:rFonts w:hint="cs"/>
          <w:rtl/>
          <w:lang w:eastAsia="en-US"/>
        </w:rPr>
        <w:t xml:space="preserve">י אם </w:t>
      </w:r>
      <w:r>
        <w:rPr>
          <w:rtl/>
          <w:lang w:eastAsia="en-US"/>
        </w:rPr>
        <w:t xml:space="preserve">לכבוד הציבור שנאמר דבר אל </w:t>
      </w:r>
      <w:smartTag w:uri="urn:schemas-microsoft-com:office:smarttags" w:element="PersonName">
        <w:smartTagPr>
          <w:attr w:name="ProductID" w:val="בני ישראל"/>
        </w:smartTagPr>
        <w:r>
          <w:rPr>
            <w:rtl/>
            <w:lang w:eastAsia="en-US"/>
          </w:rPr>
          <w:t>בני ישראל</w:t>
        </w:r>
      </w:smartTag>
      <w:r>
        <w:rPr>
          <w:rtl/>
          <w:lang w:eastAsia="en-US"/>
        </w:rPr>
        <w:t xml:space="preserve"> ואמרת אליהם. ופירש"י שכל אשר אני מדבר אליך אינו אלא בשבילם, ומביא ראי</w:t>
      </w:r>
      <w:r w:rsidR="009C4CFB">
        <w:rPr>
          <w:rFonts w:hint="cs"/>
          <w:rtl/>
          <w:lang w:eastAsia="en-US"/>
        </w:rPr>
        <w:t>ה</w:t>
      </w:r>
      <w:r>
        <w:rPr>
          <w:rtl/>
          <w:lang w:eastAsia="en-US"/>
        </w:rPr>
        <w:t xml:space="preserve"> מן ויהי כאשר תמו כו'. גם יש ראייה מפ</w:t>
      </w:r>
      <w:r w:rsidR="009C4CFB">
        <w:rPr>
          <w:rFonts w:hint="cs"/>
          <w:rtl/>
          <w:lang w:eastAsia="en-US"/>
        </w:rPr>
        <w:t>רשה</w:t>
      </w:r>
      <w:r>
        <w:rPr>
          <w:rtl/>
          <w:lang w:eastAsia="en-US"/>
        </w:rPr>
        <w:t xml:space="preserve"> זו, שהרי כהן המשיח הוא הגדול שבכולם ואם חוטא פמליא של הקדוש ברוך הוא קיים וכשהציבור חוטאים נסתלק הקדושה, כמו שפירש"י שלא נאמר </w:t>
      </w:r>
      <w:r>
        <w:rPr>
          <w:rtl/>
          <w:lang w:eastAsia="en-US"/>
        </w:rPr>
        <w:lastRenderedPageBreak/>
        <w:t>בקרבנות פר</w:t>
      </w:r>
      <w:r w:rsidR="009C4CFB">
        <w:rPr>
          <w:rFonts w:hint="cs"/>
          <w:rtl/>
          <w:lang w:eastAsia="en-US"/>
        </w:rPr>
        <w:t>ו</w:t>
      </w:r>
      <w:r>
        <w:rPr>
          <w:rtl/>
          <w:lang w:eastAsia="en-US"/>
        </w:rPr>
        <w:t>כת הקודש. אכן רש"י מביא ראיי' מויהי כאשר תמו וכו' להורות שמשה רבינו בעצמו הודיע לישראל שכל גדולתו בשבילם ולא בוש, ועל זה נאמר והאיש משה עניו מאד. וראה גודל החשיבות הציבור שהקב"ה סילק התורה וארון הקודש מפני כבוד הציבור, שהרי הכהנים כשמברכין ברכת כהנים פונים פניהם לציבור ואחוריהם לארון הקודש. ונ"ל הטעם באשר כל ישראל ערבים זה בזה כן כל ישראל זכאין זה מזה, ולא ימלט שכל תרי"ג מצות מקיימים בכל יום [בלי סיוע] מן הציבור, זה לומד וזה מלמד, זה מדקדק בציצית וזה בתפילין, זה בצדקה וזה בגמילות חסדים וכו' והבן. וזה שאמר קרח כ</w:t>
      </w:r>
      <w:r w:rsidR="00437C36">
        <w:rPr>
          <w:rFonts w:hint="cs"/>
          <w:rtl/>
          <w:lang w:eastAsia="en-US"/>
        </w:rPr>
        <w:t>ו</w:t>
      </w:r>
      <w:r>
        <w:rPr>
          <w:rtl/>
          <w:lang w:eastAsia="en-US"/>
        </w:rPr>
        <w:t>לם קדושים.</w:t>
      </w:r>
    </w:p>
    <w:p w:rsidR="00E57C62" w:rsidRDefault="006A3795" w:rsidP="00E57C62">
      <w:pPr>
        <w:pStyle w:val="ad"/>
        <w:spacing w:before="240"/>
        <w:rPr>
          <w:rFonts w:hint="cs"/>
          <w:rtl/>
        </w:rPr>
      </w:pPr>
      <w:r w:rsidRPr="00953800">
        <w:rPr>
          <w:rtl/>
        </w:rPr>
        <w:t>שבת שלום</w:t>
      </w:r>
    </w:p>
    <w:p w:rsidR="006A3795" w:rsidRDefault="006A3795" w:rsidP="00E57C62">
      <w:pPr>
        <w:pStyle w:val="ad"/>
        <w:rPr>
          <w:rFonts w:hint="cs"/>
          <w:rtl/>
        </w:rPr>
      </w:pPr>
      <w:r w:rsidRPr="00953800">
        <w:rPr>
          <w:rtl/>
        </w:rPr>
        <w:t>חזק חזק ונתחזק</w:t>
      </w:r>
      <w:r w:rsidR="000D263B">
        <w:rPr>
          <w:rStyle w:val="a5"/>
          <w:rtl/>
        </w:rPr>
        <w:footnoteReference w:id="18"/>
      </w:r>
    </w:p>
    <w:p w:rsidR="006A3795" w:rsidRDefault="006A3795">
      <w:pPr>
        <w:pStyle w:val="ad"/>
        <w:rPr>
          <w:rFonts w:hint="cs"/>
          <w:rtl/>
        </w:rPr>
      </w:pPr>
      <w:r w:rsidRPr="00953800">
        <w:rPr>
          <w:rtl/>
        </w:rPr>
        <w:t>מחלקי המים</w:t>
      </w:r>
    </w:p>
    <w:p w:rsidR="005E0C61" w:rsidRPr="005E0C61" w:rsidRDefault="005E0C61" w:rsidP="009A41A3">
      <w:pPr>
        <w:pStyle w:val="ad"/>
        <w:spacing w:before="120"/>
        <w:rPr>
          <w:rFonts w:hint="cs"/>
          <w:b w:val="0"/>
          <w:bCs w:val="0"/>
          <w:szCs w:val="22"/>
          <w:rtl/>
        </w:rPr>
      </w:pPr>
      <w:r>
        <w:rPr>
          <w:rFonts w:hint="cs"/>
          <w:b w:val="0"/>
          <w:bCs w:val="0"/>
          <w:szCs w:val="22"/>
          <w:rtl/>
        </w:rPr>
        <w:t xml:space="preserve">מים אחרונים: ועדיין לא הזכרנו </w:t>
      </w:r>
      <w:r w:rsidR="008B2256">
        <w:rPr>
          <w:rFonts w:hint="cs"/>
          <w:b w:val="0"/>
          <w:bCs w:val="0"/>
          <w:szCs w:val="22"/>
          <w:rtl/>
        </w:rPr>
        <w:t xml:space="preserve">ערבויות כמו דין </w:t>
      </w:r>
      <w:r>
        <w:rPr>
          <w:rFonts w:hint="cs"/>
          <w:b w:val="0"/>
          <w:bCs w:val="0"/>
          <w:szCs w:val="22"/>
          <w:rtl/>
        </w:rPr>
        <w:t>עגלה ערופה</w:t>
      </w:r>
      <w:r w:rsidR="008B2256">
        <w:rPr>
          <w:rFonts w:hint="cs"/>
          <w:b w:val="0"/>
          <w:bCs w:val="0"/>
          <w:szCs w:val="22"/>
          <w:rtl/>
        </w:rPr>
        <w:t xml:space="preserve"> (ראה </w:t>
      </w:r>
      <w:hyperlink r:id="rId9" w:history="1">
        <w:r w:rsidR="008B2256" w:rsidRPr="008B2256">
          <w:rPr>
            <w:rStyle w:val="Hyperlink"/>
            <w:rFonts w:hint="cs"/>
            <w:b w:val="0"/>
            <w:bCs w:val="0"/>
            <w:szCs w:val="22"/>
            <w:rtl/>
          </w:rPr>
          <w:t>דברינו בנושא זה</w:t>
        </w:r>
      </w:hyperlink>
      <w:r w:rsidR="008B2256">
        <w:rPr>
          <w:rFonts w:hint="cs"/>
          <w:b w:val="0"/>
          <w:bCs w:val="0"/>
          <w:szCs w:val="22"/>
          <w:rtl/>
        </w:rPr>
        <w:t xml:space="preserve"> בפרשת שופטים), פרשת </w:t>
      </w:r>
      <w:r>
        <w:rPr>
          <w:rFonts w:hint="cs"/>
          <w:b w:val="0"/>
          <w:bCs w:val="0"/>
          <w:szCs w:val="22"/>
          <w:rtl/>
        </w:rPr>
        <w:t>פילגש בגבעה</w:t>
      </w:r>
      <w:r w:rsidR="008B2256">
        <w:rPr>
          <w:rFonts w:hint="cs"/>
          <w:b w:val="0"/>
          <w:bCs w:val="0"/>
          <w:szCs w:val="22"/>
          <w:rtl/>
        </w:rPr>
        <w:t xml:space="preserve"> (ראה דברינו </w:t>
      </w:r>
      <w:hyperlink r:id="rId10" w:history="1">
        <w:r w:rsidR="008B2256" w:rsidRPr="008B2256">
          <w:rPr>
            <w:rStyle w:val="Hyperlink"/>
            <w:rFonts w:hint="cs"/>
            <w:b w:val="0"/>
            <w:bCs w:val="0"/>
            <w:szCs w:val="22"/>
            <w:rtl/>
          </w:rPr>
          <w:t>בין סדום לפילגש בגבעה</w:t>
        </w:r>
      </w:hyperlink>
      <w:r w:rsidR="008B2256">
        <w:rPr>
          <w:rFonts w:hint="cs"/>
          <w:b w:val="0"/>
          <w:bCs w:val="0"/>
          <w:szCs w:val="22"/>
          <w:rtl/>
        </w:rPr>
        <w:t xml:space="preserve"> בפרשת וירא)</w:t>
      </w:r>
      <w:r>
        <w:rPr>
          <w:rFonts w:hint="cs"/>
          <w:b w:val="0"/>
          <w:bCs w:val="0"/>
          <w:szCs w:val="22"/>
          <w:rtl/>
        </w:rPr>
        <w:t xml:space="preserve"> והמזבח שבנו בני גד וראובן</w:t>
      </w:r>
      <w:r w:rsidR="009A41A3">
        <w:rPr>
          <w:rFonts w:hint="cs"/>
          <w:b w:val="0"/>
          <w:bCs w:val="0"/>
          <w:szCs w:val="22"/>
          <w:rtl/>
        </w:rPr>
        <w:t xml:space="preserve"> ביהושע פרק כב (עליו צריכים אנו עוד לדון)</w:t>
      </w:r>
      <w:r>
        <w:rPr>
          <w:rFonts w:hint="cs"/>
          <w:b w:val="0"/>
          <w:bCs w:val="0"/>
          <w:szCs w:val="22"/>
          <w:rtl/>
        </w:rPr>
        <w:t>.</w:t>
      </w:r>
    </w:p>
    <w:sectPr w:rsidR="005E0C61" w:rsidRPr="005E0C61" w:rsidSect="00E57C62">
      <w:headerReference w:type="default" r:id="rId11"/>
      <w:footerReference w:type="default" r:id="rId12"/>
      <w:headerReference w:type="first" r:id="rId13"/>
      <w:endnotePr>
        <w:numFmt w:val="lowerLetter"/>
      </w:endnotePr>
      <w:pgSz w:w="11907" w:h="16840" w:code="9"/>
      <w:pgMar w:top="1474"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EBF" w:rsidRDefault="003D0EBF">
      <w:r>
        <w:separator/>
      </w:r>
    </w:p>
  </w:endnote>
  <w:endnote w:type="continuationSeparator" w:id="0">
    <w:p w:rsidR="003D0EBF" w:rsidRDefault="003D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CA7" w:rsidRPr="00F8747C" w:rsidRDefault="004A5CA7"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A41A3">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A41A3">
      <w:rPr>
        <w:rStyle w:val="af2"/>
        <w:noProof/>
        <w:rtl/>
      </w:rPr>
      <w:t>4</w:t>
    </w:r>
    <w:r w:rsidRPr="00F8747C">
      <w:rPr>
        <w:rStyle w:val="af2"/>
      </w:rPr>
      <w:fldChar w:fldCharType="end"/>
    </w:r>
  </w:p>
  <w:p w:rsidR="004A5CA7" w:rsidRPr="00105427" w:rsidRDefault="004A5CA7"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EBF" w:rsidRDefault="003D0EBF">
      <w:r>
        <w:separator/>
      </w:r>
    </w:p>
  </w:footnote>
  <w:footnote w:type="continuationSeparator" w:id="0">
    <w:p w:rsidR="003D0EBF" w:rsidRDefault="003D0EBF">
      <w:r>
        <w:continuationSeparator/>
      </w:r>
    </w:p>
  </w:footnote>
  <w:footnote w:id="1">
    <w:p w:rsidR="004A5CA7" w:rsidRDefault="004A5CA7" w:rsidP="00183602">
      <w:pPr>
        <w:pStyle w:val="a3"/>
        <w:rPr>
          <w:rFonts w:hint="cs"/>
          <w:rtl/>
        </w:rPr>
      </w:pPr>
      <w:r>
        <w:rPr>
          <w:rStyle w:val="a5"/>
        </w:rPr>
        <w:footnoteRef/>
      </w:r>
      <w:r>
        <w:rPr>
          <w:rtl/>
        </w:rPr>
        <w:t xml:space="preserve"> </w:t>
      </w:r>
      <w:r>
        <w:rPr>
          <w:rFonts w:hint="cs"/>
          <w:rtl/>
          <w:lang w:eastAsia="en-US"/>
        </w:rPr>
        <w:t>מה זה שבאנו לדרוש פסוק מהתוכחה? ואיך זה בכלל מתקשר לנושא שבחרנו? כפי שנראה מיד בהמשך, פסוק זה הוא המקור, נכון יותר האסמכתא, לאמירה המפורסמת: כל ישראל ערבים זה בזה. בינתיים, די אם נדרוש את הפסוק לטובה ונאמר שכאשר עם ישראל ערב איש לאחיו, לא ינוס מפני אף רודף ותהיה לו תקומה לפני כל אויב. רק שנלמד להחזיק ידיים איש לרעהו.</w:t>
      </w:r>
      <w:r w:rsidRPr="00AE5B28">
        <w:rPr>
          <w:rFonts w:hint="cs"/>
          <w:rtl/>
          <w:lang w:eastAsia="en-US"/>
        </w:rPr>
        <w:t xml:space="preserve"> </w:t>
      </w:r>
      <w:r>
        <w:rPr>
          <w:rFonts w:hint="cs"/>
          <w:rtl/>
          <w:lang w:eastAsia="en-US"/>
        </w:rPr>
        <w:t xml:space="preserve">אגב, יש אמרה </w:t>
      </w:r>
      <w:r w:rsidR="009652B8">
        <w:rPr>
          <w:rFonts w:hint="cs"/>
          <w:rtl/>
          <w:lang w:eastAsia="en-US"/>
        </w:rPr>
        <w:t xml:space="preserve">חסידית </w:t>
      </w:r>
      <w:r>
        <w:rPr>
          <w:rFonts w:hint="cs"/>
          <w:rtl/>
          <w:lang w:eastAsia="en-US"/>
        </w:rPr>
        <w:t>שעתידה כל פרשת התוכחה להידרש לטובה (לא ידענו מקורה</w:t>
      </w:r>
      <w:r w:rsidR="00183602">
        <w:rPr>
          <w:rFonts w:hint="cs"/>
          <w:rtl/>
          <w:lang w:eastAsia="en-US"/>
        </w:rPr>
        <w:t>, וכל היודע אנא יודיענו במהרה</w:t>
      </w:r>
      <w:r>
        <w:rPr>
          <w:rFonts w:hint="cs"/>
          <w:rtl/>
          <w:lang w:eastAsia="en-US"/>
        </w:rPr>
        <w:t>). אפילו הפסוק הקשה מכל: "ואכלתם בשר בניכם ובשר בנותיכם תאכלו" (ויקרא כו כט) עתיד להפוך לטובה ולברכה</w:t>
      </w:r>
      <w:r w:rsidR="009652B8">
        <w:rPr>
          <w:rFonts w:hint="cs"/>
          <w:rtl/>
          <w:lang w:eastAsia="en-US"/>
        </w:rPr>
        <w:t>,</w:t>
      </w:r>
      <w:r>
        <w:rPr>
          <w:rFonts w:hint="cs"/>
          <w:rtl/>
          <w:lang w:eastAsia="en-US"/>
        </w:rPr>
        <w:t xml:space="preserve"> שהבנים שומרים על כשרות וההורים יכולים לאכול על שולחנם ללא חשש (ובימינו יש לומר הוא הדין להפך, שהבנים לא יבואו עם חומרות חדשות וימשיכו לאכול על שולחן הוריהם ללא חשש ...). </w:t>
      </w:r>
    </w:p>
  </w:footnote>
  <w:footnote w:id="2">
    <w:p w:rsidR="004A5CA7" w:rsidRDefault="004A5CA7" w:rsidP="00183602">
      <w:pPr>
        <w:pStyle w:val="a3"/>
        <w:rPr>
          <w:rFonts w:hint="cs"/>
          <w:rtl/>
        </w:rPr>
      </w:pPr>
      <w:r>
        <w:rPr>
          <w:rStyle w:val="a5"/>
        </w:rPr>
        <w:footnoteRef/>
      </w:r>
      <w:r>
        <w:rPr>
          <w:rtl/>
        </w:rPr>
        <w:t xml:space="preserve"> </w:t>
      </w:r>
      <w:r>
        <w:rPr>
          <w:rFonts w:hint="cs"/>
          <w:rtl/>
          <w:lang w:eastAsia="en-US"/>
        </w:rPr>
        <w:t xml:space="preserve">פרשני המקרא מרבים לצטט את הכלל כל ישראל ערבים זה בזה בהקשר </w:t>
      </w:r>
      <w:r w:rsidR="009652B8">
        <w:rPr>
          <w:rFonts w:hint="cs"/>
          <w:rtl/>
          <w:lang w:eastAsia="en-US"/>
        </w:rPr>
        <w:t xml:space="preserve">עם </w:t>
      </w:r>
      <w:r>
        <w:rPr>
          <w:rFonts w:hint="cs"/>
          <w:rtl/>
          <w:lang w:eastAsia="en-US"/>
        </w:rPr>
        <w:t xml:space="preserve">מצוות רבות בתורה ועל דרך החיוב. החל ממעמד הר סיני, השבעת העם </w:t>
      </w:r>
      <w:hyperlink r:id="rId1" w:history="1">
        <w:r w:rsidRPr="0077608A">
          <w:rPr>
            <w:rStyle w:val="Hyperlink"/>
            <w:rFonts w:hint="cs"/>
            <w:rtl/>
            <w:lang w:eastAsia="en-US"/>
          </w:rPr>
          <w:t>בהר גריזים והר עיבל</w:t>
        </w:r>
      </w:hyperlink>
      <w:r>
        <w:rPr>
          <w:rFonts w:hint="cs"/>
          <w:rtl/>
          <w:lang w:eastAsia="en-US"/>
        </w:rPr>
        <w:t>, "אתם נצבים"</w:t>
      </w:r>
      <w:r w:rsidR="00183602">
        <w:rPr>
          <w:rFonts w:hint="cs"/>
          <w:rtl/>
          <w:lang w:eastAsia="en-US"/>
        </w:rPr>
        <w:t>, המעמד ביהושע פרק כד</w:t>
      </w:r>
      <w:r>
        <w:rPr>
          <w:rFonts w:hint="cs"/>
          <w:rtl/>
          <w:lang w:eastAsia="en-US"/>
        </w:rPr>
        <w:t xml:space="preserve"> וכו', וכלה במצוות בסיסיות כמו מצוות צדקה, פדיון שבויים, גאולת עבד</w:t>
      </w:r>
      <w:r w:rsidR="00183602">
        <w:rPr>
          <w:rFonts w:hint="cs"/>
          <w:rtl/>
          <w:lang w:eastAsia="en-US"/>
        </w:rPr>
        <w:t xml:space="preserve"> ושדה</w:t>
      </w:r>
      <w:r>
        <w:rPr>
          <w:rFonts w:hint="cs"/>
          <w:rtl/>
          <w:lang w:eastAsia="en-US"/>
        </w:rPr>
        <w:t>, הוצאת אדם אחר ידי חובה וכו', שמקצתם נראה להלן. גם אנחנו חשבנו על פסוק חיובי כגון זה שבישעיהו מא ו: "</w:t>
      </w:r>
      <w:r>
        <w:rPr>
          <w:rtl/>
          <w:lang w:eastAsia="en-US"/>
        </w:rPr>
        <w:t>אִישׁ אֶת רֵעֵהוּ יַעְזֹרוּ וּלְאָחִיו יֹאמַר חֲזָק</w:t>
      </w:r>
      <w:r>
        <w:rPr>
          <w:rFonts w:hint="cs"/>
          <w:rtl/>
          <w:lang w:eastAsia="en-US"/>
        </w:rPr>
        <w:t xml:space="preserve">". אך דא עקא, שהמדרש מביא דווקא פסוק בעל משמעות שלילית: "וכשלו איש באחיו" כאסמכתא לכלל החינוכי: "כל ישראל ערבים זה בזה" (לשון ששונתה מעט במהלך השנים ל"כל ישראל ערבים זה לזה"). האם ניתן למצוא לכך הסבר? </w:t>
      </w:r>
      <w:r w:rsidR="00183602">
        <w:rPr>
          <w:rFonts w:hint="cs"/>
          <w:rtl/>
          <w:lang w:eastAsia="en-US"/>
        </w:rPr>
        <w:t xml:space="preserve">הפיכת הקללה לברכה כמו אצל בלעם? </w:t>
      </w:r>
      <w:r>
        <w:rPr>
          <w:rFonts w:hint="cs"/>
          <w:rtl/>
          <w:lang w:eastAsia="en-US"/>
        </w:rPr>
        <w:t>עכ"פ, בפשט המדרש יש לומר שלשון המדרש "אינו אומר" כוונתו לומר "אין זו הכוונה"</w:t>
      </w:r>
      <w:r w:rsidR="00214387">
        <w:rPr>
          <w:rFonts w:hint="cs"/>
          <w:rtl/>
          <w:lang w:eastAsia="en-US"/>
        </w:rPr>
        <w:t>,</w:t>
      </w:r>
      <w:r>
        <w:rPr>
          <w:rFonts w:hint="cs"/>
          <w:rtl/>
          <w:lang w:eastAsia="en-US"/>
        </w:rPr>
        <w:t xml:space="preserve"> שהרי באמת כן כתוב בפסוק "וכשלו איש באחיו". מעין אל תקרי כך אלא כך. ראה המפרשים על הספרא ובפרט הגהות הגר"א שהגיה: "אינו אומר איש מפני אחיו וכו' ".</w:t>
      </w:r>
    </w:p>
  </w:footnote>
  <w:footnote w:id="3">
    <w:p w:rsidR="004A5CA7" w:rsidRDefault="004A5CA7" w:rsidP="00183602">
      <w:pPr>
        <w:pStyle w:val="a3"/>
        <w:rPr>
          <w:rFonts w:hint="cs"/>
          <w:rtl/>
        </w:rPr>
      </w:pPr>
      <w:r>
        <w:rPr>
          <w:rStyle w:val="a5"/>
        </w:rPr>
        <w:footnoteRef/>
      </w:r>
      <w:r>
        <w:rPr>
          <w:rtl/>
        </w:rPr>
        <w:t xml:space="preserve"> </w:t>
      </w:r>
      <w:r>
        <w:rPr>
          <w:rFonts w:hint="cs"/>
          <w:rtl/>
        </w:rPr>
        <w:t>ברייתא היא במסכת שבועות הדנה בחומרה המיוחדת של עוון שבועת שקר או שבועת שוא, הד</w:t>
      </w:r>
      <w:r w:rsidR="00183602">
        <w:rPr>
          <w:rFonts w:hint="cs"/>
          <w:rtl/>
        </w:rPr>
        <w:t>י</w:t>
      </w:r>
      <w:r>
        <w:rPr>
          <w:rFonts w:hint="cs"/>
          <w:rtl/>
        </w:rPr>
        <w:t>בר השלישי. שבכל העברות שבתורה רק החוטא נענש ("</w:t>
      </w:r>
      <w:r>
        <w:rPr>
          <w:rtl/>
        </w:rPr>
        <w:t>לֹא יוּמְתוּ אָבוֹת עַל בָּנִים וּבָנִים לֹא יוּמְתוּ עַל אָבוֹת אִישׁ בְּחֶטְאוֹ יוּמָתוּ</w:t>
      </w:r>
      <w:r>
        <w:rPr>
          <w:rFonts w:hint="cs"/>
          <w:rtl/>
        </w:rPr>
        <w:t xml:space="preserve">" </w:t>
      </w:r>
      <w:r>
        <w:rPr>
          <w:rtl/>
        </w:rPr>
        <w:t xml:space="preserve">דברים כד </w:t>
      </w:r>
      <w:r>
        <w:rPr>
          <w:rFonts w:hint="cs"/>
          <w:rtl/>
        </w:rPr>
        <w:t>טז, "</w:t>
      </w:r>
      <w:r>
        <w:rPr>
          <w:rtl/>
        </w:rPr>
        <w:t>הַנֶּפֶשׁ הַחֹטֵאת הִיא תָמוּת בֵּן לֹא יִשָּׂא בַּעֲוֹן הָאָב וְאָב לֹא יִשָּׂא בַּעֲוֹן הַבֵּן צִדְקַת הַצַּדִּיק עָלָיו תִּהְיֶה וְרִשְׁעַת הָרָשָׁע עָלָיו תִּהְיֶה</w:t>
      </w:r>
      <w:r>
        <w:rPr>
          <w:rFonts w:hint="cs"/>
          <w:rtl/>
        </w:rPr>
        <w:t xml:space="preserve">" </w:t>
      </w:r>
      <w:r>
        <w:rPr>
          <w:rtl/>
        </w:rPr>
        <w:t>יחזקאל יח</w:t>
      </w:r>
      <w:r>
        <w:rPr>
          <w:rFonts w:hint="cs"/>
          <w:rtl/>
        </w:rPr>
        <w:t xml:space="preserve"> כ, וראה גמרא מכות כד ע"א), אבל בשבועת שקר או שוא כל המשפחה נפגעת ובהמשך הברייתא, אף כל העולם כולו. </w:t>
      </w:r>
    </w:p>
  </w:footnote>
  <w:footnote w:id="4">
    <w:p w:rsidR="004A5CA7" w:rsidRDefault="004A5CA7" w:rsidP="00183602">
      <w:pPr>
        <w:pStyle w:val="a3"/>
        <w:rPr>
          <w:rFonts w:hint="cs"/>
        </w:rPr>
      </w:pPr>
      <w:r>
        <w:rPr>
          <w:rStyle w:val="a5"/>
        </w:rPr>
        <w:footnoteRef/>
      </w:r>
      <w:r>
        <w:rPr>
          <w:rtl/>
        </w:rPr>
        <w:t xml:space="preserve"> </w:t>
      </w:r>
      <w:r>
        <w:rPr>
          <w:rFonts w:hint="cs"/>
          <w:rtl/>
        </w:rPr>
        <w:t>אז מה המיוחד בשבועה דווקא? הרי בכל המצוות, אנשים מכשילים זה את זה ונכשלים איש ברעהו.</w:t>
      </w:r>
    </w:p>
  </w:footnote>
  <w:footnote w:id="5">
    <w:p w:rsidR="004A5CA7" w:rsidRDefault="004A5CA7" w:rsidP="00183602">
      <w:pPr>
        <w:pStyle w:val="a3"/>
        <w:rPr>
          <w:rFonts w:hint="cs"/>
          <w:rtl/>
        </w:rPr>
      </w:pPr>
      <w:r>
        <w:rPr>
          <w:rStyle w:val="a5"/>
        </w:rPr>
        <w:footnoteRef/>
      </w:r>
      <w:r>
        <w:rPr>
          <w:rtl/>
        </w:rPr>
        <w:t xml:space="preserve"> </w:t>
      </w:r>
      <w:r>
        <w:rPr>
          <w:rFonts w:hint="cs"/>
          <w:rtl/>
          <w:lang w:eastAsia="en-US"/>
        </w:rPr>
        <w:t>אנשים כושלים איש ברעהו ונענשים האחד בעוונות השני, כאשר היה בידם למחות ואולי אף למנוע מהזולת לחטוא ולקלקל. אבל היכן שלא היה בידם לפעול, אין הם נענשים. יש גבול לערבות ולאחריות ההדדית. בכך אנו מתחברים ישירות לדברינו</w:t>
      </w:r>
      <w:r>
        <w:rPr>
          <w:rFonts w:hint="cs"/>
          <w:rtl/>
        </w:rPr>
        <w:t xml:space="preserve"> </w:t>
      </w:r>
      <w:hyperlink r:id="rId2" w:history="1">
        <w:r w:rsidRPr="00201918">
          <w:rPr>
            <w:rStyle w:val="Hyperlink"/>
            <w:rFonts w:hint="cs"/>
            <w:rtl/>
          </w:rPr>
          <w:t>הוכח תוכיח את עמיתך</w:t>
        </w:r>
      </w:hyperlink>
      <w:r>
        <w:rPr>
          <w:rFonts w:hint="cs"/>
          <w:rtl/>
        </w:rPr>
        <w:t xml:space="preserve"> בפרשת קדושים</w:t>
      </w:r>
      <w:r>
        <w:rPr>
          <w:rFonts w:hint="cs"/>
          <w:rtl/>
          <w:lang w:eastAsia="en-US"/>
        </w:rPr>
        <w:t xml:space="preserve">, שם הארכנו לדון בגדרי מצוות התוכחה וגבולותיה ובמקרים בהם אין חובת תוכחה, כפי שמרומז בפסוק עצמו: </w:t>
      </w:r>
      <w:r>
        <w:rPr>
          <w:rFonts w:hint="cs"/>
          <w:rtl/>
        </w:rPr>
        <w:t>"</w:t>
      </w:r>
      <w:r w:rsidRPr="00D715EF">
        <w:rPr>
          <w:rFonts w:hint="eastAsia"/>
          <w:rtl/>
        </w:rPr>
        <w:t>לֹא</w:t>
      </w:r>
      <w:r w:rsidRPr="00D715EF">
        <w:rPr>
          <w:rtl/>
        </w:rPr>
        <w:t xml:space="preserve"> </w:t>
      </w:r>
      <w:r w:rsidRPr="00D715EF">
        <w:rPr>
          <w:rFonts w:hint="eastAsia"/>
          <w:rtl/>
        </w:rPr>
        <w:t>תִשְׂנָא</w:t>
      </w:r>
      <w:r w:rsidRPr="00D715EF">
        <w:rPr>
          <w:rtl/>
        </w:rPr>
        <w:t xml:space="preserve"> </w:t>
      </w:r>
      <w:r w:rsidRPr="00D715EF">
        <w:rPr>
          <w:rFonts w:hint="eastAsia"/>
          <w:rtl/>
        </w:rPr>
        <w:t>אֶת</w:t>
      </w:r>
      <w:r w:rsidRPr="00D715EF">
        <w:rPr>
          <w:rtl/>
        </w:rPr>
        <w:t xml:space="preserve"> </w:t>
      </w:r>
      <w:r w:rsidRPr="00D715EF">
        <w:rPr>
          <w:rFonts w:hint="eastAsia"/>
          <w:rtl/>
        </w:rPr>
        <w:t>אָחִיךָ</w:t>
      </w:r>
      <w:r w:rsidRPr="00D715EF">
        <w:rPr>
          <w:rtl/>
        </w:rPr>
        <w:t xml:space="preserve"> </w:t>
      </w:r>
      <w:r w:rsidRPr="00D715EF">
        <w:rPr>
          <w:rFonts w:hint="eastAsia"/>
          <w:rtl/>
        </w:rPr>
        <w:t>בִּלְבָבֶךָ</w:t>
      </w:r>
      <w:r w:rsidRPr="00D715EF">
        <w:rPr>
          <w:rtl/>
        </w:rPr>
        <w:t xml:space="preserve"> </w:t>
      </w:r>
      <w:r w:rsidRPr="00D715EF">
        <w:rPr>
          <w:rFonts w:hint="eastAsia"/>
          <w:rtl/>
        </w:rPr>
        <w:t>הוֹכֵחַ</w:t>
      </w:r>
      <w:r w:rsidRPr="00D715EF">
        <w:rPr>
          <w:rtl/>
        </w:rPr>
        <w:t xml:space="preserve"> </w:t>
      </w:r>
      <w:r w:rsidRPr="00D715EF">
        <w:rPr>
          <w:rFonts w:hint="eastAsia"/>
          <w:rtl/>
        </w:rPr>
        <w:t>תּוֹכִיחַ</w:t>
      </w:r>
      <w:r w:rsidRPr="00D715EF">
        <w:rPr>
          <w:rtl/>
        </w:rPr>
        <w:t xml:space="preserve"> </w:t>
      </w:r>
      <w:r w:rsidRPr="00D715EF">
        <w:rPr>
          <w:rFonts w:hint="eastAsia"/>
          <w:rtl/>
        </w:rPr>
        <w:t>אֶת</w:t>
      </w:r>
      <w:r w:rsidRPr="00D715EF">
        <w:rPr>
          <w:rtl/>
        </w:rPr>
        <w:t xml:space="preserve"> </w:t>
      </w:r>
      <w:r w:rsidRPr="00D715EF">
        <w:rPr>
          <w:rFonts w:hint="eastAsia"/>
          <w:rtl/>
        </w:rPr>
        <w:t>עֲמִיתֶךָ</w:t>
      </w:r>
      <w:r w:rsidRPr="00D715EF">
        <w:rPr>
          <w:rtl/>
        </w:rPr>
        <w:t xml:space="preserve"> </w:t>
      </w:r>
      <w:r w:rsidRPr="00D715EF">
        <w:rPr>
          <w:rFonts w:hint="eastAsia"/>
          <w:rtl/>
        </w:rPr>
        <w:t>וְלֹא</w:t>
      </w:r>
      <w:r w:rsidRPr="00D715EF">
        <w:rPr>
          <w:rtl/>
        </w:rPr>
        <w:t xml:space="preserve"> </w:t>
      </w:r>
      <w:r w:rsidRPr="00D715EF">
        <w:rPr>
          <w:rFonts w:hint="eastAsia"/>
          <w:rtl/>
        </w:rPr>
        <w:t>תִשָּׂא</w:t>
      </w:r>
      <w:r w:rsidRPr="00D715EF">
        <w:rPr>
          <w:rtl/>
        </w:rPr>
        <w:t xml:space="preserve"> </w:t>
      </w:r>
      <w:r w:rsidRPr="00D715EF">
        <w:rPr>
          <w:rFonts w:hint="eastAsia"/>
          <w:rtl/>
        </w:rPr>
        <w:t>עָלָיו</w:t>
      </w:r>
      <w:r w:rsidRPr="00D715EF">
        <w:rPr>
          <w:rtl/>
        </w:rPr>
        <w:t xml:space="preserve"> </w:t>
      </w:r>
      <w:r w:rsidRPr="00D715EF">
        <w:rPr>
          <w:rFonts w:hint="eastAsia"/>
          <w:rtl/>
        </w:rPr>
        <w:t>חֵטְא</w:t>
      </w:r>
      <w:r w:rsidRPr="00D715EF">
        <w:rPr>
          <w:rFonts w:hint="cs"/>
          <w:rtl/>
        </w:rPr>
        <w:t>"</w:t>
      </w:r>
      <w:r w:rsidRPr="00DC59B9">
        <w:rPr>
          <w:rFonts w:cs="David" w:hint="cs"/>
          <w:b/>
          <w:bCs/>
          <w:szCs w:val="24"/>
          <w:rtl/>
        </w:rPr>
        <w:t xml:space="preserve"> </w:t>
      </w:r>
      <w:r w:rsidRPr="00DC59B9">
        <w:rPr>
          <w:rtl/>
        </w:rPr>
        <w:t xml:space="preserve">(ויקרא יט </w:t>
      </w:r>
      <w:r w:rsidRPr="00DC59B9">
        <w:rPr>
          <w:rFonts w:hint="cs"/>
          <w:rtl/>
        </w:rPr>
        <w:t>יז</w:t>
      </w:r>
      <w:r w:rsidRPr="00DC59B9">
        <w:rPr>
          <w:rtl/>
        </w:rPr>
        <w:t>)</w:t>
      </w:r>
      <w:r>
        <w:rPr>
          <w:rFonts w:hint="cs"/>
          <w:rtl/>
        </w:rPr>
        <w:t xml:space="preserve">. שם גם הבאנו </w:t>
      </w:r>
      <w:r>
        <w:rPr>
          <w:rFonts w:hint="cs"/>
          <w:rtl/>
          <w:lang w:eastAsia="en-US"/>
        </w:rPr>
        <w:t xml:space="preserve">את הגמרא במסכת </w:t>
      </w:r>
      <w:r w:rsidRPr="00DC59B9">
        <w:rPr>
          <w:rFonts w:hint="eastAsia"/>
          <w:rtl/>
          <w:lang w:eastAsia="en-US"/>
        </w:rPr>
        <w:t>שבת</w:t>
      </w:r>
      <w:r w:rsidRPr="00DC59B9">
        <w:rPr>
          <w:rtl/>
          <w:lang w:eastAsia="en-US"/>
        </w:rPr>
        <w:t xml:space="preserve"> </w:t>
      </w:r>
      <w:r>
        <w:rPr>
          <w:rFonts w:hint="cs"/>
          <w:rtl/>
          <w:lang w:eastAsia="en-US"/>
        </w:rPr>
        <w:t>דפים נד-נה הקובעת: "</w:t>
      </w:r>
      <w:r w:rsidRPr="00DC59B9">
        <w:rPr>
          <w:rFonts w:hint="eastAsia"/>
          <w:rtl/>
          <w:lang w:eastAsia="en-US"/>
        </w:rPr>
        <w:t>כל</w:t>
      </w:r>
      <w:r w:rsidRPr="00DC59B9">
        <w:rPr>
          <w:rtl/>
          <w:lang w:eastAsia="en-US"/>
        </w:rPr>
        <w:t xml:space="preserve"> </w:t>
      </w:r>
      <w:r w:rsidRPr="00DC59B9">
        <w:rPr>
          <w:rFonts w:hint="eastAsia"/>
          <w:rtl/>
          <w:lang w:eastAsia="en-US"/>
        </w:rPr>
        <w:t>מי</w:t>
      </w:r>
      <w:r w:rsidRPr="00DC59B9">
        <w:rPr>
          <w:rtl/>
          <w:lang w:eastAsia="en-US"/>
        </w:rPr>
        <w:t xml:space="preserve"> </w:t>
      </w:r>
      <w:r w:rsidRPr="00DC59B9">
        <w:rPr>
          <w:rFonts w:hint="eastAsia"/>
          <w:rtl/>
          <w:lang w:eastAsia="en-US"/>
        </w:rPr>
        <w:t>שאפשר</w:t>
      </w:r>
      <w:r w:rsidRPr="00DC59B9">
        <w:rPr>
          <w:rtl/>
          <w:lang w:eastAsia="en-US"/>
        </w:rPr>
        <w:t xml:space="preserve"> </w:t>
      </w:r>
      <w:r w:rsidRPr="00DC59B9">
        <w:rPr>
          <w:rFonts w:hint="eastAsia"/>
          <w:rtl/>
          <w:lang w:eastAsia="en-US"/>
        </w:rPr>
        <w:t>ל</w:t>
      </w:r>
      <w:r>
        <w:rPr>
          <w:rFonts w:hint="eastAsia"/>
          <w:rtl/>
          <w:lang w:eastAsia="en-US"/>
        </w:rPr>
        <w:t>ְ</w:t>
      </w:r>
      <w:r w:rsidRPr="00DC59B9">
        <w:rPr>
          <w:rFonts w:hint="eastAsia"/>
          <w:rtl/>
          <w:lang w:eastAsia="en-US"/>
        </w:rPr>
        <w:t>מ</w:t>
      </w:r>
      <w:r>
        <w:rPr>
          <w:rFonts w:hint="eastAsia"/>
          <w:rtl/>
          <w:lang w:eastAsia="en-US"/>
        </w:rPr>
        <w:t>ַ</w:t>
      </w:r>
      <w:r w:rsidRPr="00DC59B9">
        <w:rPr>
          <w:rFonts w:hint="eastAsia"/>
          <w:rtl/>
          <w:lang w:eastAsia="en-US"/>
        </w:rPr>
        <w:t>חו</w:t>
      </w:r>
      <w:r>
        <w:rPr>
          <w:rFonts w:hint="eastAsia"/>
          <w:rtl/>
          <w:lang w:eastAsia="en-US"/>
        </w:rPr>
        <w:t>ֹ</w:t>
      </w:r>
      <w:r w:rsidRPr="00DC59B9">
        <w:rPr>
          <w:rFonts w:hint="eastAsia"/>
          <w:rtl/>
          <w:lang w:eastAsia="en-US"/>
        </w:rPr>
        <w:t>ת</w:t>
      </w:r>
      <w:r w:rsidRPr="00DC59B9">
        <w:rPr>
          <w:rtl/>
          <w:lang w:eastAsia="en-US"/>
        </w:rPr>
        <w:t xml:space="preserve"> </w:t>
      </w:r>
      <w:r w:rsidRPr="00DC59B9">
        <w:rPr>
          <w:rFonts w:hint="eastAsia"/>
          <w:rtl/>
          <w:lang w:eastAsia="en-US"/>
        </w:rPr>
        <w:t>לאנשי</w:t>
      </w:r>
      <w:r w:rsidRPr="00DC59B9">
        <w:rPr>
          <w:rtl/>
          <w:lang w:eastAsia="en-US"/>
        </w:rPr>
        <w:t xml:space="preserve"> </w:t>
      </w:r>
      <w:r w:rsidRPr="00DC59B9">
        <w:rPr>
          <w:rFonts w:hint="eastAsia"/>
          <w:rtl/>
          <w:lang w:eastAsia="en-US"/>
        </w:rPr>
        <w:t>ביתו</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מיחה</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אנשי</w:t>
      </w:r>
      <w:r w:rsidRPr="00DC59B9">
        <w:rPr>
          <w:rtl/>
          <w:lang w:eastAsia="en-US"/>
        </w:rPr>
        <w:t xml:space="preserve"> </w:t>
      </w:r>
      <w:r w:rsidRPr="00DC59B9">
        <w:rPr>
          <w:rFonts w:hint="eastAsia"/>
          <w:rtl/>
          <w:lang w:eastAsia="en-US"/>
        </w:rPr>
        <w:t>ביתו</w:t>
      </w:r>
      <w:r w:rsidRPr="00DC59B9">
        <w:rPr>
          <w:rtl/>
          <w:lang w:eastAsia="en-US"/>
        </w:rPr>
        <w:t xml:space="preserve">, </w:t>
      </w:r>
      <w:r w:rsidRPr="00DC59B9">
        <w:rPr>
          <w:rFonts w:hint="eastAsia"/>
          <w:rtl/>
          <w:lang w:eastAsia="en-US"/>
        </w:rPr>
        <w:t>באנשי</w:t>
      </w:r>
      <w:r w:rsidRPr="00DC59B9">
        <w:rPr>
          <w:rtl/>
          <w:lang w:eastAsia="en-US"/>
        </w:rPr>
        <w:t xml:space="preserve"> </w:t>
      </w:r>
      <w:r w:rsidRPr="00DC59B9">
        <w:rPr>
          <w:rFonts w:hint="eastAsia"/>
          <w:rtl/>
          <w:lang w:eastAsia="en-US"/>
        </w:rPr>
        <w:t>עירו</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אנשי</w:t>
      </w:r>
      <w:r w:rsidRPr="00DC59B9">
        <w:rPr>
          <w:rtl/>
          <w:lang w:eastAsia="en-US"/>
        </w:rPr>
        <w:t xml:space="preserve"> </w:t>
      </w:r>
      <w:r w:rsidRPr="00DC59B9">
        <w:rPr>
          <w:rFonts w:hint="eastAsia"/>
          <w:rtl/>
          <w:lang w:eastAsia="en-US"/>
        </w:rPr>
        <w:t>עירו</w:t>
      </w:r>
      <w:r w:rsidRPr="00DC59B9">
        <w:rPr>
          <w:rtl/>
          <w:lang w:eastAsia="en-US"/>
        </w:rPr>
        <w:t xml:space="preserve">, </w:t>
      </w:r>
      <w:r w:rsidRPr="00DC59B9">
        <w:rPr>
          <w:rFonts w:hint="eastAsia"/>
          <w:rtl/>
          <w:lang w:eastAsia="en-US"/>
        </w:rPr>
        <w:t>בכל</w:t>
      </w:r>
      <w:r w:rsidRPr="00DC59B9">
        <w:rPr>
          <w:rtl/>
          <w:lang w:eastAsia="en-US"/>
        </w:rPr>
        <w:t xml:space="preserve"> </w:t>
      </w:r>
      <w:r w:rsidRPr="00DC59B9">
        <w:rPr>
          <w:rFonts w:hint="eastAsia"/>
          <w:rtl/>
          <w:lang w:eastAsia="en-US"/>
        </w:rPr>
        <w:t>העולם</w:t>
      </w:r>
      <w:r w:rsidRPr="00DC59B9">
        <w:rPr>
          <w:rtl/>
          <w:lang w:eastAsia="en-US"/>
        </w:rPr>
        <w:t xml:space="preserve"> </w:t>
      </w:r>
      <w:r w:rsidRPr="00DC59B9">
        <w:rPr>
          <w:rFonts w:hint="eastAsia"/>
          <w:rtl/>
          <w:lang w:eastAsia="en-US"/>
        </w:rPr>
        <w:t>כולו</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כל</w:t>
      </w:r>
      <w:r w:rsidRPr="00DC59B9">
        <w:rPr>
          <w:rtl/>
          <w:lang w:eastAsia="en-US"/>
        </w:rPr>
        <w:t xml:space="preserve"> </w:t>
      </w:r>
      <w:r w:rsidRPr="00DC59B9">
        <w:rPr>
          <w:rFonts w:hint="eastAsia"/>
          <w:rtl/>
          <w:lang w:eastAsia="en-US"/>
        </w:rPr>
        <w:t>העולם</w:t>
      </w:r>
      <w:r w:rsidRPr="00DC59B9">
        <w:rPr>
          <w:rtl/>
          <w:lang w:eastAsia="en-US"/>
        </w:rPr>
        <w:t xml:space="preserve"> </w:t>
      </w:r>
      <w:r w:rsidRPr="00DC59B9">
        <w:rPr>
          <w:rFonts w:hint="eastAsia"/>
          <w:rtl/>
          <w:lang w:eastAsia="en-US"/>
        </w:rPr>
        <w:t>כולו</w:t>
      </w:r>
      <w:r>
        <w:rPr>
          <w:rFonts w:hint="cs"/>
          <w:rtl/>
          <w:lang w:eastAsia="en-US"/>
        </w:rPr>
        <w:t xml:space="preserve">", ומסתיימת </w:t>
      </w:r>
      <w:r w:rsidR="00183602">
        <w:rPr>
          <w:rFonts w:hint="cs"/>
          <w:rtl/>
          <w:lang w:eastAsia="en-US"/>
        </w:rPr>
        <w:t xml:space="preserve">הגמרא שם </w:t>
      </w:r>
      <w:r>
        <w:rPr>
          <w:rFonts w:hint="cs"/>
          <w:rtl/>
          <w:lang w:eastAsia="en-US"/>
        </w:rPr>
        <w:t xml:space="preserve">בקטרוג מידת הדין אשר הצליחה לשנות את המידה הטובה לרעה. </w:t>
      </w:r>
      <w:r w:rsidR="00183602">
        <w:rPr>
          <w:rFonts w:hint="cs"/>
          <w:rtl/>
          <w:lang w:eastAsia="en-US"/>
        </w:rPr>
        <w:t xml:space="preserve">אך </w:t>
      </w:r>
      <w:r>
        <w:rPr>
          <w:rFonts w:hint="cs"/>
          <w:rtl/>
          <w:lang w:eastAsia="en-US"/>
        </w:rPr>
        <w:t>כאן, הסיום הוא חיובי יותר. יש גבול לערבות ולאחריות ההדדית</w:t>
      </w:r>
      <w:r w:rsidRPr="00DC59B9">
        <w:rPr>
          <w:rtl/>
          <w:lang w:eastAsia="en-US"/>
        </w:rPr>
        <w:t>.</w:t>
      </w:r>
      <w:r>
        <w:rPr>
          <w:rFonts w:hint="cs"/>
          <w:rtl/>
        </w:rPr>
        <w:t xml:space="preserve"> זו התוספת החשובה של הגמרא על דברי הספרא.</w:t>
      </w:r>
    </w:p>
  </w:footnote>
  <w:footnote w:id="6">
    <w:p w:rsidR="004A5CA7" w:rsidRDefault="004A5CA7" w:rsidP="00183602">
      <w:pPr>
        <w:pStyle w:val="a3"/>
        <w:rPr>
          <w:rFonts w:hint="cs"/>
          <w:rtl/>
        </w:rPr>
      </w:pPr>
      <w:r>
        <w:rPr>
          <w:rStyle w:val="a5"/>
        </w:rPr>
        <w:footnoteRef/>
      </w:r>
      <w:r>
        <w:rPr>
          <w:rtl/>
        </w:rPr>
        <w:t xml:space="preserve"> </w:t>
      </w:r>
      <w:r>
        <w:rPr>
          <w:rFonts w:hint="cs"/>
          <w:rtl/>
          <w:lang w:eastAsia="en-US"/>
        </w:rPr>
        <w:t>הדגש הוא על אחריות ההנהגה - "הגדולים" שמוזהרים על "הקטנים". כך גם דברי המאירי המובאים בסמוך, שעיקר הציווי הוא על הדיינים, החכמים והמנהיגים. כל זה מביא אותנו להציע פתרון אחר לשאלת הגמרא במסכת שבועות הנ"ל (מדוע רק בשבועה כל העולם נענש, והרי בכל המצוות כל העולם נענש</w:t>
      </w:r>
      <w:r w:rsidR="00183602">
        <w:rPr>
          <w:rFonts w:hint="cs"/>
          <w:rtl/>
          <w:lang w:eastAsia="en-US"/>
        </w:rPr>
        <w:t>!</w:t>
      </w:r>
      <w:r>
        <w:rPr>
          <w:rFonts w:hint="cs"/>
          <w:rtl/>
          <w:lang w:eastAsia="en-US"/>
        </w:rPr>
        <w:t>). נכון שהכלל כל ישראל ערבים זה בזה נלמד מהפסוק "וכשלו איש באחיו", על דרך השלילה והכישלון, אך זה לעניין הערבות החברתית והמסגרת המדינית. עונש על הציבור (משפחה) בגין מעשה היחיד הוא עניין אחד ושייך לגדרי שכר ועונש. כל ישראל ערבים זה בזה הוא הנושא של התפוררות המסגרת החברתית והמדינית ולא עונש בגין קיום מצווה או עברה מסוימת (חמורות ככל שתהיינה). בשבועה, יש אכן חומרה יתירה משאר כל המצוות. בשאר המצוות, אין עצם החטא משית עונש סביבתי מדין שמים, אלא גורם להתרופפות הערבות ההדדית והמסגרת המאפשרת חיים מסודרים בארץ. נזכור היכן כתוב הפסוק שלנו! בברכה ובתוכחה של פרשתנו הקשורה לישיבת העם בארצו!</w:t>
      </w:r>
    </w:p>
  </w:footnote>
  <w:footnote w:id="7">
    <w:p w:rsidR="004A5CA7" w:rsidRDefault="004A5CA7">
      <w:pPr>
        <w:pStyle w:val="a3"/>
        <w:rPr>
          <w:rFonts w:hint="cs"/>
        </w:rPr>
      </w:pPr>
      <w:r>
        <w:rPr>
          <w:rStyle w:val="a5"/>
        </w:rPr>
        <w:footnoteRef/>
      </w:r>
      <w:r>
        <w:rPr>
          <w:rtl/>
        </w:rPr>
        <w:t xml:space="preserve"> </w:t>
      </w:r>
      <w:r>
        <w:rPr>
          <w:rFonts w:hint="cs"/>
          <w:rtl/>
        </w:rPr>
        <w:t>אין הם יכולים להצטדק ולהסתפק בכך שהם מתמקדים רק בגלוי ובנראה ואינם בודקים בנסתרות.</w:t>
      </w:r>
    </w:p>
  </w:footnote>
  <w:footnote w:id="8">
    <w:p w:rsidR="004A5CA7" w:rsidRDefault="004A5CA7" w:rsidP="0077608A">
      <w:pPr>
        <w:pStyle w:val="a3"/>
        <w:rPr>
          <w:rFonts w:hint="cs"/>
          <w:rtl/>
        </w:rPr>
      </w:pPr>
      <w:r>
        <w:rPr>
          <w:rStyle w:val="a5"/>
        </w:rPr>
        <w:footnoteRef/>
      </w:r>
      <w:r>
        <w:rPr>
          <w:rtl/>
        </w:rPr>
        <w:t xml:space="preserve"> </w:t>
      </w:r>
      <w:r>
        <w:rPr>
          <w:rFonts w:hint="cs"/>
          <w:rtl/>
          <w:lang w:eastAsia="en-US"/>
        </w:rPr>
        <w:t xml:space="preserve">דברי המאירי האלה מחזקים כאמור את הצעתנו בהערה הקודמת לתירוץ קושיית הגמרא במסכת שבועות, שיש כאן עניין של לכידות חברתית ואחריות ההנהגה ולא בגדרי שכר ועונש. דברים אלה גם מקשרים את הכלל "כל ישראל ערבים זה בזה" למעמד השבעת העם בהר גריזים והר עיבל שמשה מצווה (דברים יא כט, כז יב) ויהושע מקיים בכניסתו לארץ (יהושע ח לג). </w:t>
      </w:r>
      <w:r w:rsidR="0077608A">
        <w:rPr>
          <w:rFonts w:hint="cs"/>
          <w:rtl/>
          <w:lang w:eastAsia="en-US"/>
        </w:rPr>
        <w:t xml:space="preserve">(ראה דברינו </w:t>
      </w:r>
      <w:hyperlink r:id="rId3" w:history="1">
        <w:r w:rsidR="0077608A" w:rsidRPr="0077608A">
          <w:rPr>
            <w:rStyle w:val="Hyperlink"/>
            <w:rFonts w:hint="cs"/>
            <w:rtl/>
            <w:lang w:eastAsia="en-US"/>
          </w:rPr>
          <w:t>ברית הר גריזים והר עיבל</w:t>
        </w:r>
      </w:hyperlink>
      <w:r w:rsidR="0077608A">
        <w:rPr>
          <w:rFonts w:hint="cs"/>
          <w:rtl/>
          <w:lang w:eastAsia="en-US"/>
        </w:rPr>
        <w:t xml:space="preserve"> בפרשת כי תבוא). </w:t>
      </w:r>
      <w:r>
        <w:rPr>
          <w:rFonts w:hint="cs"/>
          <w:rtl/>
          <w:lang w:eastAsia="en-US"/>
        </w:rPr>
        <w:t>מש</w:t>
      </w:r>
      <w:r w:rsidR="0077608A">
        <w:rPr>
          <w:rFonts w:hint="cs"/>
          <w:rtl/>
          <w:lang w:eastAsia="en-US"/>
        </w:rPr>
        <w:t>ם</w:t>
      </w:r>
      <w:r>
        <w:rPr>
          <w:rFonts w:hint="cs"/>
          <w:rtl/>
          <w:lang w:eastAsia="en-US"/>
        </w:rPr>
        <w:t xml:space="preserve"> גם הקשר לפסוק בדברים כט כח: "</w:t>
      </w:r>
      <w:r>
        <w:rPr>
          <w:rtl/>
          <w:lang w:eastAsia="en-US"/>
        </w:rPr>
        <w:t>הַנִּסְתָּרֹת לַ</w:t>
      </w:r>
      <w:r>
        <w:rPr>
          <w:rFonts w:hint="cs"/>
          <w:rtl/>
          <w:lang w:eastAsia="en-US"/>
        </w:rPr>
        <w:t>ה'</w:t>
      </w:r>
      <w:r>
        <w:rPr>
          <w:rtl/>
          <w:lang w:eastAsia="en-US"/>
        </w:rPr>
        <w:t xml:space="preserve"> אֱלֹהֵינוּ וְהַנִּגְלֹת לָנוּ וּלְבָנֵינוּ עַד עוֹלָם לַעֲשׂוֹת אֶת כָּל דִּבְרֵי הַתּוֹרָה הַזֹּאת</w:t>
      </w:r>
      <w:r>
        <w:rPr>
          <w:rFonts w:hint="cs"/>
          <w:rtl/>
          <w:lang w:eastAsia="en-US"/>
        </w:rPr>
        <w:t xml:space="preserve">", עליו הרחבנו בדברינו </w:t>
      </w:r>
      <w:hyperlink r:id="rId4" w:history="1">
        <w:r w:rsidRPr="00B10293">
          <w:rPr>
            <w:rStyle w:val="Hyperlink"/>
            <w:rFonts w:hint="cs"/>
            <w:rtl/>
            <w:lang w:eastAsia="en-US"/>
          </w:rPr>
          <w:t>הנסתרות לה' אלהינו והנגלות לנו ולבנינו</w:t>
        </w:r>
      </w:hyperlink>
      <w:r>
        <w:rPr>
          <w:rFonts w:hint="cs"/>
          <w:rtl/>
          <w:lang w:eastAsia="en-US"/>
        </w:rPr>
        <w:t xml:space="preserve"> בפרשת נצבים. ראה בפרט שם מחלוקת ר' יהודה ור' נחמיה בגמרא סנהדרין מג ע"ב (וכאן משמע לכאורה שהמאירי נוקט כשיטת ר' יהודה שחייבים גם על הנסתרות). למרות שאצל חז"ל אין קישור ישיר בין מעמד הר גריזים ונושא הערבות ההדדית על הנסתרות והנגלות עם האמירה "כל ישראל ערבים זה בזה", ראשונים ומפרשים רבים, דוגמת המאירי הנ"ל, עושים קישור זה ואף מציינים שערבות זו היא רק (בעיקר) כאשר עם ישראל יושב כעם עצמאי, ריבון ומאוחד בארצו. (קשה אולי לדרוש ערבות כזו מפזורה מפוזרת בעולם הגם שזו התקיימה לעתים קרובות</w:t>
      </w:r>
      <w:r w:rsidR="0077608A">
        <w:rPr>
          <w:rFonts w:hint="cs"/>
          <w:rtl/>
          <w:lang w:eastAsia="en-US"/>
        </w:rPr>
        <w:t xml:space="preserve"> כגון בפידיון שבויים או קליטת יהודים שגורשו</w:t>
      </w:r>
      <w:r>
        <w:rPr>
          <w:rFonts w:hint="cs"/>
          <w:rtl/>
          <w:lang w:eastAsia="en-US"/>
        </w:rPr>
        <w:t xml:space="preserve">). בנוסף למאירי, ראה למשל פירוש </w:t>
      </w:r>
      <w:r>
        <w:rPr>
          <w:rtl/>
          <w:lang w:eastAsia="en-US"/>
        </w:rPr>
        <w:t xml:space="preserve">כלי יקר </w:t>
      </w:r>
      <w:r>
        <w:rPr>
          <w:rFonts w:hint="cs"/>
          <w:rtl/>
          <w:lang w:eastAsia="en-US"/>
        </w:rPr>
        <w:t>ל</w:t>
      </w:r>
      <w:r>
        <w:rPr>
          <w:rtl/>
          <w:lang w:eastAsia="en-US"/>
        </w:rPr>
        <w:t>דברים יא</w:t>
      </w:r>
      <w:r>
        <w:rPr>
          <w:rFonts w:hint="cs"/>
          <w:rtl/>
          <w:lang w:eastAsia="en-US"/>
        </w:rPr>
        <w:t xml:space="preserve"> כו: "</w:t>
      </w:r>
      <w:r>
        <w:rPr>
          <w:rtl/>
          <w:lang w:eastAsia="en-US"/>
        </w:rPr>
        <w:t>והזכיר ענין זה בפרשה זו המדברת מענין הר גריזים והר עיבל</w:t>
      </w:r>
      <w:r>
        <w:rPr>
          <w:rFonts w:hint="cs"/>
          <w:rtl/>
          <w:lang w:eastAsia="en-US"/>
        </w:rPr>
        <w:t>,</w:t>
      </w:r>
      <w:r>
        <w:rPr>
          <w:rtl/>
          <w:lang w:eastAsia="en-US"/>
        </w:rPr>
        <w:t xml:space="preserve"> כי שם נעשו כל ישראל ערבים זה בעד זה ומצד הערבות רבים נתפסים בעוון היחיד</w:t>
      </w:r>
      <w:r>
        <w:rPr>
          <w:rFonts w:hint="cs"/>
          <w:rtl/>
          <w:lang w:eastAsia="en-US"/>
        </w:rPr>
        <w:t>"</w:t>
      </w:r>
      <w:r>
        <w:rPr>
          <w:rtl/>
          <w:lang w:eastAsia="en-US"/>
        </w:rPr>
        <w:t xml:space="preserve">. </w:t>
      </w:r>
      <w:r>
        <w:rPr>
          <w:rFonts w:hint="cs"/>
          <w:rtl/>
          <w:lang w:eastAsia="en-US"/>
        </w:rPr>
        <w:t xml:space="preserve">בכך מתקשר הנושא חזרה לפרשתנו ולספרא בו פתחנו. כאשר הערבות ההדדית איננה מתקיימת, ועם ישראל כבר לא ערב זה לזה או זה בזה </w:t>
      </w:r>
      <w:r>
        <w:rPr>
          <w:rtl/>
          <w:lang w:eastAsia="en-US"/>
        </w:rPr>
        <w:t>–</w:t>
      </w:r>
      <w:r>
        <w:rPr>
          <w:rFonts w:hint="cs"/>
          <w:rtl/>
          <w:lang w:eastAsia="en-US"/>
        </w:rPr>
        <w:t xml:space="preserve"> אין טעם לקיומו כריבון בארצו. </w:t>
      </w:r>
      <w:r w:rsidR="0077608A">
        <w:rPr>
          <w:rFonts w:hint="cs"/>
          <w:rtl/>
          <w:lang w:eastAsia="en-US"/>
        </w:rPr>
        <w:t xml:space="preserve">אין זה </w:t>
      </w:r>
      <w:r>
        <w:rPr>
          <w:rFonts w:hint="cs"/>
          <w:rtl/>
          <w:lang w:eastAsia="en-US"/>
        </w:rPr>
        <w:t xml:space="preserve">עונש וגזירה משמים, </w:t>
      </w:r>
      <w:r w:rsidR="0077608A">
        <w:rPr>
          <w:rFonts w:hint="cs"/>
          <w:rtl/>
          <w:lang w:eastAsia="en-US"/>
        </w:rPr>
        <w:t xml:space="preserve">אלא </w:t>
      </w:r>
      <w:r>
        <w:rPr>
          <w:rFonts w:hint="cs"/>
          <w:rtl/>
          <w:lang w:eastAsia="en-US"/>
        </w:rPr>
        <w:t>מציאות חברתית מדינית דתית פשוטה. לפיכך מחפש ספרא אסמכתא דווקא בפרשתנו, גם אם בפסוק בעל תוכן שלילי (</w:t>
      </w:r>
      <w:r w:rsidR="0077608A">
        <w:rPr>
          <w:rFonts w:hint="cs"/>
          <w:rtl/>
          <w:lang w:eastAsia="en-US"/>
        </w:rPr>
        <w:t xml:space="preserve">וזה </w:t>
      </w:r>
      <w:r>
        <w:rPr>
          <w:rFonts w:hint="cs"/>
          <w:rtl/>
          <w:lang w:eastAsia="en-US"/>
        </w:rPr>
        <w:t xml:space="preserve">מענה חלקי לשאלה ששאלנו בהערה </w:t>
      </w:r>
      <w:r w:rsidR="00214387">
        <w:rPr>
          <w:rFonts w:hint="cs"/>
          <w:rtl/>
          <w:lang w:eastAsia="en-US"/>
        </w:rPr>
        <w:t>2</w:t>
      </w:r>
      <w:r>
        <w:rPr>
          <w:rFonts w:hint="cs"/>
          <w:rtl/>
          <w:lang w:eastAsia="en-US"/>
        </w:rPr>
        <w:t xml:space="preserve"> לעיל).</w:t>
      </w:r>
    </w:p>
  </w:footnote>
  <w:footnote w:id="9">
    <w:p w:rsidR="004A5CA7" w:rsidRDefault="004A5CA7" w:rsidP="0077608A">
      <w:pPr>
        <w:pStyle w:val="a3"/>
        <w:rPr>
          <w:rFonts w:hint="cs"/>
          <w:rtl/>
        </w:rPr>
      </w:pPr>
      <w:r>
        <w:rPr>
          <w:rStyle w:val="a5"/>
        </w:rPr>
        <w:footnoteRef/>
      </w:r>
      <w:r>
        <w:rPr>
          <w:rtl/>
        </w:rPr>
        <w:t xml:space="preserve"> </w:t>
      </w:r>
      <w:r>
        <w:rPr>
          <w:rFonts w:hint="cs"/>
          <w:rtl/>
          <w:lang w:eastAsia="en-US"/>
        </w:rPr>
        <w:t xml:space="preserve">רש"י זה הוא על הגמרא במסכת ראש השנה הדנה בנושא הוצאת אדם אחר ידי חובת מצוות תקיעת שופר ע"י התוקע. ראה במשנה: "מי שהיה </w:t>
      </w:r>
      <w:smartTag w:uri="urn:schemas-microsoft-com:office:smarttags" w:element="PersonName">
        <w:r>
          <w:rPr>
            <w:rFonts w:hint="cs"/>
            <w:rtl/>
            <w:lang w:eastAsia="en-US"/>
          </w:rPr>
          <w:t>עוב</w:t>
        </w:r>
      </w:smartTag>
      <w:r>
        <w:rPr>
          <w:rFonts w:hint="cs"/>
          <w:rtl/>
          <w:lang w:eastAsia="en-US"/>
        </w:rPr>
        <w:t xml:space="preserve">ר אחורי בית הכנסת או שהיה ביתו סמוך לבית הכנסת, ושמע קול שופר או מגילה, אם כיוון לבו </w:t>
      </w:r>
      <w:r>
        <w:rPr>
          <w:rtl/>
          <w:lang w:eastAsia="en-US"/>
        </w:rPr>
        <w:t>–</w:t>
      </w:r>
      <w:r>
        <w:rPr>
          <w:rFonts w:hint="cs"/>
          <w:rtl/>
          <w:lang w:eastAsia="en-US"/>
        </w:rPr>
        <w:t xml:space="preserve"> יצא ואם </w:t>
      </w:r>
      <w:smartTag w:uri="urn:schemas-microsoft-com:office:smarttags" w:element="PersonName">
        <w:smartTagPr>
          <w:attr w:name="ProductID" w:val="לאו – לא"/>
        </w:smartTagPr>
        <w:r>
          <w:rPr>
            <w:rFonts w:hint="cs"/>
            <w:rtl/>
            <w:lang w:eastAsia="en-US"/>
          </w:rPr>
          <w:t xml:space="preserve">לאו </w:t>
        </w:r>
        <w:r>
          <w:rPr>
            <w:rtl/>
            <w:lang w:eastAsia="en-US"/>
          </w:rPr>
          <w:t>–</w:t>
        </w:r>
        <w:r>
          <w:rPr>
            <w:rFonts w:hint="cs"/>
            <w:rtl/>
            <w:lang w:eastAsia="en-US"/>
          </w:rPr>
          <w:t xml:space="preserve"> לא</w:t>
        </w:r>
      </w:smartTag>
      <w:r>
        <w:rPr>
          <w:rFonts w:hint="cs"/>
          <w:rtl/>
          <w:lang w:eastAsia="en-US"/>
        </w:rPr>
        <w:t xml:space="preserve"> יצא" (פרק ג משנה ז). גמרא ומשנה אלה הם אחד המקורות המרכזיים לדין יציאת ידי חובה במצווה ע"י מישהו אחר</w:t>
      </w:r>
      <w:r w:rsidR="0077608A">
        <w:rPr>
          <w:rFonts w:hint="cs"/>
          <w:rtl/>
          <w:lang w:eastAsia="en-US"/>
        </w:rPr>
        <w:t xml:space="preserve">, </w:t>
      </w:r>
      <w:r>
        <w:rPr>
          <w:rFonts w:hint="cs"/>
          <w:rtl/>
          <w:lang w:eastAsia="en-US"/>
        </w:rPr>
        <w:t>כפי שאנו עושים למשל בכל קידוש בשבת</w:t>
      </w:r>
      <w:r w:rsidR="0077608A">
        <w:rPr>
          <w:rFonts w:hint="cs"/>
          <w:rtl/>
          <w:lang w:eastAsia="en-US"/>
        </w:rPr>
        <w:t xml:space="preserve">, </w:t>
      </w:r>
      <w:r>
        <w:rPr>
          <w:rFonts w:hint="cs"/>
          <w:rtl/>
          <w:lang w:eastAsia="en-US"/>
        </w:rPr>
        <w:t xml:space="preserve">אפילו אם מי שמוציא ידי חובה, כבר קיים את המצווה (וכל זה בברכות של מצוות, בברכות הנהנין הדין שונה). מהגמרא בסוכה לח ע"ב (וממקורות נוספים) אפשר להבין שדין זה יסודו בכלל: "שומע כעונה", היינו שהשמיעה הפאסיבית היא בעצם כאמירה. אבל רש"י מביא את האמירה שלנו "כל ישראל ערבים זה בזה" כנימוק של דין הוצאת אדם אחר ידי חובה ע"י זולתו ומשם התגלגל הנושא לבעלי התוספות, לפירוש רבינו ניסים על הרי"ף בגמרא ראש השנה שם ולספרות ראשונים וההלכה אשר האריכו לדון בגדרי ערבות זו. ואם לא טעינו, רש"י הוא המקור לכך. ביחס לגרים, אגב, </w:t>
      </w:r>
      <w:r w:rsidR="0077608A">
        <w:rPr>
          <w:rFonts w:hint="cs"/>
          <w:rtl/>
          <w:lang w:eastAsia="en-US"/>
        </w:rPr>
        <w:t>מביא ר</w:t>
      </w:r>
      <w:r>
        <w:rPr>
          <w:rFonts w:hint="cs"/>
          <w:rtl/>
          <w:lang w:eastAsia="en-US"/>
        </w:rPr>
        <w:t xml:space="preserve">ש"י </w:t>
      </w:r>
      <w:r w:rsidR="0077608A">
        <w:rPr>
          <w:rFonts w:hint="cs"/>
          <w:rtl/>
          <w:lang w:eastAsia="en-US"/>
        </w:rPr>
        <w:t>דעה (אבל דוחה אותה) שה</w:t>
      </w:r>
      <w:r w:rsidR="0077608A">
        <w:rPr>
          <w:rFonts w:hint="cs"/>
          <w:rtl/>
        </w:rPr>
        <w:t>כלל</w:t>
      </w:r>
      <w:r>
        <w:rPr>
          <w:rFonts w:hint="cs"/>
          <w:rtl/>
        </w:rPr>
        <w:t xml:space="preserve"> "כל ישראל ערבים זה לזה" </w:t>
      </w:r>
      <w:r w:rsidR="0077608A">
        <w:rPr>
          <w:rFonts w:hint="cs"/>
          <w:rtl/>
        </w:rPr>
        <w:t xml:space="preserve">משמש צידוק </w:t>
      </w:r>
      <w:r>
        <w:rPr>
          <w:rFonts w:hint="cs"/>
          <w:rtl/>
        </w:rPr>
        <w:t>להרחיק אותם ולא למהר לקבלם, שמא יקלקלו את הערבות הפנימית של עם ישראל. ראה דבריו ב</w:t>
      </w:r>
      <w:r>
        <w:rPr>
          <w:rtl/>
        </w:rPr>
        <w:t>מסכת נדה יג ע</w:t>
      </w:r>
      <w:r>
        <w:rPr>
          <w:rFonts w:hint="cs"/>
          <w:rtl/>
        </w:rPr>
        <w:t xml:space="preserve">"ב: " .... </w:t>
      </w:r>
      <w:r>
        <w:rPr>
          <w:rtl/>
        </w:rPr>
        <w:t>שקשים לישראל כספחת שאין בקיאים במצות ומביאין פורענות ועוד שמא למדים ישראל ממעשיהן מפי מורי הזקן</w:t>
      </w:r>
      <w:r>
        <w:rPr>
          <w:rFonts w:hint="cs"/>
          <w:rtl/>
        </w:rPr>
        <w:t>.</w:t>
      </w:r>
      <w:r>
        <w:rPr>
          <w:rtl/>
        </w:rPr>
        <w:t xml:space="preserve"> ויש אומר שכל ישראל ערבים זה בזה</w:t>
      </w:r>
      <w:r w:rsidR="0077608A">
        <w:rPr>
          <w:rFonts w:hint="cs"/>
          <w:rtl/>
        </w:rPr>
        <w:t>.</w:t>
      </w:r>
      <w:r>
        <w:rPr>
          <w:rtl/>
        </w:rPr>
        <w:t xml:space="preserve"> ולאו מילתא היא</w:t>
      </w:r>
      <w:r w:rsidR="0077608A">
        <w:rPr>
          <w:rFonts w:hint="cs"/>
          <w:rtl/>
        </w:rPr>
        <w:t>,</w:t>
      </w:r>
      <w:r>
        <w:rPr>
          <w:rtl/>
        </w:rPr>
        <w:t xml:space="preserve"> שלא נתערבו בשביל הגרים דאמרינן במס' סוטה</w:t>
      </w:r>
      <w:r>
        <w:rPr>
          <w:rFonts w:hint="cs"/>
          <w:rtl/>
        </w:rPr>
        <w:t>". רש"י מבין את האמירה "כל ישראל ערבים זה לזה" באופן מאד קונקרטי וממשי, עם השלכות הלכתיות וחברתיות ברורות</w:t>
      </w:r>
      <w:r w:rsidR="0077608A">
        <w:rPr>
          <w:rFonts w:hint="cs"/>
          <w:rtl/>
        </w:rPr>
        <w:t>, אבל גם שם לה גבולות</w:t>
      </w:r>
      <w:r>
        <w:rPr>
          <w:rFonts w:hint="cs"/>
          <w:rtl/>
        </w:rPr>
        <w:t xml:space="preserve">. </w:t>
      </w:r>
    </w:p>
  </w:footnote>
  <w:footnote w:id="10">
    <w:p w:rsidR="004A5CA7" w:rsidRPr="00C34E2C" w:rsidRDefault="004A5CA7" w:rsidP="00937470">
      <w:pPr>
        <w:pStyle w:val="a3"/>
        <w:rPr>
          <w:rtl/>
        </w:rPr>
      </w:pPr>
      <w:r>
        <w:rPr>
          <w:rStyle w:val="a5"/>
        </w:rPr>
        <w:footnoteRef/>
      </w:r>
      <w:r>
        <w:rPr>
          <w:rtl/>
        </w:rPr>
        <w:t xml:space="preserve"> </w:t>
      </w:r>
      <w:r w:rsidRPr="00C34E2C">
        <w:rPr>
          <w:rtl/>
        </w:rPr>
        <w:t>רבי בחיי בן אשר</w:t>
      </w:r>
      <w:r>
        <w:rPr>
          <w:rFonts w:hint="cs"/>
          <w:rtl/>
        </w:rPr>
        <w:t>, מ</w:t>
      </w:r>
      <w:r w:rsidRPr="00C34E2C">
        <w:rPr>
          <w:rtl/>
        </w:rPr>
        <w:t>משפחת הרבנים המפורסמת אבן חלווה (חלואה, חלוה</w:t>
      </w:r>
      <w:r>
        <w:rPr>
          <w:rFonts w:hint="cs"/>
          <w:rtl/>
        </w:rPr>
        <w:t xml:space="preserve">), </w:t>
      </w:r>
      <w:r w:rsidRPr="00C34E2C">
        <w:rPr>
          <w:rtl/>
        </w:rPr>
        <w:t xml:space="preserve">נולד </w:t>
      </w:r>
      <w:r>
        <w:rPr>
          <w:rFonts w:hint="cs"/>
          <w:rtl/>
        </w:rPr>
        <w:t xml:space="preserve">וחי </w:t>
      </w:r>
      <w:r w:rsidRPr="00C34E2C">
        <w:rPr>
          <w:rtl/>
        </w:rPr>
        <w:t xml:space="preserve">בספרד </w:t>
      </w:r>
      <w:r>
        <w:rPr>
          <w:rFonts w:hint="cs"/>
          <w:rtl/>
        </w:rPr>
        <w:t xml:space="preserve">1255-1340, היה תלמיד הרשב"א וידוע בפירושו לתורה </w:t>
      </w:r>
      <w:r w:rsidRPr="00C34E2C">
        <w:rPr>
          <w:rtl/>
        </w:rPr>
        <w:t>שכונה לימים 'מדרש רבנו בחיי'.</w:t>
      </w:r>
      <w:r>
        <w:rPr>
          <w:rFonts w:hint="cs"/>
          <w:rtl/>
        </w:rPr>
        <w:t xml:space="preserve"> </w:t>
      </w:r>
      <w:r w:rsidRPr="00C34E2C">
        <w:rPr>
          <w:rtl/>
        </w:rPr>
        <w:t xml:space="preserve">יש להבדיל אותו מרבנו בחיי </w:t>
      </w:r>
      <w:smartTag w:uri="urn:schemas-microsoft-com:office:smarttags" w:element="PersonName">
        <w:smartTagPr>
          <w:attr w:name="ProductID" w:val="בן יוסף"/>
        </w:smartTagPr>
        <w:r w:rsidRPr="00C34E2C">
          <w:rPr>
            <w:rtl/>
          </w:rPr>
          <w:t>בן יוסף</w:t>
        </w:r>
      </w:smartTag>
      <w:r w:rsidRPr="00C34E2C">
        <w:rPr>
          <w:rtl/>
        </w:rPr>
        <w:t xml:space="preserve"> אבן פקודה בעל 'חובות הלבבות', שקדם לו בכמאתיים שנה. </w:t>
      </w:r>
      <w:r>
        <w:rPr>
          <w:rFonts w:hint="cs"/>
          <w:rtl/>
        </w:rPr>
        <w:t>(מתוך פרויקט השו"ת של אונ' בר-אילן).</w:t>
      </w:r>
      <w:r w:rsidRPr="00C34E2C">
        <w:rPr>
          <w:rtl/>
        </w:rPr>
        <w:t xml:space="preserve"> </w:t>
      </w:r>
    </w:p>
  </w:footnote>
  <w:footnote w:id="11">
    <w:p w:rsidR="004A5CA7" w:rsidRDefault="004A5CA7">
      <w:pPr>
        <w:pStyle w:val="a3"/>
        <w:rPr>
          <w:rFonts w:hint="cs"/>
          <w:rtl/>
        </w:rPr>
      </w:pPr>
      <w:r>
        <w:rPr>
          <w:rStyle w:val="a5"/>
        </w:rPr>
        <w:footnoteRef/>
      </w:r>
      <w:r>
        <w:rPr>
          <w:rtl/>
        </w:rPr>
        <w:t xml:space="preserve"> </w:t>
      </w:r>
      <w:r>
        <w:rPr>
          <w:rFonts w:hint="cs"/>
          <w:rtl/>
        </w:rPr>
        <w:t xml:space="preserve">מיד בכניסתם לארץ כושלים </w:t>
      </w:r>
      <w:smartTag w:uri="urn:schemas-microsoft-com:office:smarttags" w:element="PersonName">
        <w:smartTagPr>
          <w:attr w:name="ProductID" w:val="בני ישראל"/>
        </w:smartTagPr>
        <w:r>
          <w:rPr>
            <w:rFonts w:hint="cs"/>
            <w:rtl/>
          </w:rPr>
          <w:t>בני ישראל</w:t>
        </w:r>
      </w:smartTag>
      <w:r>
        <w:rPr>
          <w:rFonts w:hint="cs"/>
          <w:rtl/>
        </w:rPr>
        <w:t xml:space="preserve"> ולא מקיימים את הערבות זה בזה, בפרשת עכן אשר לקח משללה של יריחו שהיה בחרם (יהושע פרק ז, ראה איך יהושע מזכיר זאת ל</w:t>
      </w:r>
      <w:smartTag w:uri="urn:schemas-microsoft-com:office:smarttags" w:element="PersonName">
        <w:smartTagPr>
          <w:attr w:name="ProductID" w:val="בני ישראל"/>
        </w:smartTagPr>
        <w:r>
          <w:rPr>
            <w:rFonts w:hint="cs"/>
            <w:rtl/>
          </w:rPr>
          <w:t>בני ישראל</w:t>
        </w:r>
      </w:smartTag>
      <w:r>
        <w:rPr>
          <w:rFonts w:hint="cs"/>
          <w:rtl/>
        </w:rPr>
        <w:t xml:space="preserve"> בנאום הפרידה שלו בפרק כב). וכבר הרחבנו בנושא זה בדברינו </w:t>
      </w:r>
      <w:hyperlink r:id="rId5" w:history="1">
        <w:r w:rsidRPr="004F7DA1">
          <w:rPr>
            <w:rStyle w:val="Hyperlink"/>
            <w:rFonts w:hint="cs"/>
            <w:rtl/>
          </w:rPr>
          <w:t>עכן בפרשת מסעי</w:t>
        </w:r>
      </w:hyperlink>
      <w:r>
        <w:rPr>
          <w:rFonts w:hint="cs"/>
          <w:rtl/>
        </w:rPr>
        <w:t>.</w:t>
      </w:r>
    </w:p>
  </w:footnote>
  <w:footnote w:id="12">
    <w:p w:rsidR="004A5CA7" w:rsidRDefault="004A5CA7" w:rsidP="0077608A">
      <w:pPr>
        <w:pStyle w:val="a3"/>
        <w:rPr>
          <w:rFonts w:hint="cs"/>
          <w:rtl/>
        </w:rPr>
      </w:pPr>
      <w:r>
        <w:rPr>
          <w:rStyle w:val="a5"/>
        </w:rPr>
        <w:footnoteRef/>
      </w:r>
      <w:r>
        <w:rPr>
          <w:rtl/>
        </w:rPr>
        <w:t xml:space="preserve"> </w:t>
      </w:r>
      <w:r>
        <w:rPr>
          <w:rFonts w:hint="cs"/>
          <w:rtl/>
          <w:lang w:eastAsia="en-US"/>
        </w:rPr>
        <w:t xml:space="preserve">הערבות ההדדית של עם ישראל מצטיירת כערימה של אגוזים שאם אתה מזיז אחד מהם מיד מתדרדרת הערימה כולה. ראה דברינו </w:t>
      </w:r>
      <w:hyperlink r:id="rId6" w:history="1">
        <w:r w:rsidR="002B5B33" w:rsidRPr="002B5B33">
          <w:rPr>
            <w:rStyle w:val="Hyperlink"/>
            <w:rFonts w:hint="cs"/>
            <w:rtl/>
            <w:lang w:eastAsia="en-US"/>
          </w:rPr>
          <w:t>אל גינת אגוז ירדתי</w:t>
        </w:r>
      </w:hyperlink>
      <w:r w:rsidR="002B5B33">
        <w:rPr>
          <w:rFonts w:hint="cs"/>
          <w:rtl/>
          <w:lang w:eastAsia="en-US"/>
        </w:rPr>
        <w:t xml:space="preserve"> </w:t>
      </w:r>
      <w:r>
        <w:rPr>
          <w:rFonts w:hint="cs"/>
          <w:rtl/>
          <w:lang w:eastAsia="en-US"/>
        </w:rPr>
        <w:t>בשיר השירים שם הרחבנו בכל הדימויים האחרים של עם ישראל לאגוז. ואת הפסוק "האיש אחד יחטא ועל כל העדה תקצוף"</w:t>
      </w:r>
      <w:r w:rsidR="002B5B33">
        <w:rPr>
          <w:rFonts w:hint="cs"/>
          <w:rtl/>
          <w:lang w:eastAsia="en-US"/>
        </w:rPr>
        <w:t>,</w:t>
      </w:r>
      <w:r>
        <w:rPr>
          <w:rFonts w:hint="cs"/>
          <w:rtl/>
          <w:lang w:eastAsia="en-US"/>
        </w:rPr>
        <w:t xml:space="preserve"> הלקוח ממחלוקת קרח ועדתו</w:t>
      </w:r>
      <w:r w:rsidR="002B5B33">
        <w:rPr>
          <w:rFonts w:hint="cs"/>
          <w:rtl/>
          <w:lang w:eastAsia="en-US"/>
        </w:rPr>
        <w:t>,</w:t>
      </w:r>
      <w:r>
        <w:rPr>
          <w:rFonts w:hint="cs"/>
          <w:rtl/>
          <w:lang w:eastAsia="en-US"/>
        </w:rPr>
        <w:t xml:space="preserve"> נראה להלן.</w:t>
      </w:r>
    </w:p>
  </w:footnote>
  <w:footnote w:id="13">
    <w:p w:rsidR="004A5CA7" w:rsidRDefault="004A5CA7" w:rsidP="00170354">
      <w:pPr>
        <w:pStyle w:val="a3"/>
        <w:rPr>
          <w:rFonts w:hint="cs"/>
          <w:rtl/>
        </w:rPr>
      </w:pPr>
      <w:r>
        <w:rPr>
          <w:rStyle w:val="a5"/>
        </w:rPr>
        <w:footnoteRef/>
      </w:r>
      <w:r>
        <w:rPr>
          <w:rtl/>
        </w:rPr>
        <w:t xml:space="preserve"> </w:t>
      </w:r>
      <w:r>
        <w:rPr>
          <w:rFonts w:hint="cs"/>
          <w:rtl/>
        </w:rPr>
        <w:t>ראה הפסוק המלא בירמיהו</w:t>
      </w:r>
      <w:r>
        <w:rPr>
          <w:rFonts w:hint="cs"/>
          <w:rtl/>
          <w:lang w:eastAsia="en-US"/>
        </w:rPr>
        <w:t xml:space="preserve"> שם: "</w:t>
      </w:r>
      <w:r>
        <w:rPr>
          <w:rFonts w:hint="eastAsia"/>
          <w:rtl/>
          <w:lang w:eastAsia="en-US"/>
        </w:rPr>
        <w:t>שֶׂה</w:t>
      </w:r>
      <w:r>
        <w:rPr>
          <w:rtl/>
          <w:lang w:eastAsia="en-US"/>
        </w:rPr>
        <w:t xml:space="preserve"> </w:t>
      </w:r>
      <w:r>
        <w:rPr>
          <w:rFonts w:hint="eastAsia"/>
          <w:rtl/>
          <w:lang w:eastAsia="en-US"/>
        </w:rPr>
        <w:t>פְזוּרָה</w:t>
      </w:r>
      <w:r>
        <w:rPr>
          <w:rtl/>
          <w:lang w:eastAsia="en-US"/>
        </w:rPr>
        <w:t xml:space="preserve"> </w:t>
      </w:r>
      <w:r>
        <w:rPr>
          <w:rFonts w:hint="eastAsia"/>
          <w:rtl/>
          <w:lang w:eastAsia="en-US"/>
        </w:rPr>
        <w:t>יִשְׂרָאֵל</w:t>
      </w:r>
      <w:r>
        <w:rPr>
          <w:rtl/>
          <w:lang w:eastAsia="en-US"/>
        </w:rPr>
        <w:t xml:space="preserve"> </w:t>
      </w:r>
      <w:r>
        <w:rPr>
          <w:rFonts w:hint="eastAsia"/>
          <w:rtl/>
          <w:lang w:eastAsia="en-US"/>
        </w:rPr>
        <w:t>אֲרָיוֹת</w:t>
      </w:r>
      <w:r>
        <w:rPr>
          <w:rtl/>
          <w:lang w:eastAsia="en-US"/>
        </w:rPr>
        <w:t xml:space="preserve"> </w:t>
      </w:r>
      <w:r>
        <w:rPr>
          <w:rFonts w:hint="eastAsia"/>
          <w:rtl/>
          <w:lang w:eastAsia="en-US"/>
        </w:rPr>
        <w:t>הִדִּיחוּ</w:t>
      </w:r>
      <w:r>
        <w:rPr>
          <w:rtl/>
          <w:lang w:eastAsia="en-US"/>
        </w:rPr>
        <w:t xml:space="preserve"> </w:t>
      </w:r>
      <w:r>
        <w:rPr>
          <w:rFonts w:hint="eastAsia"/>
          <w:rtl/>
          <w:lang w:eastAsia="en-US"/>
        </w:rPr>
        <w:t>הָרִאשׁוֹן</w:t>
      </w:r>
      <w:r>
        <w:rPr>
          <w:rtl/>
          <w:lang w:eastAsia="en-US"/>
        </w:rPr>
        <w:t xml:space="preserve"> </w:t>
      </w:r>
      <w:r>
        <w:rPr>
          <w:rFonts w:hint="eastAsia"/>
          <w:rtl/>
          <w:lang w:eastAsia="en-US"/>
        </w:rPr>
        <w:t>אֲכָלוֹ</w:t>
      </w:r>
      <w:r>
        <w:rPr>
          <w:rtl/>
          <w:lang w:eastAsia="en-US"/>
        </w:rPr>
        <w:t xml:space="preserve"> </w:t>
      </w:r>
      <w:r>
        <w:rPr>
          <w:rFonts w:hint="eastAsia"/>
          <w:rtl/>
          <w:lang w:eastAsia="en-US"/>
        </w:rPr>
        <w:t>מֶלֶךְ</w:t>
      </w:r>
      <w:r>
        <w:rPr>
          <w:rtl/>
          <w:lang w:eastAsia="en-US"/>
        </w:rPr>
        <w:t xml:space="preserve"> </w:t>
      </w:r>
      <w:r>
        <w:rPr>
          <w:rFonts w:hint="eastAsia"/>
          <w:rtl/>
          <w:lang w:eastAsia="en-US"/>
        </w:rPr>
        <w:t>אַשּׁוּר</w:t>
      </w:r>
      <w:r>
        <w:rPr>
          <w:rtl/>
          <w:lang w:eastAsia="en-US"/>
        </w:rPr>
        <w:t xml:space="preserve"> </w:t>
      </w:r>
      <w:r>
        <w:rPr>
          <w:rFonts w:hint="eastAsia"/>
          <w:rtl/>
          <w:lang w:eastAsia="en-US"/>
        </w:rPr>
        <w:t>וְזֶה</w:t>
      </w:r>
      <w:r>
        <w:rPr>
          <w:rtl/>
          <w:lang w:eastAsia="en-US"/>
        </w:rPr>
        <w:t xml:space="preserve"> </w:t>
      </w:r>
      <w:r>
        <w:rPr>
          <w:rFonts w:hint="eastAsia"/>
          <w:rtl/>
          <w:lang w:eastAsia="en-US"/>
        </w:rPr>
        <w:t>הָאַחֲרוֹן</w:t>
      </w:r>
      <w:r>
        <w:rPr>
          <w:rtl/>
          <w:lang w:eastAsia="en-US"/>
        </w:rPr>
        <w:t xml:space="preserve"> </w:t>
      </w:r>
      <w:r>
        <w:rPr>
          <w:rFonts w:hint="eastAsia"/>
          <w:rtl/>
          <w:lang w:eastAsia="en-US"/>
        </w:rPr>
        <w:t>עִצְּמוֹ</w:t>
      </w:r>
      <w:r>
        <w:rPr>
          <w:rtl/>
          <w:lang w:eastAsia="en-US"/>
        </w:rPr>
        <w:t xml:space="preserve"> </w:t>
      </w:r>
      <w:r>
        <w:rPr>
          <w:rFonts w:hint="eastAsia"/>
          <w:rtl/>
          <w:lang w:eastAsia="en-US"/>
        </w:rPr>
        <w:t>נְבוּכַדְרֶאצַּר</w:t>
      </w:r>
      <w:r>
        <w:rPr>
          <w:rtl/>
          <w:lang w:eastAsia="en-US"/>
        </w:rPr>
        <w:t xml:space="preserve"> </w:t>
      </w:r>
      <w:r>
        <w:rPr>
          <w:rFonts w:hint="eastAsia"/>
          <w:rtl/>
          <w:lang w:eastAsia="en-US"/>
        </w:rPr>
        <w:t>מֶלֶךְ</w:t>
      </w:r>
      <w:r>
        <w:rPr>
          <w:rtl/>
          <w:lang w:eastAsia="en-US"/>
        </w:rPr>
        <w:t xml:space="preserve"> </w:t>
      </w:r>
      <w:r>
        <w:rPr>
          <w:rFonts w:hint="eastAsia"/>
          <w:rtl/>
          <w:lang w:eastAsia="en-US"/>
        </w:rPr>
        <w:t>בָּבֶל</w:t>
      </w:r>
      <w:r>
        <w:rPr>
          <w:rFonts w:hint="cs"/>
          <w:rtl/>
          <w:lang w:eastAsia="en-US"/>
        </w:rPr>
        <w:t xml:space="preserve">". ראה איך הדרשן עושה מעבר מהפסוק המדבר על "יחסי חוץ" </w:t>
      </w:r>
      <w:r>
        <w:rPr>
          <w:rtl/>
          <w:lang w:eastAsia="en-US"/>
        </w:rPr>
        <w:t>–</w:t>
      </w:r>
      <w:r>
        <w:rPr>
          <w:rFonts w:hint="cs"/>
          <w:rtl/>
          <w:lang w:eastAsia="en-US"/>
        </w:rPr>
        <w:t xml:space="preserve"> על מעמד ישראל כשה פזורה בין העמים, אל "יחסי פנים" על השה המכונסת מבית שכל אבריה קשורים ותלויים זה בזה.</w:t>
      </w:r>
    </w:p>
  </w:footnote>
  <w:footnote w:id="14">
    <w:p w:rsidR="004A5CA7" w:rsidRDefault="004A5CA7" w:rsidP="00170354">
      <w:pPr>
        <w:pStyle w:val="a3"/>
        <w:rPr>
          <w:rFonts w:hint="cs"/>
        </w:rPr>
      </w:pPr>
      <w:r>
        <w:rPr>
          <w:rStyle w:val="a5"/>
        </w:rPr>
        <w:footnoteRef/>
      </w:r>
      <w:r>
        <w:rPr>
          <w:rtl/>
        </w:rPr>
        <w:t xml:space="preserve"> </w:t>
      </w:r>
      <w:r>
        <w:rPr>
          <w:rFonts w:hint="cs"/>
          <w:rtl/>
        </w:rPr>
        <w:t xml:space="preserve">המדרש גופו הוא על הפסוק בספר ויקרא ד ב: "נפש כי תחטא" ודן בחיבור הגוף לנפש כיחידה אחת שנותנת את הדין על מעשיו של האדם. מעין ערבות פנימית באדם עצמו כישות אחת של חומר ורוח שאינם ניתנים להפרדה (משל החיגר והסומא). אבל הפסוק הספציפי שמצוטט כאן לקוח ממחלוקת קורח ועדתו. הקב"ה אומר למשה ואהרון: </w:t>
      </w:r>
      <w:r>
        <w:rPr>
          <w:rFonts w:hint="cs"/>
          <w:rtl/>
          <w:lang w:eastAsia="en-US"/>
        </w:rPr>
        <w:t>"</w:t>
      </w:r>
      <w:r>
        <w:rPr>
          <w:rFonts w:hint="eastAsia"/>
          <w:rtl/>
          <w:lang w:eastAsia="en-US"/>
        </w:rPr>
        <w:t>הִבָּדְלוּ</w:t>
      </w:r>
      <w:r>
        <w:rPr>
          <w:rtl/>
          <w:lang w:eastAsia="en-US"/>
        </w:rPr>
        <w:t xml:space="preserve"> </w:t>
      </w:r>
      <w:r>
        <w:rPr>
          <w:rFonts w:hint="eastAsia"/>
          <w:rtl/>
          <w:lang w:eastAsia="en-US"/>
        </w:rPr>
        <w:t>מִתּוֹךְ</w:t>
      </w:r>
      <w:r>
        <w:rPr>
          <w:rtl/>
          <w:lang w:eastAsia="en-US"/>
        </w:rPr>
        <w:t xml:space="preserve"> </w:t>
      </w:r>
      <w:r>
        <w:rPr>
          <w:rFonts w:hint="eastAsia"/>
          <w:rtl/>
          <w:lang w:eastAsia="en-US"/>
        </w:rPr>
        <w:t>הָעֵדָה</w:t>
      </w:r>
      <w:r>
        <w:rPr>
          <w:rtl/>
          <w:lang w:eastAsia="en-US"/>
        </w:rPr>
        <w:t xml:space="preserve"> </w:t>
      </w:r>
      <w:r>
        <w:rPr>
          <w:rFonts w:hint="eastAsia"/>
          <w:rtl/>
          <w:lang w:eastAsia="en-US"/>
        </w:rPr>
        <w:t>הַזֹּאת</w:t>
      </w:r>
      <w:r>
        <w:rPr>
          <w:rtl/>
          <w:lang w:eastAsia="en-US"/>
        </w:rPr>
        <w:t xml:space="preserve"> </w:t>
      </w:r>
      <w:r>
        <w:rPr>
          <w:rFonts w:hint="eastAsia"/>
          <w:rtl/>
          <w:lang w:eastAsia="en-US"/>
        </w:rPr>
        <w:t>וַאֲכַלֶּה</w:t>
      </w:r>
      <w:r>
        <w:rPr>
          <w:rtl/>
          <w:lang w:eastAsia="en-US"/>
        </w:rPr>
        <w:t xml:space="preserve"> </w:t>
      </w:r>
      <w:r>
        <w:rPr>
          <w:rFonts w:hint="eastAsia"/>
          <w:rtl/>
          <w:lang w:eastAsia="en-US"/>
        </w:rPr>
        <w:t>אֹתָם</w:t>
      </w:r>
      <w:r>
        <w:rPr>
          <w:rtl/>
          <w:lang w:eastAsia="en-US"/>
        </w:rPr>
        <w:t xml:space="preserve"> </w:t>
      </w:r>
      <w:r>
        <w:rPr>
          <w:rFonts w:hint="eastAsia"/>
          <w:rtl/>
          <w:lang w:eastAsia="en-US"/>
        </w:rPr>
        <w:t>כְּרָגַע</w:t>
      </w:r>
      <w:r>
        <w:rPr>
          <w:rFonts w:hint="cs"/>
          <w:rtl/>
          <w:lang w:eastAsia="en-US"/>
        </w:rPr>
        <w:t>" והם נופלים על פניהן ואומרים: "</w:t>
      </w:r>
      <w:r>
        <w:rPr>
          <w:rFonts w:hint="eastAsia"/>
          <w:rtl/>
          <w:lang w:eastAsia="en-US"/>
        </w:rPr>
        <w:t>אֵל</w:t>
      </w:r>
      <w:r>
        <w:rPr>
          <w:rtl/>
          <w:lang w:eastAsia="en-US"/>
        </w:rPr>
        <w:t xml:space="preserve"> </w:t>
      </w:r>
      <w:r>
        <w:rPr>
          <w:rFonts w:hint="eastAsia"/>
          <w:rtl/>
          <w:lang w:eastAsia="en-US"/>
        </w:rPr>
        <w:t>אֱלֹהֵי</w:t>
      </w:r>
      <w:r>
        <w:rPr>
          <w:rtl/>
          <w:lang w:eastAsia="en-US"/>
        </w:rPr>
        <w:t xml:space="preserve"> </w:t>
      </w:r>
      <w:r>
        <w:rPr>
          <w:rFonts w:hint="eastAsia"/>
          <w:rtl/>
          <w:lang w:eastAsia="en-US"/>
        </w:rPr>
        <w:t>הָרוּחֹת</w:t>
      </w:r>
      <w:r>
        <w:rPr>
          <w:rtl/>
          <w:lang w:eastAsia="en-US"/>
        </w:rPr>
        <w:t xml:space="preserve"> </w:t>
      </w:r>
      <w:r>
        <w:rPr>
          <w:rFonts w:hint="eastAsia"/>
          <w:rtl/>
          <w:lang w:eastAsia="en-US"/>
        </w:rPr>
        <w:t>לְכָל</w:t>
      </w:r>
      <w:r>
        <w:rPr>
          <w:rtl/>
          <w:lang w:eastAsia="en-US"/>
        </w:rPr>
        <w:t xml:space="preserve"> </w:t>
      </w:r>
      <w:r w:rsidRPr="005B7350">
        <w:rPr>
          <w:rFonts w:hint="eastAsia"/>
          <w:rtl/>
          <w:lang w:eastAsia="en-US"/>
        </w:rPr>
        <w:t>בָּשָׂר</w:t>
      </w:r>
      <w:r w:rsidRPr="005B7350">
        <w:rPr>
          <w:rtl/>
          <w:lang w:eastAsia="en-US"/>
        </w:rPr>
        <w:t xml:space="preserve"> </w:t>
      </w:r>
      <w:r w:rsidRPr="005B7350">
        <w:rPr>
          <w:rFonts w:hint="eastAsia"/>
          <w:rtl/>
          <w:lang w:eastAsia="en-US"/>
        </w:rPr>
        <w:t>הָאִישׁ</w:t>
      </w:r>
      <w:r w:rsidRPr="005B7350">
        <w:rPr>
          <w:rtl/>
          <w:lang w:eastAsia="en-US"/>
        </w:rPr>
        <w:t xml:space="preserve"> </w:t>
      </w:r>
      <w:r w:rsidRPr="005B7350">
        <w:rPr>
          <w:rFonts w:hint="eastAsia"/>
          <w:rtl/>
          <w:lang w:eastAsia="en-US"/>
        </w:rPr>
        <w:t>אֶחָד</w:t>
      </w:r>
      <w:r w:rsidRPr="005B7350">
        <w:rPr>
          <w:rtl/>
          <w:lang w:eastAsia="en-US"/>
        </w:rPr>
        <w:t xml:space="preserve"> </w:t>
      </w:r>
      <w:r w:rsidRPr="005B7350">
        <w:rPr>
          <w:rFonts w:hint="eastAsia"/>
          <w:rtl/>
          <w:lang w:eastAsia="en-US"/>
        </w:rPr>
        <w:t>יֶחֱטָא</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תִּקְצֹף</w:t>
      </w:r>
      <w:r>
        <w:rPr>
          <w:rFonts w:hint="cs"/>
          <w:rtl/>
          <w:lang w:eastAsia="en-US"/>
        </w:rPr>
        <w:t xml:space="preserve">"? משה ואהרון מנסים לגונן על עדת ישראל ולהפריד בינם ובין קרח ועדתו. עצם הפניה הזו, אומר הדרשן, מוכיחה שמשה ואהרון יודעים שאכן הדבר אפשרי שבחטאו של איש אחד תסבול כל העדה ושכל ישראל ערבים זה בזה. (הביטוי עצמו לא נזכר במדרש והקישור הוא שלנו). </w:t>
      </w:r>
    </w:p>
  </w:footnote>
  <w:footnote w:id="15">
    <w:p w:rsidR="004A5CA7" w:rsidRDefault="004A5CA7" w:rsidP="008B2256">
      <w:pPr>
        <w:pStyle w:val="a3"/>
        <w:rPr>
          <w:rFonts w:hint="cs"/>
          <w:rtl/>
        </w:rPr>
      </w:pPr>
      <w:r>
        <w:rPr>
          <w:rStyle w:val="a5"/>
        </w:rPr>
        <w:footnoteRef/>
      </w:r>
      <w:r>
        <w:rPr>
          <w:rtl/>
        </w:rPr>
        <w:t xml:space="preserve"> </w:t>
      </w:r>
      <w:r>
        <w:rPr>
          <w:rFonts w:hint="cs"/>
          <w:rtl/>
        </w:rPr>
        <w:t>"כולנו בסירה אחת" ומי שעושה שבת לעצמו כמוהו כמי שקודח חור בקרקעית הספינה ואומר: בתוך שלי אני קודח! כנגד "זכויות הפרט" עומדת ואף גוברת זכות הציבור וטענתו כלפי היחיד שמעשיו הלא-תקינים עולים ומציפים (מ</w:t>
      </w:r>
      <w:r>
        <w:rPr>
          <w:rFonts w:hint="eastAsia"/>
          <w:rtl/>
        </w:rPr>
        <w:t>ְ</w:t>
      </w:r>
      <w:r>
        <w:rPr>
          <w:rFonts w:hint="cs"/>
          <w:rtl/>
        </w:rPr>
        <w:t>ס</w:t>
      </w:r>
      <w:r>
        <w:rPr>
          <w:rFonts w:hint="eastAsia"/>
          <w:rtl/>
        </w:rPr>
        <w:t>ַ</w:t>
      </w:r>
      <w:r>
        <w:rPr>
          <w:rFonts w:hint="cs"/>
          <w:rtl/>
        </w:rPr>
        <w:t>פ</w:t>
      </w:r>
      <w:r>
        <w:rPr>
          <w:rFonts w:hint="eastAsia"/>
          <w:rtl/>
        </w:rPr>
        <w:t>ְּ</w:t>
      </w:r>
      <w:r>
        <w:rPr>
          <w:rFonts w:hint="cs"/>
          <w:rtl/>
        </w:rPr>
        <w:t>ק</w:t>
      </w:r>
      <w:r>
        <w:rPr>
          <w:rFonts w:hint="eastAsia"/>
          <w:rtl/>
        </w:rPr>
        <w:t>ִ</w:t>
      </w:r>
      <w:r>
        <w:rPr>
          <w:rFonts w:hint="cs"/>
          <w:rtl/>
        </w:rPr>
        <w:t xml:space="preserve">ים בארמית) את כולם. </w:t>
      </w:r>
      <w:r>
        <w:rPr>
          <w:rFonts w:hint="cs"/>
          <w:rtl/>
          <w:lang w:eastAsia="en-US"/>
        </w:rPr>
        <w:t>נראה שהמקור לפחות לחלק הראשון של המדרש הוא ב</w:t>
      </w:r>
      <w:r>
        <w:rPr>
          <w:rtl/>
          <w:lang w:eastAsia="en-US"/>
        </w:rPr>
        <w:t>מכילתא דרבי ישמעאל יתרו - מסכתא דבחדש פרשה ב</w:t>
      </w:r>
      <w:r>
        <w:rPr>
          <w:rFonts w:hint="cs"/>
          <w:rtl/>
          <w:lang w:eastAsia="en-US"/>
        </w:rPr>
        <w:t xml:space="preserve"> שם ניתן הקרדיט לנבוכדנצאר מלך בבבל: "</w:t>
      </w:r>
      <w:r>
        <w:rPr>
          <w:rtl/>
          <w:lang w:eastAsia="en-US"/>
        </w:rPr>
        <w:t>שה פזורה ישראל אריות</w:t>
      </w:r>
      <w:r>
        <w:rPr>
          <w:rFonts w:hint="cs"/>
          <w:rtl/>
          <w:lang w:eastAsia="en-US"/>
        </w:rPr>
        <w:t xml:space="preserve"> הדיחו</w:t>
      </w:r>
      <w:r>
        <w:rPr>
          <w:rtl/>
          <w:lang w:eastAsia="en-US"/>
        </w:rPr>
        <w:t xml:space="preserve"> וגו'</w:t>
      </w:r>
      <w:r>
        <w:rPr>
          <w:rFonts w:hint="cs"/>
          <w:rtl/>
          <w:lang w:eastAsia="en-US"/>
        </w:rPr>
        <w:t xml:space="preserve"> - </w:t>
      </w:r>
      <w:r>
        <w:rPr>
          <w:rtl/>
          <w:lang w:eastAsia="en-US"/>
        </w:rPr>
        <w:t>נבוכדנצר מלך בבל המשילן כשה</w:t>
      </w:r>
      <w:r>
        <w:rPr>
          <w:rFonts w:hint="cs"/>
          <w:rtl/>
          <w:lang w:eastAsia="en-US"/>
        </w:rPr>
        <w:t>:</w:t>
      </w:r>
      <w:r>
        <w:rPr>
          <w:rtl/>
          <w:lang w:eastAsia="en-US"/>
        </w:rPr>
        <w:t xml:space="preserve"> מה שה זו כשהיא לוקה מאחת מאבריה כל איבריה מרגישין, כך ישראל, אם נהרג אחד מהן כלן מרגישין ומצטערין</w:t>
      </w:r>
      <w:r>
        <w:rPr>
          <w:rFonts w:hint="cs"/>
          <w:rtl/>
          <w:lang w:eastAsia="en-US"/>
        </w:rPr>
        <w:t>".</w:t>
      </w:r>
    </w:p>
  </w:footnote>
  <w:footnote w:id="16">
    <w:p w:rsidR="004A5CA7" w:rsidRDefault="004A5CA7" w:rsidP="00170354">
      <w:pPr>
        <w:pStyle w:val="a3"/>
        <w:rPr>
          <w:rFonts w:hint="cs"/>
          <w:rtl/>
        </w:rPr>
      </w:pPr>
      <w:r>
        <w:rPr>
          <w:rStyle w:val="a5"/>
        </w:rPr>
        <w:footnoteRef/>
      </w:r>
      <w:r>
        <w:rPr>
          <w:rtl/>
        </w:rPr>
        <w:t xml:space="preserve"> </w:t>
      </w:r>
      <w:r>
        <w:rPr>
          <w:rFonts w:hint="cs"/>
          <w:rtl/>
          <w:lang w:eastAsia="en-US"/>
        </w:rPr>
        <w:t>טענת איוב היא לכאורה צודקת: אני חטאתי ואני אסבול, אני אתן את הדין על מעשי. מעין מה שאומר דוד: "</w:t>
      </w:r>
      <w:r>
        <w:rPr>
          <w:rtl/>
          <w:lang w:eastAsia="en-US"/>
        </w:rPr>
        <w:t>וַאֲנִי הוּא אֲשֶׁר חָטָאתִי וְהָרֵעַ הֲרֵעוֹתִי וְאֵלֶּה הַצֹּאן מֶה עָשׂוּ</w:t>
      </w:r>
      <w:r>
        <w:rPr>
          <w:rFonts w:hint="cs"/>
          <w:rtl/>
          <w:lang w:eastAsia="en-US"/>
        </w:rPr>
        <w:t>" (</w:t>
      </w:r>
      <w:r>
        <w:rPr>
          <w:rtl/>
          <w:lang w:eastAsia="en-US"/>
        </w:rPr>
        <w:t>דברי הימים א כא</w:t>
      </w:r>
      <w:r>
        <w:rPr>
          <w:rFonts w:hint="cs"/>
          <w:rtl/>
          <w:lang w:eastAsia="en-US"/>
        </w:rPr>
        <w:t xml:space="preserve"> יז). אבל רעיו עונים לו שהתרסתו כלפי שמיא היא דבר שנוגע לכולם וחטאיו, אולי גם בשל מעמדו הציבורי, משפיעים על הציבור כולו. וכבר ראינו את הביטוי המיוחד "</w:t>
      </w:r>
      <w:r>
        <w:rPr>
          <w:rFonts w:hint="cs"/>
          <w:rtl/>
        </w:rPr>
        <w:t xml:space="preserve">בינותינו אתה מספק את עוונותיך" בדברינו </w:t>
      </w:r>
      <w:hyperlink r:id="rId7" w:history="1">
        <w:r w:rsidRPr="009652B8">
          <w:rPr>
            <w:rStyle w:val="Hyperlink"/>
            <w:rFonts w:hint="cs"/>
            <w:rtl/>
          </w:rPr>
          <w:t>מכמני ויקרא</w:t>
        </w:r>
        <w:r w:rsidRPr="009652B8">
          <w:rPr>
            <w:rStyle w:val="Hyperlink"/>
            <w:rFonts w:hint="cs"/>
            <w:rtl/>
          </w:rPr>
          <w:t xml:space="preserve"> </w:t>
        </w:r>
        <w:r w:rsidRPr="009652B8">
          <w:rPr>
            <w:rStyle w:val="Hyperlink"/>
            <w:rFonts w:hint="cs"/>
            <w:rtl/>
          </w:rPr>
          <w:t>רבה בפרשת ויקרא</w:t>
        </w:r>
      </w:hyperlink>
      <w:r>
        <w:rPr>
          <w:rFonts w:hint="cs"/>
          <w:rtl/>
        </w:rPr>
        <w:t>.</w:t>
      </w:r>
    </w:p>
  </w:footnote>
  <w:footnote w:id="17">
    <w:p w:rsidR="004A5CA7" w:rsidRDefault="004A5CA7" w:rsidP="008B2256">
      <w:pPr>
        <w:pStyle w:val="a3"/>
        <w:rPr>
          <w:rFonts w:hint="cs"/>
          <w:rtl/>
        </w:rPr>
      </w:pPr>
      <w:r>
        <w:rPr>
          <w:rStyle w:val="a5"/>
        </w:rPr>
        <w:footnoteRef/>
      </w:r>
      <w:r>
        <w:rPr>
          <w:rtl/>
        </w:rPr>
        <w:t xml:space="preserve"> </w:t>
      </w:r>
      <w:r w:rsidR="008B2256">
        <w:rPr>
          <w:rFonts w:hint="cs"/>
          <w:rtl/>
        </w:rPr>
        <w:t xml:space="preserve">רבי </w:t>
      </w:r>
      <w:r>
        <w:rPr>
          <w:rFonts w:hint="cs"/>
          <w:rtl/>
          <w:lang w:eastAsia="en-US"/>
        </w:rPr>
        <w:t xml:space="preserve">בחיי בן אשר מזכיר לנו גם את הערבות ההדדית של ארבעת המינים (ראה דברינו </w:t>
      </w:r>
      <w:hyperlink r:id="rId8" w:history="1">
        <w:r w:rsidR="009652B8" w:rsidRPr="009652B8">
          <w:rPr>
            <w:rStyle w:val="Hyperlink"/>
            <w:rFonts w:hint="cs"/>
            <w:rtl/>
            <w:lang w:eastAsia="en-US"/>
          </w:rPr>
          <w:t>שלושה נפלאו ממני וארבעה לא ידעתים</w:t>
        </w:r>
      </w:hyperlink>
      <w:r w:rsidR="009652B8">
        <w:rPr>
          <w:rFonts w:hint="cs"/>
          <w:rtl/>
          <w:lang w:eastAsia="en-US"/>
        </w:rPr>
        <w:t xml:space="preserve"> על </w:t>
      </w:r>
      <w:r w:rsidRPr="009652B8">
        <w:rPr>
          <w:rFonts w:hint="cs"/>
          <w:rtl/>
          <w:lang w:eastAsia="en-US"/>
        </w:rPr>
        <w:t>ארבעת המינים</w:t>
      </w:r>
      <w:r>
        <w:rPr>
          <w:rFonts w:hint="cs"/>
          <w:rtl/>
          <w:lang w:eastAsia="en-US"/>
        </w:rPr>
        <w:t xml:space="preserve"> בסוכות), בפרט הערבות לערבה שאין בה טעם ואין בה ריח. כך גם הערבות של סממני הקטורת שמצרפים לה את החלבונה (או הלבונה) שריחה רע ומסמלת את פושעי ישראל שבלעדיהם אין הקהילה או האגודה שלימה. ערבות הצדיקים או הדיינים והחכמים לעמי הארצות או לרשעים ולפושעים איננה להיות "משטרה", לפשפש, "לחקור </w:t>
      </w:r>
      <w:r>
        <w:rPr>
          <w:rtl/>
          <w:lang w:eastAsia="en-US"/>
        </w:rPr>
        <w:t>ולרגל אחר הנסתרות כפי יכ</w:t>
      </w:r>
      <w:r>
        <w:rPr>
          <w:rFonts w:hint="cs"/>
          <w:rtl/>
          <w:lang w:eastAsia="en-US"/>
        </w:rPr>
        <w:t>ו</w:t>
      </w:r>
      <w:r>
        <w:rPr>
          <w:rtl/>
          <w:lang w:eastAsia="en-US"/>
        </w:rPr>
        <w:t>לתם</w:t>
      </w:r>
      <w:r>
        <w:rPr>
          <w:rFonts w:hint="cs"/>
          <w:rtl/>
          <w:lang w:eastAsia="en-US"/>
        </w:rPr>
        <w:t xml:space="preserve">" כדברי המאירי לעיל, אלא </w:t>
      </w:r>
      <w:r w:rsidR="008B2256">
        <w:rPr>
          <w:rFonts w:hint="cs"/>
          <w:rtl/>
          <w:lang w:eastAsia="en-US"/>
        </w:rPr>
        <w:t>ל</w:t>
      </w:r>
      <w:r>
        <w:rPr>
          <w:rFonts w:hint="cs"/>
          <w:rtl/>
          <w:lang w:eastAsia="en-US"/>
        </w:rPr>
        <w:t>הכניס אותם לתוך הקהל, אל תוך החבורה, אל בית הכנסת ובית המדרש. הם המשלימים את האגודה (ולפי"ז צריך אולי לתקן את הנוסח בליל יום הכיפורים: "אנו מתירים להתפלל עם העבריינים" ל</w:t>
      </w:r>
      <w:r w:rsidR="008B2256">
        <w:rPr>
          <w:rFonts w:hint="cs"/>
          <w:rtl/>
          <w:lang w:eastAsia="en-US"/>
        </w:rPr>
        <w:t>נוסח</w:t>
      </w:r>
      <w:r>
        <w:rPr>
          <w:rFonts w:hint="cs"/>
          <w:rtl/>
          <w:lang w:eastAsia="en-US"/>
        </w:rPr>
        <w:t>: אנו מחויבים להתפלל עם העבריינים. בואו והשלימו המניין</w:t>
      </w:r>
      <w:r w:rsidR="008B2256">
        <w:rPr>
          <w:rFonts w:hint="cs"/>
          <w:rtl/>
          <w:lang w:eastAsia="en-US"/>
        </w:rPr>
        <w:t>, בלעדיכם הקהילה חסרה</w:t>
      </w:r>
      <w:r>
        <w:rPr>
          <w:rFonts w:hint="cs"/>
          <w:rtl/>
          <w:lang w:eastAsia="en-US"/>
        </w:rPr>
        <w:t xml:space="preserve">). השוני בתפיסה מול הספרא בו פתחנו, איננו רק בגישה החיובית לעומת השלילה בפסוק "וכשלו איש באחיו", אלא גם </w:t>
      </w:r>
      <w:r w:rsidR="008B2256">
        <w:rPr>
          <w:rFonts w:hint="cs"/>
          <w:rtl/>
          <w:lang w:eastAsia="en-US"/>
        </w:rPr>
        <w:t>לכתחילה</w:t>
      </w:r>
      <w:r>
        <w:rPr>
          <w:rFonts w:hint="cs"/>
          <w:rtl/>
          <w:lang w:eastAsia="en-US"/>
        </w:rPr>
        <w:t xml:space="preserve"> מול בדיעבד. "כל ישראל ערבים זה בזה", לא כהסבר מה קרה אלא כציווי לקחת אחריות ולהיות ערב. "ערבים" כפועל ולא כתיאור לוואי.</w:t>
      </w:r>
    </w:p>
  </w:footnote>
  <w:footnote w:id="18">
    <w:p w:rsidR="004A5CA7" w:rsidRDefault="004A5CA7" w:rsidP="009A41A3">
      <w:pPr>
        <w:pStyle w:val="a3"/>
        <w:rPr>
          <w:rFonts w:hint="cs"/>
        </w:rPr>
      </w:pPr>
      <w:r>
        <w:rPr>
          <w:rStyle w:val="a5"/>
        </w:rPr>
        <w:footnoteRef/>
      </w:r>
      <w:r>
        <w:rPr>
          <w:rtl/>
        </w:rPr>
        <w:t xml:space="preserve"> </w:t>
      </w:r>
      <w:r>
        <w:rPr>
          <w:rFonts w:hint="cs"/>
          <w:rtl/>
        </w:rPr>
        <w:t>אנו נפרדים בצער רב משני המדרשים הנפלאים אשר ליוונו לאורך ספר ויקרא: ספרא תורת כהנים וויקרא רבה, וגולשים היישר למדרשים הראשיים המלווים את ספר במדבר: ספרי ובמדבר רבה. אבל אל דאגה, נשוב ונידרש לויקרא רבה ולספרא בכל הזדמנות והקשר וככל שיעלו בחכתם מנוע המחשב</w:t>
      </w:r>
      <w:r w:rsidR="009A41A3">
        <w:rPr>
          <w:rFonts w:hint="cs"/>
          <w:rtl/>
        </w:rPr>
        <w:t xml:space="preserve"> "בור סוד שאינו מאבד טיפה" </w:t>
      </w:r>
      <w:r>
        <w:rPr>
          <w:rFonts w:hint="cs"/>
          <w:rtl/>
        </w:rPr>
        <w:t>וזיכרוננו הדל.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CA7" w:rsidRDefault="004A5CA7" w:rsidP="00E57C62">
    <w:pPr>
      <w:pStyle w:val="1"/>
      <w:tabs>
        <w:tab w:val="right" w:pos="9185"/>
      </w:tabs>
      <w:rPr>
        <w:rFonts w:hint="cs"/>
        <w:rtl/>
      </w:rPr>
    </w:pPr>
    <w:r>
      <w:rPr>
        <w:rtl/>
      </w:rPr>
      <w:t xml:space="preserve">פרשת </w:t>
    </w:r>
    <w:fldSimple w:instr=" SUBJECT  \* MERGEFORMAT ">
      <w:r>
        <w:rPr>
          <w:rtl/>
        </w:rPr>
        <w:t>בחוקותי</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CA7" w:rsidRDefault="004A5C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F2F2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B8"/>
    <w:rsid w:val="0000268E"/>
    <w:rsid w:val="0000417D"/>
    <w:rsid w:val="00020783"/>
    <w:rsid w:val="000271B5"/>
    <w:rsid w:val="00027A91"/>
    <w:rsid w:val="00032E58"/>
    <w:rsid w:val="00064142"/>
    <w:rsid w:val="000A0449"/>
    <w:rsid w:val="000D0110"/>
    <w:rsid w:val="000D263B"/>
    <w:rsid w:val="000D7C54"/>
    <w:rsid w:val="000D7CA5"/>
    <w:rsid w:val="001044AE"/>
    <w:rsid w:val="00105427"/>
    <w:rsid w:val="00106EAD"/>
    <w:rsid w:val="0011380E"/>
    <w:rsid w:val="001157BC"/>
    <w:rsid w:val="0016127C"/>
    <w:rsid w:val="00165A83"/>
    <w:rsid w:val="00170354"/>
    <w:rsid w:val="00183602"/>
    <w:rsid w:val="001912CB"/>
    <w:rsid w:val="001B12C1"/>
    <w:rsid w:val="001B1EB7"/>
    <w:rsid w:val="001B2AFA"/>
    <w:rsid w:val="001C457B"/>
    <w:rsid w:val="001D3928"/>
    <w:rsid w:val="001E7FC5"/>
    <w:rsid w:val="00201918"/>
    <w:rsid w:val="002035E7"/>
    <w:rsid w:val="00214387"/>
    <w:rsid w:val="00261796"/>
    <w:rsid w:val="00265484"/>
    <w:rsid w:val="0027749E"/>
    <w:rsid w:val="002B5B33"/>
    <w:rsid w:val="002C013E"/>
    <w:rsid w:val="002D7C88"/>
    <w:rsid w:val="003014BC"/>
    <w:rsid w:val="00305B50"/>
    <w:rsid w:val="00317A2B"/>
    <w:rsid w:val="0036087C"/>
    <w:rsid w:val="00367363"/>
    <w:rsid w:val="00376611"/>
    <w:rsid w:val="003816C3"/>
    <w:rsid w:val="003A19A3"/>
    <w:rsid w:val="003B23BD"/>
    <w:rsid w:val="003C4528"/>
    <w:rsid w:val="003D0EBF"/>
    <w:rsid w:val="003D14FA"/>
    <w:rsid w:val="003E2685"/>
    <w:rsid w:val="003E2D86"/>
    <w:rsid w:val="003E46C5"/>
    <w:rsid w:val="003E5DFA"/>
    <w:rsid w:val="003E7465"/>
    <w:rsid w:val="0041336D"/>
    <w:rsid w:val="00416F52"/>
    <w:rsid w:val="004378EC"/>
    <w:rsid w:val="00437C36"/>
    <w:rsid w:val="00452BD8"/>
    <w:rsid w:val="00460866"/>
    <w:rsid w:val="00463343"/>
    <w:rsid w:val="00473681"/>
    <w:rsid w:val="00474BBE"/>
    <w:rsid w:val="00480B12"/>
    <w:rsid w:val="00485C05"/>
    <w:rsid w:val="00493DD8"/>
    <w:rsid w:val="00495F40"/>
    <w:rsid w:val="004A300D"/>
    <w:rsid w:val="004A5CA7"/>
    <w:rsid w:val="004B11A9"/>
    <w:rsid w:val="004E2841"/>
    <w:rsid w:val="004E7C62"/>
    <w:rsid w:val="004F724C"/>
    <w:rsid w:val="004F7DA1"/>
    <w:rsid w:val="0052449D"/>
    <w:rsid w:val="00561007"/>
    <w:rsid w:val="005611DE"/>
    <w:rsid w:val="005719B7"/>
    <w:rsid w:val="00575983"/>
    <w:rsid w:val="005760C7"/>
    <w:rsid w:val="00592A5B"/>
    <w:rsid w:val="005B53DB"/>
    <w:rsid w:val="005C0590"/>
    <w:rsid w:val="005E0C61"/>
    <w:rsid w:val="006049B8"/>
    <w:rsid w:val="00605884"/>
    <w:rsid w:val="00610ED5"/>
    <w:rsid w:val="00616B46"/>
    <w:rsid w:val="00641E07"/>
    <w:rsid w:val="00646BE9"/>
    <w:rsid w:val="006508C7"/>
    <w:rsid w:val="006721E4"/>
    <w:rsid w:val="006831E6"/>
    <w:rsid w:val="0068684C"/>
    <w:rsid w:val="006A3795"/>
    <w:rsid w:val="006C1B15"/>
    <w:rsid w:val="006E5181"/>
    <w:rsid w:val="006E771E"/>
    <w:rsid w:val="006F3D35"/>
    <w:rsid w:val="0070181D"/>
    <w:rsid w:val="00742BC6"/>
    <w:rsid w:val="0077608A"/>
    <w:rsid w:val="00786900"/>
    <w:rsid w:val="007B25DB"/>
    <w:rsid w:val="007C265D"/>
    <w:rsid w:val="007D7C46"/>
    <w:rsid w:val="007E0E65"/>
    <w:rsid w:val="007E367D"/>
    <w:rsid w:val="007F1B12"/>
    <w:rsid w:val="00804C82"/>
    <w:rsid w:val="0085032B"/>
    <w:rsid w:val="008573CB"/>
    <w:rsid w:val="00861194"/>
    <w:rsid w:val="008720EA"/>
    <w:rsid w:val="00891FE5"/>
    <w:rsid w:val="008A28C3"/>
    <w:rsid w:val="008B2256"/>
    <w:rsid w:val="008D04EC"/>
    <w:rsid w:val="008D4225"/>
    <w:rsid w:val="008E0807"/>
    <w:rsid w:val="008F7F20"/>
    <w:rsid w:val="0090705E"/>
    <w:rsid w:val="00913564"/>
    <w:rsid w:val="00932B37"/>
    <w:rsid w:val="00937470"/>
    <w:rsid w:val="0094566A"/>
    <w:rsid w:val="00953800"/>
    <w:rsid w:val="00957BBF"/>
    <w:rsid w:val="00960BC1"/>
    <w:rsid w:val="009643F6"/>
    <w:rsid w:val="009652B8"/>
    <w:rsid w:val="00971923"/>
    <w:rsid w:val="009812B9"/>
    <w:rsid w:val="00991F65"/>
    <w:rsid w:val="00995DDC"/>
    <w:rsid w:val="00996E22"/>
    <w:rsid w:val="009A1CA5"/>
    <w:rsid w:val="009A41A3"/>
    <w:rsid w:val="009B5DFE"/>
    <w:rsid w:val="009B66D0"/>
    <w:rsid w:val="009C4CFB"/>
    <w:rsid w:val="009D0449"/>
    <w:rsid w:val="009F1689"/>
    <w:rsid w:val="009F5372"/>
    <w:rsid w:val="00A365D0"/>
    <w:rsid w:val="00A4029C"/>
    <w:rsid w:val="00A41EDA"/>
    <w:rsid w:val="00A564BF"/>
    <w:rsid w:val="00A644D2"/>
    <w:rsid w:val="00A651DD"/>
    <w:rsid w:val="00A725B1"/>
    <w:rsid w:val="00A92814"/>
    <w:rsid w:val="00A93554"/>
    <w:rsid w:val="00A95C06"/>
    <w:rsid w:val="00AA62F1"/>
    <w:rsid w:val="00AE04ED"/>
    <w:rsid w:val="00AE2FEE"/>
    <w:rsid w:val="00AE5B28"/>
    <w:rsid w:val="00AF098B"/>
    <w:rsid w:val="00AF6472"/>
    <w:rsid w:val="00B10293"/>
    <w:rsid w:val="00B1635C"/>
    <w:rsid w:val="00B216F1"/>
    <w:rsid w:val="00B2287B"/>
    <w:rsid w:val="00B30674"/>
    <w:rsid w:val="00B46F2A"/>
    <w:rsid w:val="00B55F37"/>
    <w:rsid w:val="00B6276A"/>
    <w:rsid w:val="00B6586E"/>
    <w:rsid w:val="00B72DF7"/>
    <w:rsid w:val="00B754D2"/>
    <w:rsid w:val="00B75DAB"/>
    <w:rsid w:val="00B7716E"/>
    <w:rsid w:val="00BA79C2"/>
    <w:rsid w:val="00BB629C"/>
    <w:rsid w:val="00BD3FEE"/>
    <w:rsid w:val="00BF6510"/>
    <w:rsid w:val="00C003BF"/>
    <w:rsid w:val="00C14CF8"/>
    <w:rsid w:val="00C3486C"/>
    <w:rsid w:val="00C34E2C"/>
    <w:rsid w:val="00C36B1D"/>
    <w:rsid w:val="00C43EA3"/>
    <w:rsid w:val="00C45263"/>
    <w:rsid w:val="00C55C43"/>
    <w:rsid w:val="00C66C94"/>
    <w:rsid w:val="00C67247"/>
    <w:rsid w:val="00C83591"/>
    <w:rsid w:val="00CA7950"/>
    <w:rsid w:val="00CB2236"/>
    <w:rsid w:val="00CD6734"/>
    <w:rsid w:val="00CD7B74"/>
    <w:rsid w:val="00CF6EF4"/>
    <w:rsid w:val="00D3318F"/>
    <w:rsid w:val="00D3660B"/>
    <w:rsid w:val="00D412D9"/>
    <w:rsid w:val="00D41C9A"/>
    <w:rsid w:val="00D45557"/>
    <w:rsid w:val="00D46227"/>
    <w:rsid w:val="00D52CE8"/>
    <w:rsid w:val="00D54209"/>
    <w:rsid w:val="00D715EF"/>
    <w:rsid w:val="00DA75D0"/>
    <w:rsid w:val="00DC2D6D"/>
    <w:rsid w:val="00DC3493"/>
    <w:rsid w:val="00DC34E5"/>
    <w:rsid w:val="00DD72F3"/>
    <w:rsid w:val="00DE7B45"/>
    <w:rsid w:val="00E20139"/>
    <w:rsid w:val="00E23557"/>
    <w:rsid w:val="00E47EDF"/>
    <w:rsid w:val="00E57C62"/>
    <w:rsid w:val="00E62BD7"/>
    <w:rsid w:val="00E70552"/>
    <w:rsid w:val="00E8540E"/>
    <w:rsid w:val="00E925F2"/>
    <w:rsid w:val="00E95D40"/>
    <w:rsid w:val="00E95E91"/>
    <w:rsid w:val="00EC090B"/>
    <w:rsid w:val="00ED02DB"/>
    <w:rsid w:val="00ED12A8"/>
    <w:rsid w:val="00EE0FFE"/>
    <w:rsid w:val="00EF2F2C"/>
    <w:rsid w:val="00F0052B"/>
    <w:rsid w:val="00F15972"/>
    <w:rsid w:val="00F319E3"/>
    <w:rsid w:val="00F34BD5"/>
    <w:rsid w:val="00F54BE3"/>
    <w:rsid w:val="00F54C02"/>
    <w:rsid w:val="00F72E8A"/>
    <w:rsid w:val="00F77035"/>
    <w:rsid w:val="00FA470D"/>
    <w:rsid w:val="00FE31CE"/>
    <w:rsid w:val="00FF0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9226B4B-F394-4AC1-A942-F374DA21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2F2C"/>
    <w:pPr>
      <w:bidi/>
    </w:pPr>
    <w:rPr>
      <w:rFonts w:cs="Narkisim"/>
      <w:sz w:val="22"/>
      <w:szCs w:val="22"/>
      <w:lang w:eastAsia="he-IL"/>
    </w:rPr>
  </w:style>
  <w:style w:type="paragraph" w:styleId="1">
    <w:name w:val="heading 1"/>
    <w:basedOn w:val="a"/>
    <w:next w:val="a"/>
    <w:link w:val="10"/>
    <w:qFormat/>
    <w:rsid w:val="00EF2F2C"/>
    <w:pPr>
      <w:keepNext/>
      <w:tabs>
        <w:tab w:val="right" w:pos="9469"/>
      </w:tabs>
      <w:jc w:val="both"/>
      <w:outlineLvl w:val="0"/>
    </w:pPr>
    <w:rPr>
      <w:rFonts w:cs="David"/>
      <w:b/>
      <w:bCs/>
      <w:szCs w:val="28"/>
    </w:rPr>
  </w:style>
  <w:style w:type="character" w:default="1" w:styleId="a0">
    <w:name w:val="Default Paragraph Font"/>
    <w:uiPriority w:val="1"/>
    <w:semiHidden/>
    <w:unhideWhenUsed/>
    <w:rsid w:val="00EF2F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F2F2C"/>
  </w:style>
  <w:style w:type="paragraph" w:styleId="a3">
    <w:name w:val="footnote text"/>
    <w:basedOn w:val="a"/>
    <w:link w:val="a4"/>
    <w:semiHidden/>
    <w:rsid w:val="00EF2F2C"/>
    <w:pPr>
      <w:ind w:left="170" w:hanging="170"/>
      <w:jc w:val="both"/>
    </w:pPr>
    <w:rPr>
      <w:sz w:val="20"/>
      <w:szCs w:val="20"/>
    </w:rPr>
  </w:style>
  <w:style w:type="character" w:styleId="a5">
    <w:name w:val="footnote reference"/>
    <w:semiHidden/>
    <w:rsid w:val="00EF2F2C"/>
    <w:rPr>
      <w:vertAlign w:val="superscript"/>
    </w:rPr>
  </w:style>
  <w:style w:type="paragraph" w:styleId="a6">
    <w:name w:val="header"/>
    <w:basedOn w:val="a"/>
    <w:link w:val="a7"/>
    <w:rsid w:val="00EF2F2C"/>
    <w:pPr>
      <w:tabs>
        <w:tab w:val="center" w:pos="4153"/>
        <w:tab w:val="right" w:pos="8306"/>
      </w:tabs>
    </w:pPr>
  </w:style>
  <w:style w:type="paragraph" w:styleId="a8">
    <w:name w:val="footer"/>
    <w:basedOn w:val="a"/>
    <w:link w:val="a9"/>
    <w:rsid w:val="00EF2F2C"/>
    <w:pPr>
      <w:tabs>
        <w:tab w:val="center" w:pos="4153"/>
        <w:tab w:val="right" w:pos="8306"/>
      </w:tabs>
    </w:pPr>
  </w:style>
  <w:style w:type="paragraph" w:customStyle="1" w:styleId="aa">
    <w:name w:val="כותרת"/>
    <w:basedOn w:val="a"/>
    <w:rsid w:val="00EF2F2C"/>
    <w:pPr>
      <w:spacing w:before="240" w:line="320" w:lineRule="atLeast"/>
      <w:jc w:val="center"/>
    </w:pPr>
    <w:rPr>
      <w:rFonts w:cs="David"/>
      <w:b/>
      <w:bCs/>
      <w:spacing w:val="20"/>
      <w:szCs w:val="32"/>
    </w:rPr>
  </w:style>
  <w:style w:type="paragraph" w:customStyle="1" w:styleId="ab">
    <w:name w:val="כותרת קטע"/>
    <w:basedOn w:val="a"/>
    <w:rsid w:val="00EF2F2C"/>
    <w:pPr>
      <w:spacing w:before="240" w:line="300" w:lineRule="atLeast"/>
    </w:pPr>
    <w:rPr>
      <w:rFonts w:cs="Arial"/>
      <w:b/>
      <w:bCs/>
      <w:szCs w:val="24"/>
    </w:rPr>
  </w:style>
  <w:style w:type="paragraph" w:customStyle="1" w:styleId="ac">
    <w:name w:val="מקור"/>
    <w:basedOn w:val="a"/>
    <w:rsid w:val="00EF2F2C"/>
    <w:pPr>
      <w:spacing w:line="320" w:lineRule="atLeast"/>
      <w:jc w:val="both"/>
    </w:pPr>
    <w:rPr>
      <w:rFonts w:cs="David"/>
      <w:szCs w:val="24"/>
    </w:rPr>
  </w:style>
  <w:style w:type="paragraph" w:customStyle="1" w:styleId="ad">
    <w:name w:val="מחלקי המים"/>
    <w:basedOn w:val="a"/>
    <w:rsid w:val="00EF2F2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F2F2C"/>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EF2F2C"/>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semiHidden/>
    <w:rsid w:val="00EF2F2C"/>
    <w:rPr>
      <w:rFonts w:cs="Narkisim"/>
      <w:lang w:eastAsia="he-IL"/>
    </w:rPr>
  </w:style>
  <w:style w:type="character" w:customStyle="1" w:styleId="10">
    <w:name w:val="כותרת 1 תו"/>
    <w:link w:val="1"/>
    <w:rsid w:val="00EF2F2C"/>
    <w:rPr>
      <w:rFonts w:cs="David"/>
      <w:b/>
      <w:bCs/>
      <w:sz w:val="22"/>
      <w:szCs w:val="28"/>
      <w:lang w:eastAsia="he-IL"/>
    </w:rPr>
  </w:style>
  <w:style w:type="character" w:customStyle="1" w:styleId="a7">
    <w:name w:val="כותרת עליונה תו"/>
    <w:link w:val="a6"/>
    <w:rsid w:val="00EF2F2C"/>
    <w:rPr>
      <w:rFonts w:cs="Narkisim"/>
      <w:sz w:val="22"/>
      <w:szCs w:val="22"/>
      <w:lang w:eastAsia="he-IL"/>
    </w:rPr>
  </w:style>
  <w:style w:type="character" w:customStyle="1" w:styleId="a9">
    <w:name w:val="כותרת תחתונה תו"/>
    <w:link w:val="a8"/>
    <w:rsid w:val="00EF2F2C"/>
    <w:rPr>
      <w:rFonts w:cs="Narkisim"/>
      <w:sz w:val="22"/>
      <w:szCs w:val="22"/>
      <w:lang w:eastAsia="he-IL"/>
    </w:rPr>
  </w:style>
  <w:style w:type="character" w:customStyle="1" w:styleId="af1">
    <w:name w:val="טקסט בלונים תו"/>
    <w:link w:val="af0"/>
    <w:uiPriority w:val="99"/>
    <w:semiHidden/>
    <w:rsid w:val="00EF2F2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A0%D7%99-%D7%95%D7%90%D7%AA%D7%94-%D7%A2%D7%95%D7%9E%D7%93%D7%99%D7%9D-%D7%91%D7%96%D7%99%D7%A8%D7%941-%D7%90%D7%95-%D7%A0%D7%99%D7%A6%D7%97%D7%AA-%D7%90%D7%95-%D7%A0%D7%99%D7%A6%D7%97"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ayim.org.il/?parasha=%D7%94%D7%95%D7%9B%D7%97-%D7%AA%D7%95%D7%9B%D7%99%D7%97-%D7%90%D7%AA-%D7%A2%D7%9E%D7%99%D7%AA%D7%9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99%D7%95-%D7%93%D7%91%D7%A8%D7%99%D7%95-%D7%A9%D7%9C-%D7%99%D7%94%D7%95%D7%93%D7%94-%D7%A0%D7%A8%D7%90%D7%99%D7%9D-%D7%9C%D7%9B%D7%9C-%D7%A6%D7%93-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ayim.org.il/?parasha=%D7%91%D7%99%D7%9F-%D7%A1%D7%93%D7%95%D7%9D-%D7%9C%D7%A4%D7%99%D7%9C%D7%92%D7%A9-%D7%91%D7%92%D7%91%D7%A2%D7%941" TargetMode="External"/><Relationship Id="rId4" Type="http://schemas.openxmlformats.org/officeDocument/2006/relationships/footnotes" Target="footnotes.xml"/><Relationship Id="rId9" Type="http://schemas.openxmlformats.org/officeDocument/2006/relationships/hyperlink" Target="https://www.mayim.org.il/?parasha=%d7%93%d7%99%d7%9f-%d7%a2%d7%92%d7%9c%d7%94-%d7%a2%d7%a8%d7%95%d7%a4%d7%9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9%d7%9c%d7%95%d7%a9%d7%94-%d7%94%d7%9e%d7%94-%d7%a0%d7%a4%d7%9c%d7%90%d7%95-%d7%9e%d7%9e%d7%a0%d7%99-%d7%95%d7%90%d7%a8%d7%91%d7%a2%d7%94-%d7%9c%d7%90-%d7%99%d7%93%d7%a2%d7%aa%d7%99%d7%9d" TargetMode="External"/><Relationship Id="rId3" Type="http://schemas.openxmlformats.org/officeDocument/2006/relationships/hyperlink" Target="https://www.mayim.org.il/?parasha=%D7%91%D7%A8%D7%99%D7%AA-%D7%94%D7%A8-%D7%92%D7%A8%D7%99%D7%96%D7%99%D7%9D-%D7%95%D7%94%D7%A8-%D7%A2%D7%99%D7%91%D7%9C" TargetMode="External"/><Relationship Id="rId7" Type="http://schemas.openxmlformats.org/officeDocument/2006/relationships/hyperlink" Target="http://www.mayim.org.il/?parasha=%D7%9E%D7%9B%D7%9E%D7%A0%D7%99-%D7%95%D7%99%D7%A7%D7%A8%D7%90-%D7%A8%D7%91%D7%941-%D7%91%D7%A4%D7%A8%D7%A9%D7%AA-%D7%95%D7%99%D7%A7%D7%A8%D7%902" TargetMode="External"/><Relationship Id="rId2" Type="http://schemas.openxmlformats.org/officeDocument/2006/relationships/hyperlink" Target="http://www.mayim.org.il/?parasha=%D7%94%D7%95%D7%9B%D7%97-%D7%AA%D7%95%D7%9B%D7%99%D7%97-%D7%90%D7%AA-%D7%A2%D7%9E%D7%99%D7%AA%D7%9A" TargetMode="External"/><Relationship Id="rId1" Type="http://schemas.openxmlformats.org/officeDocument/2006/relationships/hyperlink" Target="https://www.mayim.org.il/?parasha=%D7%91%D7%A8%D7%99%D7%AA-%D7%94%D7%A8-%D7%92%D7%A8%D7%99%D7%96%D7%99%D7%9D-%D7%95%D7%94%D7%A8-%D7%A2%D7%99%D7%91%D7%9C" TargetMode="External"/><Relationship Id="rId6" Type="http://schemas.openxmlformats.org/officeDocument/2006/relationships/hyperlink" Target="http://www.mayim.org.il/?holiday=%D7%90%D7%9C-%D7%92%D7%99%D7%A0%D7%AA-%D7%90%D7%92%D7%95%D7%96-%D7%99%D7%A8%D7%93%D7%AA%D7%99" TargetMode="External"/><Relationship Id="rId5" Type="http://schemas.openxmlformats.org/officeDocument/2006/relationships/hyperlink" Target="http://www.mayim.org.il/?parasha=%d7%a2%d7%9b%d7%9f-%d7%91%d7%a4%d7%a8%d7%a9%d7%aa-%d7%9e%d7%a1%d7%a2%d7%991" TargetMode="External"/><Relationship Id="rId4" Type="http://schemas.openxmlformats.org/officeDocument/2006/relationships/hyperlink" Target="http://www.mayim.org.il/?parasha=%d7%94%d7%a0%d7%92%d7%9c%d7%95%d7%aa-%d7%95%d7%94%d7%a0%d7%a1%d7%aa%d7%a8%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977</Words>
  <Characters>4887</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כל ישראל ערבים זה בזה</vt:lpstr>
      <vt:lpstr>כל ישראל ערבים זה בזה</vt:lpstr>
    </vt:vector>
  </TitlesOfParts>
  <Company> </Company>
  <LinksUpToDate>false</LinksUpToDate>
  <CharactersWithSpaces>5853</CharactersWithSpaces>
  <SharedDoc>false</SharedDoc>
  <HLinks>
    <vt:vector size="78" baseType="variant">
      <vt:variant>
        <vt:i4>2752618</vt:i4>
      </vt:variant>
      <vt:variant>
        <vt:i4>15</vt:i4>
      </vt:variant>
      <vt:variant>
        <vt:i4>0</vt:i4>
      </vt:variant>
      <vt:variant>
        <vt:i4>5</vt:i4>
      </vt:variant>
      <vt:variant>
        <vt:lpwstr>https://www.mayim.org.il/?parasha=%D7%91%D7%99%D7%9F-%D7%A1%D7%93%D7%95%D7%9D-%D7%9C%D7%A4%D7%99%D7%9C%D7%92%D7%A9-%D7%91%D7%92%D7%91%D7%A2%D7%941</vt:lpwstr>
      </vt:variant>
      <vt:variant>
        <vt:lpwstr/>
      </vt:variant>
      <vt:variant>
        <vt:i4>1179717</vt:i4>
      </vt:variant>
      <vt:variant>
        <vt:i4>12</vt:i4>
      </vt:variant>
      <vt:variant>
        <vt:i4>0</vt:i4>
      </vt:variant>
      <vt:variant>
        <vt:i4>5</vt:i4>
      </vt:variant>
      <vt:variant>
        <vt:lpwstr>https://www.mayim.org.il/?parasha=%d7%93%d7%99%d7%9f-%d7%a2%d7%92%d7%9c%d7%94-%d7%a2%d7%a8%d7%95%d7%a4%d7%94</vt:lpwstr>
      </vt:variant>
      <vt:variant>
        <vt:lpwstr/>
      </vt: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131164</vt:i4>
      </vt:variant>
      <vt:variant>
        <vt:i4>6</vt:i4>
      </vt:variant>
      <vt:variant>
        <vt:i4>0</vt:i4>
      </vt:variant>
      <vt:variant>
        <vt:i4>5</vt:i4>
      </vt:variant>
      <vt:variant>
        <vt:lpwstr>http://www.mayim.org.il/?parasha=%D7%94%D7%95%D7%9B%D7%97-%D7%AA%D7%95%D7%9B%D7%99%D7%97-%D7%90%D7%AA-%D7%A2%D7%9E%D7%99%D7%AA%D7%9A</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5636119</vt:i4>
      </vt:variant>
      <vt:variant>
        <vt:i4>21</vt:i4>
      </vt:variant>
      <vt:variant>
        <vt:i4>0</vt:i4>
      </vt:variant>
      <vt:variant>
        <vt:i4>5</vt:i4>
      </vt:variant>
      <vt:variant>
        <vt:lpwstr>http://www.mayim.org.il/?holiday=%d7%a9%d7%9c%d7%95%d7%a9%d7%94-%d7%94%d7%9e%d7%94-%d7%a0%d7%a4%d7%9c%d7%90%d7%95-%d7%9e%d7%9e%d7%a0%d7%99-%d7%95%d7%90%d7%a8%d7%91%d7%a2%d7%94-%d7%9c%d7%90-%d7%99%d7%93%d7%a2%d7%aa%d7%99%d7%9d</vt:lpwstr>
      </vt:variant>
      <vt:variant>
        <vt:lpwstr/>
      </vt:variant>
      <vt:variant>
        <vt:i4>1441886</vt:i4>
      </vt:variant>
      <vt:variant>
        <vt:i4>18</vt:i4>
      </vt:variant>
      <vt:variant>
        <vt:i4>0</vt:i4>
      </vt:variant>
      <vt:variant>
        <vt:i4>5</vt:i4>
      </vt:variant>
      <vt:variant>
        <vt:lpwstr>http://www.mayim.org.il/?parasha=%D7%9E%D7%9B%D7%9E%D7%A0%D7%99-%D7%95%D7%99%D7%A7%D7%A8%D7%90-%D7%A8%D7%91%D7%941-%D7%91%D7%A4%D7%A8%D7%A9%D7%AA-%D7%95%D7%99%D7%A7%D7%A8%D7%902</vt:lpwstr>
      </vt:variant>
      <vt:variant>
        <vt:lpwstr/>
      </vt:variant>
      <vt:variant>
        <vt:i4>7602295</vt:i4>
      </vt:variant>
      <vt:variant>
        <vt:i4>15</vt:i4>
      </vt:variant>
      <vt:variant>
        <vt:i4>0</vt:i4>
      </vt:variant>
      <vt:variant>
        <vt:i4>5</vt:i4>
      </vt:variant>
      <vt:variant>
        <vt:lpwstr>http://www.mayim.org.il/?holiday=%D7%90%D7%9C-%D7%92%D7%99%D7%A0%D7%AA-%D7%90%D7%92%D7%95%D7%96-%D7%99%D7%A8%D7%93%D7%AA%D7%99</vt:lpwstr>
      </vt:variant>
      <vt:variant>
        <vt:lpwstr/>
      </vt:variant>
      <vt:variant>
        <vt:i4>4653058</vt:i4>
      </vt:variant>
      <vt:variant>
        <vt:i4>12</vt:i4>
      </vt:variant>
      <vt:variant>
        <vt:i4>0</vt:i4>
      </vt:variant>
      <vt:variant>
        <vt:i4>5</vt:i4>
      </vt:variant>
      <vt:variant>
        <vt:lpwstr>http://www.mayim.org.il/?parasha=%d7%a2%d7%9b%d7%9f-%d7%91%d7%a4%d7%a8%d7%a9%d7%aa-%d7%9e%d7%a1%d7%a2%d7%991</vt:lpwstr>
      </vt:variant>
      <vt:variant>
        <vt:lpwstr/>
      </vt:variant>
      <vt:variant>
        <vt:i4>2883701</vt:i4>
      </vt:variant>
      <vt:variant>
        <vt:i4>9</vt:i4>
      </vt:variant>
      <vt:variant>
        <vt:i4>0</vt:i4>
      </vt:variant>
      <vt:variant>
        <vt:i4>5</vt:i4>
      </vt:variant>
      <vt:variant>
        <vt:lpwstr>http://www.mayim.org.il/?parasha=%d7%94%d7%a0%d7%92%d7%9c%d7%95%d7%aa-%d7%95%d7%94%d7%a0%d7%a1%d7%aa%d7%a8%d7%95%d7%aa1</vt:lpwstr>
      </vt:variant>
      <vt:variant>
        <vt:lpwstr/>
      </vt:variant>
      <vt:variant>
        <vt:i4>5177363</vt:i4>
      </vt:variant>
      <vt:variant>
        <vt:i4>6</vt:i4>
      </vt:variant>
      <vt:variant>
        <vt:i4>0</vt:i4>
      </vt:variant>
      <vt:variant>
        <vt:i4>5</vt:i4>
      </vt:variant>
      <vt:variant>
        <vt:lpwstr>https://www.mayim.org.il/?parasha=%D7%91%D7%A8%D7%99%D7%AA-%D7%94%D7%A8-%D7%92%D7%A8%D7%99%D7%96%D7%99%D7%9D-%D7%95%D7%94%D7%A8-%D7%A2%D7%99%D7%91%D7%9C</vt:lpwstr>
      </vt:variant>
      <vt:variant>
        <vt:lpwstr/>
      </vt:variant>
      <vt:variant>
        <vt:i4>131164</vt:i4>
      </vt:variant>
      <vt:variant>
        <vt:i4>3</vt:i4>
      </vt:variant>
      <vt:variant>
        <vt:i4>0</vt:i4>
      </vt:variant>
      <vt:variant>
        <vt:i4>5</vt:i4>
      </vt:variant>
      <vt:variant>
        <vt:lpwstr>http://www.mayim.org.il/?parasha=%D7%94%D7%95%D7%9B%D7%97-%D7%AA%D7%95%D7%9B%D7%99%D7%97-%D7%90%D7%AA-%D7%A2%D7%9E%D7%99%D7%AA%D7%9A</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כל ישראל ערבים זה בזה</dc:title>
  <dc:subject>בחוקותי</dc:subject>
  <dc:creator>Asher Yuval</dc:creator>
  <cp:keywords/>
  <dc:description/>
  <cp:lastModifiedBy>שמעון אפק</cp:lastModifiedBy>
  <cp:revision>2</cp:revision>
  <cp:lastPrinted>2011-05-20T14:51:00Z</cp:lastPrinted>
  <dcterms:created xsi:type="dcterms:W3CDTF">2018-05-06T05:50:00Z</dcterms:created>
  <dcterms:modified xsi:type="dcterms:W3CDTF">2018-05-06T05:50:00Z</dcterms:modified>
</cp:coreProperties>
</file>