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D19" w:rsidRDefault="00121548" w:rsidP="00743E11">
      <w:pPr>
        <w:pStyle w:val="aa"/>
        <w:spacing w:line="360" w:lineRule="auto"/>
        <w:rPr>
          <w:rFonts w:hint="cs"/>
          <w:rtl/>
        </w:rPr>
      </w:pPr>
      <w:bookmarkStart w:id="0" w:name="_GoBack"/>
      <w:bookmarkEnd w:id="0"/>
      <w:r>
        <w:rPr>
          <w:rFonts w:hint="cs"/>
          <w:rtl/>
        </w:rPr>
        <w:t>מה לכהן בבית הקברות</w:t>
      </w:r>
    </w:p>
    <w:p w:rsidR="00743E11" w:rsidRPr="00743E11" w:rsidRDefault="00743E11" w:rsidP="00551D16">
      <w:pPr>
        <w:pStyle w:val="ac"/>
        <w:spacing w:before="240"/>
        <w:rPr>
          <w:rFonts w:cs="Narkisim"/>
          <w:szCs w:val="22"/>
          <w:rtl/>
        </w:rPr>
      </w:pPr>
      <w:r w:rsidRPr="00743E11">
        <w:rPr>
          <w:rFonts w:cs="Narkisim" w:hint="cs"/>
          <w:b/>
          <w:bCs/>
          <w:szCs w:val="22"/>
          <w:rtl/>
        </w:rPr>
        <w:t>מים ראשונים:</w:t>
      </w:r>
      <w:r w:rsidRPr="00743E11">
        <w:rPr>
          <w:rFonts w:cs="Narkisim" w:hint="cs"/>
          <w:szCs w:val="22"/>
          <w:rtl/>
        </w:rPr>
        <w:t xml:space="preserve"> אחד הנושאים שהמדרש נדרש להם, סביב יציאת מצרים, הוא הימצאות השכינה או התגלות הקב"ה בארץ מצרים מקום הטומאה ועבודת גילולים. והרי בידוע שאין השכינה שורה אלא במקום טהור (ויקרא רבה לו ג, שילוח המצורעים מחוץ למחנה</w:t>
      </w:r>
      <w:r w:rsidR="00DB3281">
        <w:rPr>
          <w:rFonts w:cs="Narkisim" w:hint="cs"/>
          <w:szCs w:val="22"/>
          <w:rtl/>
        </w:rPr>
        <w:t xml:space="preserve">, ויונה, כמובן, שנראה להלן </w:t>
      </w:r>
      <w:r w:rsidRPr="00743E11">
        <w:rPr>
          <w:rFonts w:cs="Narkisim" w:hint="cs"/>
          <w:szCs w:val="22"/>
          <w:rtl/>
        </w:rPr>
        <w:t xml:space="preserve">ועוד). וכבר נדרשנו לנושא זה בעקיפין בדברינו </w:t>
      </w:r>
      <w:hyperlink r:id="rId6" w:history="1">
        <w:r w:rsidRPr="00743E11">
          <w:rPr>
            <w:rStyle w:val="Hyperlink"/>
            <w:rFonts w:cs="Narkisim" w:hint="cs"/>
            <w:szCs w:val="22"/>
            <w:rtl/>
          </w:rPr>
          <w:t>לי ולכם היא הגאולה</w:t>
        </w:r>
      </w:hyperlink>
      <w:r w:rsidRPr="00743E11">
        <w:rPr>
          <w:rFonts w:cs="Narkisim" w:hint="cs"/>
          <w:szCs w:val="22"/>
          <w:rtl/>
        </w:rPr>
        <w:t xml:space="preserve"> ובדברינו </w:t>
      </w:r>
      <w:hyperlink r:id="rId7" w:history="1">
        <w:r w:rsidRPr="00743E11">
          <w:rPr>
            <w:rStyle w:val="Hyperlink"/>
            <w:rFonts w:cs="Narkisim" w:hint="cs"/>
            <w:szCs w:val="22"/>
            <w:rtl/>
          </w:rPr>
          <w:t>בשביל מי נגלה הקב"ה במצרים</w:t>
        </w:r>
      </w:hyperlink>
      <w:r w:rsidRPr="00743E11">
        <w:rPr>
          <w:rFonts w:cs="Narkisim" w:hint="cs"/>
          <w:szCs w:val="22"/>
          <w:rtl/>
        </w:rPr>
        <w:t xml:space="preserve">, שניהם בפרשה זו; וכמו כן בדברינו </w:t>
      </w:r>
      <w:hyperlink r:id="rId8" w:history="1">
        <w:r w:rsidRPr="00743E11">
          <w:rPr>
            <w:rStyle w:val="Hyperlink"/>
            <w:rFonts w:cs="Narkisim" w:hint="cs"/>
            <w:szCs w:val="22"/>
            <w:rtl/>
          </w:rPr>
          <w:t>והתעלמת – פעמים שאתה מתעלם</w:t>
        </w:r>
      </w:hyperlink>
      <w:r w:rsidRPr="00743E11">
        <w:rPr>
          <w:rFonts w:cs="Narkisim" w:hint="cs"/>
          <w:szCs w:val="22"/>
          <w:rtl/>
        </w:rPr>
        <w:t xml:space="preserve"> בפרשת כי תצא. </w:t>
      </w:r>
      <w:r w:rsidR="00551D16">
        <w:rPr>
          <w:rFonts w:cs="Narkisim" w:hint="cs"/>
          <w:szCs w:val="22"/>
          <w:rtl/>
        </w:rPr>
        <w:t xml:space="preserve">אך </w:t>
      </w:r>
      <w:r w:rsidRPr="00743E11">
        <w:rPr>
          <w:rFonts w:cs="Narkisim" w:hint="cs"/>
          <w:szCs w:val="22"/>
          <w:rtl/>
        </w:rPr>
        <w:t>נשוב ונדרוש בנושא זה שחביב עלינו מאד ובעזרת החונן לאדם דעת נוסיף ונחדש בו דבר, שהרי כבר הבטיחונו רבותינו: "אי אפשר לבית המדרש בלא חידוש" (חגיגה ג ע"א).</w:t>
      </w:r>
    </w:p>
    <w:p w:rsidR="005536D7" w:rsidRDefault="00F25B40" w:rsidP="00AE7399">
      <w:pPr>
        <w:autoSpaceDE w:val="0"/>
        <w:autoSpaceDN w:val="0"/>
        <w:adjustRightInd w:val="0"/>
        <w:spacing w:before="240" w:line="320" w:lineRule="atLeast"/>
        <w:jc w:val="both"/>
        <w:rPr>
          <w:rFonts w:cs="David" w:hint="cs"/>
          <w:b/>
          <w:bCs/>
          <w:szCs w:val="24"/>
          <w:rtl/>
        </w:rPr>
      </w:pPr>
      <w:r w:rsidRPr="00F25B40">
        <w:rPr>
          <w:rFonts w:cs="David"/>
          <w:b/>
          <w:bCs/>
          <w:szCs w:val="24"/>
          <w:rtl/>
        </w:rPr>
        <w:t xml:space="preserve">וַיֹּאמֶר </w:t>
      </w:r>
      <w:r>
        <w:rPr>
          <w:rFonts w:cs="David" w:hint="cs"/>
          <w:b/>
          <w:bCs/>
          <w:szCs w:val="24"/>
          <w:rtl/>
        </w:rPr>
        <w:t>ה'</w:t>
      </w:r>
      <w:r w:rsidRPr="00F25B40">
        <w:rPr>
          <w:rFonts w:cs="David"/>
          <w:b/>
          <w:bCs/>
          <w:szCs w:val="24"/>
          <w:rtl/>
        </w:rPr>
        <w:t xml:space="preserve"> אֶל מֹשֶׁה וְאֶל אַהֲרֹן בְּאֶרֶץ מִצְרַיִם לֵאמֹר:</w:t>
      </w:r>
      <w:r>
        <w:rPr>
          <w:rFonts w:cs="David" w:hint="cs"/>
          <w:b/>
          <w:bCs/>
          <w:szCs w:val="24"/>
          <w:rtl/>
        </w:rPr>
        <w:t xml:space="preserve"> </w:t>
      </w:r>
      <w:r w:rsidRPr="00F25B40">
        <w:rPr>
          <w:rFonts w:cs="David"/>
          <w:b/>
          <w:bCs/>
          <w:szCs w:val="24"/>
          <w:rtl/>
        </w:rPr>
        <w:t>הַחֹדֶשׁ הַזֶּה לָכֶם רֹאשׁ חֳדָשִׁים רִאשׁוֹן הוּא לָכֶם לְחָדְשֵׁי הַשָּׁנָה:</w:t>
      </w:r>
      <w:r w:rsidR="005536D7" w:rsidRPr="00881623">
        <w:rPr>
          <w:rFonts w:cs="David"/>
          <w:b/>
          <w:bCs/>
          <w:szCs w:val="24"/>
          <w:rtl/>
        </w:rPr>
        <w:t xml:space="preserve"> </w:t>
      </w:r>
      <w:r w:rsidR="003573AF" w:rsidRPr="00881623">
        <w:rPr>
          <w:rFonts w:hint="cs"/>
          <w:rtl/>
        </w:rPr>
        <w:t>(</w:t>
      </w:r>
      <w:r w:rsidR="005536D7" w:rsidRPr="00881623">
        <w:rPr>
          <w:rtl/>
        </w:rPr>
        <w:t>שמות</w:t>
      </w:r>
      <w:r w:rsidR="005536D7" w:rsidRPr="00881623">
        <w:rPr>
          <w:rFonts w:hint="cs"/>
          <w:rtl/>
        </w:rPr>
        <w:t xml:space="preserve"> י</w:t>
      </w:r>
      <w:r w:rsidR="00E87EFA" w:rsidRPr="00881623">
        <w:rPr>
          <w:rFonts w:hint="cs"/>
          <w:rtl/>
        </w:rPr>
        <w:t xml:space="preserve">ב </w:t>
      </w:r>
      <w:r>
        <w:rPr>
          <w:rFonts w:hint="cs"/>
          <w:rtl/>
        </w:rPr>
        <w:t>א-ב</w:t>
      </w:r>
      <w:r w:rsidR="005536D7" w:rsidRPr="00881623">
        <w:rPr>
          <w:rFonts w:hint="cs"/>
          <w:rtl/>
        </w:rPr>
        <w:t>)</w:t>
      </w:r>
      <w:r w:rsidR="00BB5F5B" w:rsidRPr="00881623">
        <w:rPr>
          <w:rFonts w:hint="cs"/>
          <w:rtl/>
        </w:rPr>
        <w:t>.</w:t>
      </w:r>
      <w:r w:rsidR="005536D7" w:rsidRPr="00881623">
        <w:rPr>
          <w:rStyle w:val="a5"/>
          <w:rFonts w:cs="David"/>
          <w:b/>
          <w:bCs/>
          <w:szCs w:val="24"/>
          <w:rtl/>
        </w:rPr>
        <w:footnoteReference w:id="1"/>
      </w:r>
    </w:p>
    <w:p w:rsidR="00F04DB1" w:rsidRPr="00F04DB1" w:rsidRDefault="00F04DB1" w:rsidP="00F5665A">
      <w:pPr>
        <w:pStyle w:val="ab"/>
        <w:rPr>
          <w:rtl/>
        </w:rPr>
      </w:pPr>
      <w:r w:rsidRPr="00F04DB1">
        <w:rPr>
          <w:rtl/>
        </w:rPr>
        <w:t xml:space="preserve">שמות רבה פרשה ה </w:t>
      </w:r>
      <w:r w:rsidR="00F5665A">
        <w:rPr>
          <w:rFonts w:hint="cs"/>
          <w:rtl/>
        </w:rPr>
        <w:t>סימן יד</w:t>
      </w:r>
      <w:r w:rsidR="006C58B8">
        <w:rPr>
          <w:rFonts w:hint="cs"/>
          <w:rtl/>
        </w:rPr>
        <w:t xml:space="preserve"> </w:t>
      </w:r>
      <w:r w:rsidR="006C58B8">
        <w:rPr>
          <w:rtl/>
        </w:rPr>
        <w:t>–</w:t>
      </w:r>
      <w:r w:rsidR="006C58B8">
        <w:rPr>
          <w:rFonts w:hint="cs"/>
          <w:rtl/>
        </w:rPr>
        <w:t xml:space="preserve"> מי ראה כהן בבית הקברות?</w:t>
      </w:r>
    </w:p>
    <w:p w:rsidR="00F04DB1" w:rsidRDefault="00F04DB1" w:rsidP="00160169">
      <w:pPr>
        <w:pStyle w:val="ac"/>
        <w:rPr>
          <w:rFonts w:hint="cs"/>
          <w:rtl/>
        </w:rPr>
      </w:pPr>
      <w:r>
        <w:rPr>
          <w:rFonts w:hint="cs"/>
          <w:rtl/>
        </w:rPr>
        <w:t xml:space="preserve">... </w:t>
      </w:r>
      <w:r w:rsidRPr="00F04DB1">
        <w:rPr>
          <w:rtl/>
        </w:rPr>
        <w:t>אמר להם</w:t>
      </w:r>
      <w:r>
        <w:rPr>
          <w:rFonts w:hint="cs"/>
          <w:rtl/>
        </w:rPr>
        <w:t xml:space="preserve">: </w:t>
      </w:r>
      <w:r w:rsidRPr="00F04DB1">
        <w:rPr>
          <w:rtl/>
        </w:rPr>
        <w:t>מי אתם</w:t>
      </w:r>
      <w:r>
        <w:rPr>
          <w:rFonts w:hint="cs"/>
          <w:rtl/>
        </w:rPr>
        <w:t>?</w:t>
      </w:r>
      <w:r w:rsidRPr="00F04DB1">
        <w:rPr>
          <w:rtl/>
        </w:rPr>
        <w:t xml:space="preserve"> אמרו לו</w:t>
      </w:r>
      <w:r>
        <w:rPr>
          <w:rFonts w:hint="cs"/>
          <w:rtl/>
        </w:rPr>
        <w:t>:</w:t>
      </w:r>
      <w:r w:rsidRPr="00F04DB1">
        <w:rPr>
          <w:rtl/>
        </w:rPr>
        <w:t xml:space="preserve"> שלוחיו של </w:t>
      </w:r>
      <w:r w:rsidR="00F5665A">
        <w:rPr>
          <w:rFonts w:hint="cs"/>
          <w:rtl/>
        </w:rPr>
        <w:t>הקב"ה</w:t>
      </w:r>
      <w:r w:rsidRPr="00F04DB1">
        <w:rPr>
          <w:rtl/>
        </w:rPr>
        <w:t xml:space="preserve"> אנו</w:t>
      </w:r>
      <w:r w:rsidR="00F5665A">
        <w:rPr>
          <w:rFonts w:hint="cs"/>
          <w:rtl/>
        </w:rPr>
        <w:t xml:space="preserve"> ...</w:t>
      </w:r>
      <w:r w:rsidR="00F5665A">
        <w:rPr>
          <w:rStyle w:val="a5"/>
          <w:rtl/>
        </w:rPr>
        <w:footnoteReference w:id="2"/>
      </w:r>
      <w:r w:rsidRPr="00F04DB1">
        <w:rPr>
          <w:rtl/>
        </w:rPr>
        <w:t xml:space="preserve"> אמר להם</w:t>
      </w:r>
      <w:r w:rsidR="00F5665A">
        <w:rPr>
          <w:rFonts w:hint="cs"/>
          <w:rtl/>
        </w:rPr>
        <w:t>:</w:t>
      </w:r>
      <w:r w:rsidRPr="00F04DB1">
        <w:rPr>
          <w:rtl/>
        </w:rPr>
        <w:t xml:space="preserve"> המתינו לי עד שאחפש בספר שלי</w:t>
      </w:r>
      <w:r w:rsidR="00F5665A">
        <w:rPr>
          <w:rFonts w:hint="cs"/>
          <w:rtl/>
        </w:rPr>
        <w:t>.</w:t>
      </w:r>
      <w:r w:rsidRPr="00F04DB1">
        <w:rPr>
          <w:rtl/>
        </w:rPr>
        <w:t xml:space="preserve"> מיד נכנס לבית ארמון שלו והיה מביט בכל אומה ואומה ואל</w:t>
      </w:r>
      <w:r w:rsidR="005D038D">
        <w:rPr>
          <w:rFonts w:hint="cs"/>
          <w:rtl/>
        </w:rPr>
        <w:t>ו</w:t>
      </w:r>
      <w:r w:rsidRPr="00F04DB1">
        <w:rPr>
          <w:rtl/>
        </w:rPr>
        <w:t xml:space="preserve">היה </w:t>
      </w:r>
      <w:r w:rsidR="005D038D">
        <w:rPr>
          <w:rFonts w:hint="cs"/>
          <w:rtl/>
        </w:rPr>
        <w:t xml:space="preserve">... </w:t>
      </w:r>
      <w:r w:rsidRPr="00F04DB1">
        <w:rPr>
          <w:rtl/>
        </w:rPr>
        <w:t>אמר להם</w:t>
      </w:r>
      <w:r w:rsidR="00F5665A">
        <w:rPr>
          <w:rFonts w:hint="cs"/>
          <w:rtl/>
        </w:rPr>
        <w:t>:</w:t>
      </w:r>
      <w:r w:rsidRPr="00F04DB1">
        <w:rPr>
          <w:rtl/>
        </w:rPr>
        <w:t xml:space="preserve"> ח</w:t>
      </w:r>
      <w:r w:rsidR="005D038D">
        <w:rPr>
          <w:rFonts w:hint="cs"/>
          <w:rtl/>
        </w:rPr>
        <w:t>י</w:t>
      </w:r>
      <w:r w:rsidRPr="00F04DB1">
        <w:rPr>
          <w:rtl/>
        </w:rPr>
        <w:t>פשתי שמו בבית גנזי ולא מצאתי אותו</w:t>
      </w:r>
      <w:r w:rsidR="005D038D">
        <w:rPr>
          <w:rFonts w:hint="cs"/>
          <w:rtl/>
        </w:rPr>
        <w:t>.</w:t>
      </w:r>
      <w:r w:rsidRPr="00F04DB1">
        <w:rPr>
          <w:rtl/>
        </w:rPr>
        <w:t xml:space="preserve"> א</w:t>
      </w:r>
      <w:r w:rsidR="005D038D">
        <w:rPr>
          <w:rFonts w:hint="cs"/>
          <w:rtl/>
        </w:rPr>
        <w:t xml:space="preserve">מר ר' </w:t>
      </w:r>
      <w:r w:rsidRPr="00F04DB1">
        <w:rPr>
          <w:rtl/>
        </w:rPr>
        <w:t>לוי</w:t>
      </w:r>
      <w:r w:rsidR="005D038D">
        <w:rPr>
          <w:rFonts w:hint="cs"/>
          <w:rtl/>
        </w:rPr>
        <w:t>:</w:t>
      </w:r>
      <w:r w:rsidRPr="00F04DB1">
        <w:rPr>
          <w:rtl/>
        </w:rPr>
        <w:t xml:space="preserve"> משל למה</w:t>
      </w:r>
      <w:r w:rsidR="005D038D">
        <w:rPr>
          <w:rFonts w:hint="cs"/>
          <w:rtl/>
        </w:rPr>
        <w:t xml:space="preserve"> הדבר דומה? </w:t>
      </w:r>
      <w:r w:rsidRPr="00F04DB1">
        <w:rPr>
          <w:rtl/>
        </w:rPr>
        <w:t>לכהן שהיה לו עבד שוטה</w:t>
      </w:r>
      <w:r w:rsidR="005D038D">
        <w:rPr>
          <w:rFonts w:hint="cs"/>
          <w:rtl/>
        </w:rPr>
        <w:t>.</w:t>
      </w:r>
      <w:r w:rsidRPr="00F04DB1">
        <w:rPr>
          <w:rtl/>
        </w:rPr>
        <w:t xml:space="preserve"> יצא הכהן חוץ למדינה</w:t>
      </w:r>
      <w:r w:rsidR="005D038D">
        <w:rPr>
          <w:rFonts w:hint="cs"/>
          <w:rtl/>
        </w:rPr>
        <w:t>.</w:t>
      </w:r>
      <w:r w:rsidRPr="00F04DB1">
        <w:rPr>
          <w:rtl/>
        </w:rPr>
        <w:t xml:space="preserve"> הלך העבד לבקש את רבו בבית הקברות</w:t>
      </w:r>
      <w:r w:rsidR="005D038D">
        <w:rPr>
          <w:rFonts w:hint="cs"/>
          <w:rtl/>
        </w:rPr>
        <w:t>.</w:t>
      </w:r>
      <w:r w:rsidRPr="00F04DB1">
        <w:rPr>
          <w:rtl/>
        </w:rPr>
        <w:t xml:space="preserve"> התחיל צווח לבני אדם שעומדים שם</w:t>
      </w:r>
      <w:r w:rsidR="005D038D">
        <w:rPr>
          <w:rFonts w:hint="cs"/>
          <w:rtl/>
        </w:rPr>
        <w:t>:</w:t>
      </w:r>
      <w:r w:rsidRPr="00F04DB1">
        <w:rPr>
          <w:rtl/>
        </w:rPr>
        <w:t xml:space="preserve"> לא ראיתם בכאן רבי</w:t>
      </w:r>
      <w:r w:rsidR="005D038D">
        <w:rPr>
          <w:rFonts w:hint="cs"/>
          <w:rtl/>
        </w:rPr>
        <w:t>?</w:t>
      </w:r>
      <w:r w:rsidRPr="00F04DB1">
        <w:rPr>
          <w:rtl/>
        </w:rPr>
        <w:t xml:space="preserve"> אמרו לו</w:t>
      </w:r>
      <w:r w:rsidR="005D038D">
        <w:rPr>
          <w:rFonts w:hint="cs"/>
          <w:rtl/>
        </w:rPr>
        <w:t>:</w:t>
      </w:r>
      <w:r w:rsidRPr="00F04DB1">
        <w:rPr>
          <w:rtl/>
        </w:rPr>
        <w:t xml:space="preserve"> רבך לאו כהן הוא</w:t>
      </w:r>
      <w:r w:rsidR="005D038D">
        <w:rPr>
          <w:rFonts w:hint="cs"/>
          <w:rtl/>
        </w:rPr>
        <w:t>?</w:t>
      </w:r>
      <w:r w:rsidR="005D038D">
        <w:rPr>
          <w:rtl/>
        </w:rPr>
        <w:t xml:space="preserve"> אמר לה</w:t>
      </w:r>
      <w:r w:rsidR="005D038D">
        <w:rPr>
          <w:rFonts w:hint="cs"/>
          <w:rtl/>
        </w:rPr>
        <w:t>ם:</w:t>
      </w:r>
      <w:r w:rsidRPr="00F04DB1">
        <w:rPr>
          <w:rtl/>
        </w:rPr>
        <w:t xml:space="preserve"> הן</w:t>
      </w:r>
      <w:r w:rsidR="005D038D">
        <w:rPr>
          <w:rFonts w:hint="cs"/>
          <w:rtl/>
        </w:rPr>
        <w:t>.</w:t>
      </w:r>
      <w:r w:rsidRPr="00F04DB1">
        <w:rPr>
          <w:rtl/>
        </w:rPr>
        <w:t xml:space="preserve"> אמרו לו</w:t>
      </w:r>
      <w:r w:rsidR="00EB0DAA">
        <w:rPr>
          <w:rFonts w:hint="cs"/>
          <w:rtl/>
        </w:rPr>
        <w:t>:</w:t>
      </w:r>
      <w:r w:rsidRPr="00F04DB1">
        <w:rPr>
          <w:rtl/>
        </w:rPr>
        <w:t xml:space="preserve"> שוטה </w:t>
      </w:r>
      <w:r w:rsidR="00EB0DAA">
        <w:rPr>
          <w:rFonts w:hint="cs"/>
          <w:rtl/>
        </w:rPr>
        <w:t xml:space="preserve">שבעולם, </w:t>
      </w:r>
      <w:r w:rsidRPr="00F04DB1">
        <w:rPr>
          <w:rtl/>
        </w:rPr>
        <w:t>מי ראה כהן בבית הקברות</w:t>
      </w:r>
      <w:r w:rsidR="00EB0DAA">
        <w:rPr>
          <w:rFonts w:hint="cs"/>
          <w:rtl/>
        </w:rPr>
        <w:t>?</w:t>
      </w:r>
      <w:r w:rsidR="007A3071">
        <w:rPr>
          <w:rStyle w:val="a5"/>
          <w:rtl/>
        </w:rPr>
        <w:footnoteReference w:id="3"/>
      </w:r>
      <w:r w:rsidRPr="00F04DB1">
        <w:rPr>
          <w:rtl/>
        </w:rPr>
        <w:t xml:space="preserve"> כך אמרו משה ואהרן לפרעה</w:t>
      </w:r>
      <w:r w:rsidR="007A3071">
        <w:rPr>
          <w:rFonts w:hint="cs"/>
          <w:rtl/>
        </w:rPr>
        <w:t>:</w:t>
      </w:r>
      <w:r w:rsidRPr="00F04DB1">
        <w:rPr>
          <w:rtl/>
        </w:rPr>
        <w:t xml:space="preserve"> שוטה</w:t>
      </w:r>
      <w:r w:rsidR="007A3071">
        <w:rPr>
          <w:rFonts w:hint="cs"/>
          <w:rtl/>
        </w:rPr>
        <w:t>,</w:t>
      </w:r>
      <w:r w:rsidRPr="00F04DB1">
        <w:rPr>
          <w:rtl/>
        </w:rPr>
        <w:t xml:space="preserve"> דרכ</w:t>
      </w:r>
      <w:r w:rsidR="007A3071">
        <w:rPr>
          <w:rFonts w:hint="cs"/>
          <w:rtl/>
        </w:rPr>
        <w:t>ם</w:t>
      </w:r>
      <w:r w:rsidRPr="00F04DB1">
        <w:rPr>
          <w:rtl/>
        </w:rPr>
        <w:t xml:space="preserve"> של מתים לת</w:t>
      </w:r>
      <w:r w:rsidR="007A3071">
        <w:rPr>
          <w:rFonts w:hint="cs"/>
          <w:rtl/>
        </w:rPr>
        <w:t>ו</w:t>
      </w:r>
      <w:r w:rsidRPr="00F04DB1">
        <w:rPr>
          <w:rtl/>
        </w:rPr>
        <w:t>בע</w:t>
      </w:r>
      <w:r w:rsidR="007A3071">
        <w:rPr>
          <w:rFonts w:hint="cs"/>
          <w:rtl/>
        </w:rPr>
        <w:t>ם</w:t>
      </w:r>
      <w:r w:rsidRPr="00F04DB1">
        <w:rPr>
          <w:rtl/>
        </w:rPr>
        <w:t xml:space="preserve"> בין החיים</w:t>
      </w:r>
      <w:r w:rsidR="007A3071">
        <w:rPr>
          <w:rFonts w:hint="cs"/>
          <w:rtl/>
        </w:rPr>
        <w:t>,</w:t>
      </w:r>
      <w:r w:rsidRPr="00F04DB1">
        <w:rPr>
          <w:rtl/>
        </w:rPr>
        <w:t xml:space="preserve"> שמא החיים אצל המתים</w:t>
      </w:r>
      <w:r w:rsidR="007A3071">
        <w:rPr>
          <w:rFonts w:hint="cs"/>
          <w:rtl/>
        </w:rPr>
        <w:t>?</w:t>
      </w:r>
      <w:r w:rsidRPr="00F04DB1">
        <w:rPr>
          <w:rtl/>
        </w:rPr>
        <w:t xml:space="preserve"> אל</w:t>
      </w:r>
      <w:r w:rsidR="007A3071">
        <w:rPr>
          <w:rFonts w:hint="cs"/>
          <w:rtl/>
        </w:rPr>
        <w:t>ו</w:t>
      </w:r>
      <w:r w:rsidRPr="00F04DB1">
        <w:rPr>
          <w:rtl/>
        </w:rPr>
        <w:t>הינו חי הוא</w:t>
      </w:r>
      <w:r w:rsidR="007A3071">
        <w:rPr>
          <w:rFonts w:hint="cs"/>
          <w:rtl/>
        </w:rPr>
        <w:t xml:space="preserve">! </w:t>
      </w:r>
      <w:r w:rsidRPr="00F04DB1">
        <w:rPr>
          <w:rtl/>
        </w:rPr>
        <w:t>אלו שאתה אומר</w:t>
      </w:r>
      <w:r w:rsidR="00160169">
        <w:rPr>
          <w:rFonts w:hint="cs"/>
          <w:rtl/>
        </w:rPr>
        <w:t>,</w:t>
      </w:r>
      <w:r w:rsidRPr="00F04DB1">
        <w:rPr>
          <w:rtl/>
        </w:rPr>
        <w:t xml:space="preserve"> מתים הם</w:t>
      </w:r>
      <w:r w:rsidR="00160169">
        <w:rPr>
          <w:rFonts w:hint="cs"/>
          <w:rtl/>
        </w:rPr>
        <w:t>.</w:t>
      </w:r>
      <w:r w:rsidR="00160169">
        <w:rPr>
          <w:rStyle w:val="a5"/>
          <w:rtl/>
        </w:rPr>
        <w:footnoteReference w:id="4"/>
      </w:r>
      <w:r w:rsidRPr="00F04DB1">
        <w:rPr>
          <w:rtl/>
        </w:rPr>
        <w:t xml:space="preserve"> אבל אל</w:t>
      </w:r>
      <w:r w:rsidR="00AE7399">
        <w:rPr>
          <w:rFonts w:hint="cs"/>
          <w:rtl/>
        </w:rPr>
        <w:t>ו</w:t>
      </w:r>
      <w:r w:rsidRPr="00F04DB1">
        <w:rPr>
          <w:rtl/>
        </w:rPr>
        <w:t>הינו הוא אלהים חיים ומלך עולם</w:t>
      </w:r>
      <w:r w:rsidR="007A3071">
        <w:rPr>
          <w:rFonts w:hint="cs"/>
          <w:rtl/>
        </w:rPr>
        <w:t>.</w:t>
      </w:r>
      <w:r w:rsidR="00B44037">
        <w:rPr>
          <w:rStyle w:val="a5"/>
          <w:rtl/>
        </w:rPr>
        <w:footnoteReference w:id="5"/>
      </w:r>
    </w:p>
    <w:p w:rsidR="00A145DF" w:rsidRDefault="00A145DF" w:rsidP="00A145DF">
      <w:pPr>
        <w:pStyle w:val="ab"/>
        <w:rPr>
          <w:rtl/>
        </w:rPr>
      </w:pPr>
      <w:r>
        <w:rPr>
          <w:rtl/>
        </w:rPr>
        <w:t xml:space="preserve">מכילתא דרבי ישמעאל בא - מסכתא דפסחא פרשה א </w:t>
      </w:r>
      <w:r w:rsidR="006C58B8">
        <w:rPr>
          <w:rtl/>
        </w:rPr>
        <w:t>–</w:t>
      </w:r>
      <w:r w:rsidR="006C58B8">
        <w:rPr>
          <w:rFonts w:hint="cs"/>
          <w:rtl/>
        </w:rPr>
        <w:t xml:space="preserve"> מחוץ לכרך</w:t>
      </w:r>
    </w:p>
    <w:p w:rsidR="00A145DF" w:rsidRDefault="00A145DF" w:rsidP="00E7743C">
      <w:pPr>
        <w:pStyle w:val="ac"/>
        <w:rPr>
          <w:rFonts w:hint="cs"/>
          <w:rtl/>
        </w:rPr>
      </w:pPr>
      <w:r>
        <w:rPr>
          <w:rFonts w:hint="cs"/>
          <w:rtl/>
        </w:rPr>
        <w:t>"</w:t>
      </w:r>
      <w:r>
        <w:rPr>
          <w:rtl/>
        </w:rPr>
        <w:t>בארץ מצרים</w:t>
      </w:r>
      <w:r>
        <w:rPr>
          <w:rFonts w:hint="cs"/>
          <w:rtl/>
        </w:rPr>
        <w:t xml:space="preserve">" - </w:t>
      </w:r>
      <w:r>
        <w:rPr>
          <w:rtl/>
        </w:rPr>
        <w:t>חוץ לכרך</w:t>
      </w:r>
      <w:r>
        <w:rPr>
          <w:rFonts w:hint="cs"/>
          <w:rtl/>
        </w:rPr>
        <w:t>.</w:t>
      </w:r>
      <w:r>
        <w:rPr>
          <w:rtl/>
        </w:rPr>
        <w:t xml:space="preserve"> אתה אומר חוץ לכרך או אינו אלא בתוך הכרך</w:t>
      </w:r>
      <w:r>
        <w:rPr>
          <w:rFonts w:hint="cs"/>
          <w:rtl/>
        </w:rPr>
        <w:t>?</w:t>
      </w:r>
      <w:r>
        <w:rPr>
          <w:rtl/>
        </w:rPr>
        <w:t xml:space="preserve"> כשהוא אומר</w:t>
      </w:r>
      <w:r>
        <w:rPr>
          <w:rFonts w:hint="cs"/>
          <w:rtl/>
        </w:rPr>
        <w:t>:</w:t>
      </w:r>
      <w:r>
        <w:rPr>
          <w:rtl/>
        </w:rPr>
        <w:t xml:space="preserve"> </w:t>
      </w:r>
      <w:r>
        <w:rPr>
          <w:rFonts w:hint="cs"/>
          <w:rtl/>
        </w:rPr>
        <w:t>"</w:t>
      </w:r>
      <w:r>
        <w:rPr>
          <w:rtl/>
        </w:rPr>
        <w:t xml:space="preserve">ויאמר אליו משה כצאתי את העיר </w:t>
      </w:r>
      <w:r>
        <w:rPr>
          <w:rFonts w:hint="cs"/>
          <w:rtl/>
        </w:rPr>
        <w:t>אפרוש את כפי אל ה' "</w:t>
      </w:r>
      <w:r>
        <w:rPr>
          <w:rtl/>
        </w:rPr>
        <w:t xml:space="preserve"> (שמות ט כט) </w:t>
      </w:r>
      <w:r w:rsidR="00E7743C">
        <w:rPr>
          <w:rtl/>
        </w:rPr>
        <w:t>והלא דברים ק</w:t>
      </w:r>
      <w:r w:rsidR="00E7743C">
        <w:rPr>
          <w:rFonts w:hint="cs"/>
          <w:rtl/>
        </w:rPr>
        <w:t xml:space="preserve">ל וחומר: </w:t>
      </w:r>
      <w:r w:rsidR="00E7743C">
        <w:rPr>
          <w:rtl/>
        </w:rPr>
        <w:t>ומה תפלה הקלה לא התפלל משה אלא חוץ לעיר</w:t>
      </w:r>
      <w:r w:rsidR="00E7743C">
        <w:rPr>
          <w:rFonts w:hint="cs"/>
          <w:rtl/>
        </w:rPr>
        <w:t>,</w:t>
      </w:r>
      <w:r w:rsidR="00E7743C">
        <w:rPr>
          <w:rtl/>
        </w:rPr>
        <w:t xml:space="preserve"> ד</w:t>
      </w:r>
      <w:r w:rsidR="00E7743C">
        <w:rPr>
          <w:rFonts w:hint="cs"/>
          <w:rtl/>
        </w:rPr>
        <w:t>י</w:t>
      </w:r>
      <w:r w:rsidR="00E7743C">
        <w:rPr>
          <w:rtl/>
        </w:rPr>
        <w:t>בור החמור דין הוא שלא נדבר עמו אלא חוץ לכרך</w:t>
      </w:r>
      <w:r>
        <w:rPr>
          <w:rFonts w:hint="cs"/>
          <w:rtl/>
        </w:rPr>
        <w:t xml:space="preserve">. </w:t>
      </w:r>
      <w:r>
        <w:rPr>
          <w:rtl/>
        </w:rPr>
        <w:t>ומפני מה לא נדבר עמו בתוך הכרך</w:t>
      </w:r>
      <w:r>
        <w:rPr>
          <w:rFonts w:hint="cs"/>
          <w:rtl/>
        </w:rPr>
        <w:t>?</w:t>
      </w:r>
      <w:r>
        <w:rPr>
          <w:rtl/>
        </w:rPr>
        <w:t xml:space="preserve"> מפני שהיתה מלאה שיקוצים וגילולים. ועד שלא נבחרה ארץ ישראל היו כל הארצות כשרות לדברות</w:t>
      </w:r>
      <w:r>
        <w:rPr>
          <w:rFonts w:hint="cs"/>
          <w:rtl/>
        </w:rPr>
        <w:t>,</w:t>
      </w:r>
      <w:r>
        <w:rPr>
          <w:rStyle w:val="a5"/>
          <w:rtl/>
        </w:rPr>
        <w:footnoteReference w:id="6"/>
      </w:r>
      <w:r>
        <w:rPr>
          <w:rtl/>
        </w:rPr>
        <w:t xml:space="preserve"> משנבחרה ארץ </w:t>
      </w:r>
      <w:r>
        <w:rPr>
          <w:rtl/>
        </w:rPr>
        <w:lastRenderedPageBreak/>
        <w:t xml:space="preserve">ישראל יצאו כל הארצות. </w:t>
      </w:r>
      <w:r>
        <w:rPr>
          <w:rFonts w:hint="cs"/>
          <w:rtl/>
        </w:rPr>
        <w:t>...</w:t>
      </w:r>
      <w:r>
        <w:rPr>
          <w:rStyle w:val="a5"/>
          <w:rtl/>
        </w:rPr>
        <w:footnoteReference w:id="7"/>
      </w:r>
      <w:r>
        <w:rPr>
          <w:rFonts w:hint="cs"/>
          <w:rtl/>
        </w:rPr>
        <w:t xml:space="preserve"> </w:t>
      </w:r>
      <w:r>
        <w:rPr>
          <w:rtl/>
        </w:rPr>
        <w:t>תדע שאין השכינה נגלית בחוצה לארץ</w:t>
      </w:r>
      <w:r>
        <w:rPr>
          <w:rFonts w:hint="cs"/>
          <w:rtl/>
        </w:rPr>
        <w:t>,</w:t>
      </w:r>
      <w:r>
        <w:rPr>
          <w:rtl/>
        </w:rPr>
        <w:t xml:space="preserve"> שנאמר</w:t>
      </w:r>
      <w:r>
        <w:rPr>
          <w:rFonts w:hint="cs"/>
          <w:rtl/>
        </w:rPr>
        <w:t>:</w:t>
      </w:r>
      <w:r>
        <w:rPr>
          <w:rtl/>
        </w:rPr>
        <w:t xml:space="preserve"> </w:t>
      </w:r>
      <w:r>
        <w:rPr>
          <w:rFonts w:hint="cs"/>
          <w:rtl/>
        </w:rPr>
        <w:t>"</w:t>
      </w:r>
      <w:r>
        <w:rPr>
          <w:rtl/>
        </w:rPr>
        <w:t>ויקם יונה לברוח תרשישה מלפני ה'</w:t>
      </w:r>
      <w:r>
        <w:rPr>
          <w:rFonts w:hint="cs"/>
          <w:rtl/>
        </w:rPr>
        <w:t xml:space="preserve"> "</w:t>
      </w:r>
      <w:r>
        <w:rPr>
          <w:rtl/>
        </w:rPr>
        <w:t xml:space="preserve"> (יונה א ג)</w:t>
      </w:r>
      <w:r>
        <w:rPr>
          <w:rFonts w:hint="cs"/>
          <w:rtl/>
        </w:rPr>
        <w:t>.</w:t>
      </w:r>
      <w:r>
        <w:rPr>
          <w:rtl/>
        </w:rPr>
        <w:t xml:space="preserve"> וכי מלפני יי' הוא בורח</w:t>
      </w:r>
      <w:r>
        <w:rPr>
          <w:rFonts w:hint="cs"/>
          <w:rtl/>
        </w:rPr>
        <w:t>?</w:t>
      </w:r>
      <w:r>
        <w:rPr>
          <w:rtl/>
        </w:rPr>
        <w:t xml:space="preserve"> והלא כבר נאמר</w:t>
      </w:r>
      <w:r>
        <w:rPr>
          <w:rFonts w:hint="cs"/>
          <w:rtl/>
        </w:rPr>
        <w:t>:</w:t>
      </w:r>
      <w:r>
        <w:rPr>
          <w:rtl/>
        </w:rPr>
        <w:t xml:space="preserve"> </w:t>
      </w:r>
      <w:r>
        <w:rPr>
          <w:rFonts w:hint="cs"/>
          <w:rtl/>
        </w:rPr>
        <w:t>"</w:t>
      </w:r>
      <w:r>
        <w:rPr>
          <w:rtl/>
        </w:rPr>
        <w:t xml:space="preserve">אנה אלך מרוחך </w:t>
      </w:r>
      <w:r>
        <w:rPr>
          <w:rFonts w:hint="cs"/>
          <w:rtl/>
        </w:rPr>
        <w:t xml:space="preserve">... </w:t>
      </w:r>
      <w:r>
        <w:rPr>
          <w:rtl/>
        </w:rPr>
        <w:t xml:space="preserve">אם אסק שמים שם אתה </w:t>
      </w:r>
      <w:r>
        <w:rPr>
          <w:rFonts w:hint="cs"/>
          <w:rtl/>
        </w:rPr>
        <w:t>...</w:t>
      </w:r>
      <w:r>
        <w:rPr>
          <w:rtl/>
        </w:rPr>
        <w:t xml:space="preserve"> אשא כנפי שחר </w:t>
      </w:r>
      <w:r>
        <w:rPr>
          <w:rFonts w:hint="cs"/>
          <w:rtl/>
        </w:rPr>
        <w:t>...</w:t>
      </w:r>
      <w:r>
        <w:rPr>
          <w:rtl/>
        </w:rPr>
        <w:t xml:space="preserve"> גם שם ידך תנחני וגו'</w:t>
      </w:r>
      <w:r>
        <w:rPr>
          <w:rFonts w:hint="cs"/>
          <w:rtl/>
        </w:rPr>
        <w:t xml:space="preserve"> "</w:t>
      </w:r>
      <w:r>
        <w:rPr>
          <w:rtl/>
        </w:rPr>
        <w:t xml:space="preserve"> (תהלים קלט ז-י) </w:t>
      </w:r>
      <w:r>
        <w:rPr>
          <w:rFonts w:hint="cs"/>
          <w:rtl/>
        </w:rPr>
        <w:t>...</w:t>
      </w:r>
      <w:r>
        <w:rPr>
          <w:rtl/>
        </w:rPr>
        <w:t xml:space="preserve"> אלא אמר יונה</w:t>
      </w:r>
      <w:r>
        <w:rPr>
          <w:rFonts w:hint="cs"/>
          <w:rtl/>
        </w:rPr>
        <w:t>:</w:t>
      </w:r>
      <w:r>
        <w:rPr>
          <w:rtl/>
        </w:rPr>
        <w:t xml:space="preserve"> אלך לי בחוצה לארץ מקום שאין השכינה נגלית</w:t>
      </w:r>
      <w:r>
        <w:rPr>
          <w:rFonts w:hint="cs"/>
          <w:rtl/>
        </w:rPr>
        <w:t>,</w:t>
      </w:r>
      <w:r>
        <w:rPr>
          <w:rtl/>
        </w:rPr>
        <w:t xml:space="preserve"> שהגוי</w:t>
      </w:r>
      <w:r>
        <w:rPr>
          <w:rFonts w:hint="cs"/>
          <w:rtl/>
        </w:rPr>
        <w:t>י</w:t>
      </w:r>
      <w:r>
        <w:rPr>
          <w:rtl/>
        </w:rPr>
        <w:t>ם קרובי תשובה הן</w:t>
      </w:r>
      <w:r>
        <w:rPr>
          <w:rFonts w:hint="cs"/>
          <w:rtl/>
        </w:rPr>
        <w:t>,</w:t>
      </w:r>
      <w:r>
        <w:rPr>
          <w:rtl/>
        </w:rPr>
        <w:t xml:space="preserve"> שלא לחייב את ישראל. משל לעבד כהן שברח מרבו אמר</w:t>
      </w:r>
      <w:r w:rsidR="00C36E30">
        <w:rPr>
          <w:rFonts w:hint="cs"/>
          <w:rtl/>
        </w:rPr>
        <w:t>:</w:t>
      </w:r>
      <w:r>
        <w:rPr>
          <w:rtl/>
        </w:rPr>
        <w:t xml:space="preserve"> אלך לי לבית הקברות מקום שאין רבי יכול לב</w:t>
      </w:r>
      <w:r>
        <w:rPr>
          <w:rFonts w:hint="cs"/>
          <w:rtl/>
        </w:rPr>
        <w:t>ו</w:t>
      </w:r>
      <w:r>
        <w:rPr>
          <w:rtl/>
        </w:rPr>
        <w:t>א אחרי. אמר לו רבו</w:t>
      </w:r>
      <w:r>
        <w:rPr>
          <w:rFonts w:hint="cs"/>
          <w:rtl/>
        </w:rPr>
        <w:t>:</w:t>
      </w:r>
      <w:r>
        <w:rPr>
          <w:rtl/>
        </w:rPr>
        <w:t xml:space="preserve"> יש לי כניות כיוצא בך.</w:t>
      </w:r>
      <w:r>
        <w:rPr>
          <w:rStyle w:val="a5"/>
          <w:rtl/>
        </w:rPr>
        <w:footnoteReference w:id="8"/>
      </w:r>
      <w:r>
        <w:rPr>
          <w:rtl/>
        </w:rPr>
        <w:t xml:space="preserve"> כך אמר יונה</w:t>
      </w:r>
      <w:r>
        <w:rPr>
          <w:rFonts w:hint="cs"/>
          <w:rtl/>
        </w:rPr>
        <w:t>:</w:t>
      </w:r>
      <w:r>
        <w:rPr>
          <w:rtl/>
        </w:rPr>
        <w:t xml:space="preserve"> אלך לי לחוצה לארץ</w:t>
      </w:r>
      <w:r>
        <w:rPr>
          <w:rFonts w:hint="cs"/>
          <w:rtl/>
        </w:rPr>
        <w:t>,</w:t>
      </w:r>
      <w:r>
        <w:rPr>
          <w:rtl/>
        </w:rPr>
        <w:t xml:space="preserve"> מקום שאין השכינה נגלית שהגוים קרובי תשובה הן שלא לחייב את ישראל</w:t>
      </w:r>
      <w:r>
        <w:rPr>
          <w:rFonts w:hint="cs"/>
          <w:rtl/>
        </w:rPr>
        <w:t>.</w:t>
      </w:r>
      <w:r>
        <w:rPr>
          <w:rtl/>
        </w:rPr>
        <w:t xml:space="preserve"> אמר לו הק</w:t>
      </w:r>
      <w:r>
        <w:rPr>
          <w:rFonts w:hint="cs"/>
          <w:rtl/>
        </w:rPr>
        <w:t xml:space="preserve">ב"ה: </w:t>
      </w:r>
      <w:r>
        <w:rPr>
          <w:rtl/>
        </w:rPr>
        <w:t>יש לי שלוחין כיוצא בך</w:t>
      </w:r>
      <w:r>
        <w:rPr>
          <w:rFonts w:hint="cs"/>
          <w:rtl/>
        </w:rPr>
        <w:t>,</w:t>
      </w:r>
      <w:r>
        <w:rPr>
          <w:rtl/>
        </w:rPr>
        <w:t xml:space="preserve"> שנאמר</w:t>
      </w:r>
      <w:r>
        <w:rPr>
          <w:rFonts w:hint="cs"/>
          <w:rtl/>
        </w:rPr>
        <w:t>:</w:t>
      </w:r>
      <w:r>
        <w:rPr>
          <w:rtl/>
        </w:rPr>
        <w:t xml:space="preserve"> </w:t>
      </w:r>
      <w:r>
        <w:rPr>
          <w:rFonts w:hint="cs"/>
          <w:rtl/>
        </w:rPr>
        <w:t>"</w:t>
      </w:r>
      <w:r>
        <w:rPr>
          <w:rtl/>
        </w:rPr>
        <w:t>ויי' הטיל רוח גדולה אל הים</w:t>
      </w:r>
      <w:r>
        <w:rPr>
          <w:rFonts w:hint="cs"/>
          <w:rtl/>
        </w:rPr>
        <w:t>"</w:t>
      </w:r>
      <w:r>
        <w:rPr>
          <w:rtl/>
        </w:rPr>
        <w:t>.</w:t>
      </w:r>
      <w:r>
        <w:rPr>
          <w:rStyle w:val="a5"/>
          <w:rtl/>
        </w:rPr>
        <w:footnoteReference w:id="9"/>
      </w:r>
    </w:p>
    <w:p w:rsidR="00384D2B" w:rsidRDefault="00384D2B" w:rsidP="00384D2B">
      <w:pPr>
        <w:spacing w:before="240" w:line="320" w:lineRule="atLeast"/>
        <w:rPr>
          <w:rFonts w:cs="Arial"/>
          <w:b/>
          <w:bCs/>
          <w:szCs w:val="24"/>
          <w:rtl/>
        </w:rPr>
      </w:pPr>
      <w:r>
        <w:rPr>
          <w:rFonts w:cs="Arial" w:hint="cs"/>
          <w:b/>
          <w:bCs/>
          <w:szCs w:val="24"/>
          <w:rtl/>
        </w:rPr>
        <w:t>שמות רבה טו ה</w:t>
      </w:r>
      <w:r w:rsidR="006C58B8">
        <w:rPr>
          <w:rFonts w:cs="Arial" w:hint="cs"/>
          <w:b/>
          <w:bCs/>
          <w:szCs w:val="24"/>
          <w:rtl/>
        </w:rPr>
        <w:t xml:space="preserve"> </w:t>
      </w:r>
      <w:r w:rsidR="006C58B8">
        <w:rPr>
          <w:rFonts w:cs="Arial"/>
          <w:b/>
          <w:bCs/>
          <w:szCs w:val="24"/>
          <w:rtl/>
        </w:rPr>
        <w:t>–</w:t>
      </w:r>
      <w:r w:rsidR="006C58B8">
        <w:rPr>
          <w:rFonts w:cs="Arial" w:hint="cs"/>
          <w:b/>
          <w:bCs/>
          <w:szCs w:val="24"/>
          <w:rtl/>
        </w:rPr>
        <w:t xml:space="preserve"> מוטב לטמא עצמי מלאבד תרומתי</w:t>
      </w:r>
    </w:p>
    <w:p w:rsidR="00E67CDE" w:rsidRDefault="00384D2B" w:rsidP="00286120">
      <w:pPr>
        <w:pStyle w:val="ac"/>
        <w:rPr>
          <w:rFonts w:hint="cs"/>
          <w:rtl/>
        </w:rPr>
      </w:pPr>
      <w:r>
        <w:rPr>
          <w:rFonts w:hint="cs"/>
          <w:rtl/>
          <w:lang w:eastAsia="en-US"/>
        </w:rPr>
        <w:t>"</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ואל</w:t>
      </w:r>
      <w:r>
        <w:rPr>
          <w:rtl/>
          <w:lang w:eastAsia="en-US"/>
        </w:rPr>
        <w:t xml:space="preserve"> </w:t>
      </w:r>
      <w:r>
        <w:rPr>
          <w:rFonts w:hint="eastAsia"/>
          <w:rtl/>
          <w:lang w:eastAsia="en-US"/>
        </w:rPr>
        <w:t>אהרן</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לאמר</w:t>
      </w:r>
      <w:r>
        <w:rPr>
          <w:rFonts w:hint="cs"/>
          <w:rtl/>
          <w:lang w:eastAsia="en-US"/>
        </w:rPr>
        <w:t>" -</w:t>
      </w:r>
      <w:r>
        <w:rPr>
          <w:rtl/>
          <w:lang w:eastAsia="en-US"/>
        </w:rPr>
        <w:t xml:space="preserve"> </w:t>
      </w:r>
      <w:r w:rsidR="00BF6D4D">
        <w:rPr>
          <w:rtl/>
        </w:rPr>
        <w:t xml:space="preserve">למה אינו אומר </w:t>
      </w:r>
      <w:r w:rsidR="00867C6E">
        <w:rPr>
          <w:rFonts w:hint="cs"/>
          <w:rtl/>
        </w:rPr>
        <w:t>"</w:t>
      </w:r>
      <w:r w:rsidR="00BF6D4D">
        <w:rPr>
          <w:rtl/>
        </w:rPr>
        <w:t>במצרים</w:t>
      </w:r>
      <w:r w:rsidR="00867C6E">
        <w:rPr>
          <w:rFonts w:hint="cs"/>
          <w:rtl/>
        </w:rPr>
        <w:t>"?</w:t>
      </w:r>
      <w:r w:rsidR="00BF6D4D">
        <w:rPr>
          <w:rtl/>
        </w:rPr>
        <w:t xml:space="preserve"> א"ר חנינא</w:t>
      </w:r>
      <w:r w:rsidR="00867C6E">
        <w:rPr>
          <w:rFonts w:hint="cs"/>
          <w:rtl/>
        </w:rPr>
        <w:t>:</w:t>
      </w:r>
      <w:r w:rsidR="00BF6D4D">
        <w:rPr>
          <w:rtl/>
        </w:rPr>
        <w:t xml:space="preserve"> אמר </w:t>
      </w:r>
      <w:r w:rsidR="00867C6E">
        <w:rPr>
          <w:rtl/>
        </w:rPr>
        <w:t>הקב"ה</w:t>
      </w:r>
      <w:r w:rsidR="00867C6E">
        <w:rPr>
          <w:rFonts w:hint="cs"/>
          <w:rtl/>
        </w:rPr>
        <w:t>:</w:t>
      </w:r>
      <w:r w:rsidR="00BF6D4D">
        <w:rPr>
          <w:rtl/>
        </w:rPr>
        <w:t xml:space="preserve"> כת</w:t>
      </w:r>
      <w:r w:rsidR="00867C6E">
        <w:rPr>
          <w:rFonts w:hint="cs"/>
          <w:rtl/>
        </w:rPr>
        <w:t>ו</w:t>
      </w:r>
      <w:r w:rsidR="00BF6D4D">
        <w:rPr>
          <w:rtl/>
        </w:rPr>
        <w:t>ב בתורה</w:t>
      </w:r>
      <w:r w:rsidR="00867C6E">
        <w:rPr>
          <w:rFonts w:hint="cs"/>
          <w:rtl/>
        </w:rPr>
        <w:t>:</w:t>
      </w:r>
      <w:r w:rsidR="00BF6D4D">
        <w:rPr>
          <w:rtl/>
        </w:rPr>
        <w:t xml:space="preserve"> </w:t>
      </w:r>
      <w:r w:rsidR="00867C6E">
        <w:rPr>
          <w:rFonts w:hint="cs"/>
          <w:rtl/>
        </w:rPr>
        <w:t>"</w:t>
      </w:r>
      <w:r w:rsidR="00BF6D4D">
        <w:rPr>
          <w:rtl/>
        </w:rPr>
        <w:t>בחוץ תעמוד</w:t>
      </w:r>
      <w:r w:rsidR="00867C6E">
        <w:rPr>
          <w:rFonts w:hint="cs"/>
          <w:rtl/>
        </w:rPr>
        <w:t>, והאיש אשר אתה נושה בו יוציא אליך את העבוט החוצה"</w:t>
      </w:r>
      <w:r w:rsidR="00BF6D4D">
        <w:rPr>
          <w:rtl/>
        </w:rPr>
        <w:t xml:space="preserve"> </w:t>
      </w:r>
      <w:r w:rsidR="00867C6E">
        <w:rPr>
          <w:rtl/>
        </w:rPr>
        <w:t>(דברים כד</w:t>
      </w:r>
      <w:r w:rsidR="00867C6E">
        <w:rPr>
          <w:rFonts w:hint="cs"/>
          <w:rtl/>
        </w:rPr>
        <w:t xml:space="preserve"> יא</w:t>
      </w:r>
      <w:r w:rsidR="00867C6E">
        <w:rPr>
          <w:rtl/>
        </w:rPr>
        <w:t>)</w:t>
      </w:r>
      <w:r w:rsidR="00867C6E">
        <w:rPr>
          <w:rFonts w:hint="cs"/>
          <w:rtl/>
        </w:rPr>
        <w:t>.</w:t>
      </w:r>
      <w:r w:rsidR="00867C6E">
        <w:rPr>
          <w:rtl/>
        </w:rPr>
        <w:t xml:space="preserve"> </w:t>
      </w:r>
      <w:r w:rsidR="00BF6D4D">
        <w:rPr>
          <w:rtl/>
        </w:rPr>
        <w:t>אף אני אעשה כך</w:t>
      </w:r>
      <w:r w:rsidR="00867C6E">
        <w:rPr>
          <w:rFonts w:hint="cs"/>
          <w:rtl/>
        </w:rPr>
        <w:t>,</w:t>
      </w:r>
      <w:r w:rsidR="00BF6D4D">
        <w:rPr>
          <w:rtl/>
        </w:rPr>
        <w:t xml:space="preserve"> </w:t>
      </w:r>
      <w:r w:rsidR="00867C6E">
        <w:rPr>
          <w:rFonts w:hint="cs"/>
          <w:rtl/>
        </w:rPr>
        <w:t>"</w:t>
      </w:r>
      <w:r w:rsidR="00BF6D4D">
        <w:rPr>
          <w:rtl/>
        </w:rPr>
        <w:t>בארץ מצרים</w:t>
      </w:r>
      <w:r w:rsidR="00867C6E">
        <w:rPr>
          <w:rFonts w:hint="cs"/>
          <w:rtl/>
        </w:rPr>
        <w:t>"</w:t>
      </w:r>
      <w:r w:rsidR="00BF6D4D">
        <w:rPr>
          <w:rtl/>
        </w:rPr>
        <w:t xml:space="preserve"> ולא </w:t>
      </w:r>
      <w:r w:rsidR="00867C6E">
        <w:rPr>
          <w:rFonts w:hint="cs"/>
          <w:rtl/>
        </w:rPr>
        <w:t>"</w:t>
      </w:r>
      <w:r w:rsidR="00BF6D4D">
        <w:rPr>
          <w:rtl/>
        </w:rPr>
        <w:t>במצרים</w:t>
      </w:r>
      <w:r w:rsidR="00867C6E">
        <w:rPr>
          <w:rFonts w:hint="cs"/>
          <w:rtl/>
        </w:rPr>
        <w:t>"</w:t>
      </w:r>
      <w:r w:rsidR="00BF6D4D">
        <w:rPr>
          <w:rtl/>
        </w:rPr>
        <w:t xml:space="preserve">, </w:t>
      </w:r>
      <w:r w:rsidR="00867C6E">
        <w:rPr>
          <w:rFonts w:hint="cs"/>
          <w:rtl/>
        </w:rPr>
        <w:t xml:space="preserve">אלא בחוץ. </w:t>
      </w:r>
      <w:r w:rsidR="00BF6D4D">
        <w:rPr>
          <w:rtl/>
        </w:rPr>
        <w:t>וכן אמר משה</w:t>
      </w:r>
      <w:r w:rsidR="00867C6E">
        <w:rPr>
          <w:rFonts w:hint="cs"/>
          <w:rtl/>
        </w:rPr>
        <w:t>:</w:t>
      </w:r>
      <w:r w:rsidR="00BF6D4D">
        <w:rPr>
          <w:rtl/>
        </w:rPr>
        <w:t xml:space="preserve"> </w:t>
      </w:r>
      <w:r w:rsidR="00867C6E">
        <w:rPr>
          <w:rFonts w:hint="cs"/>
          <w:rtl/>
        </w:rPr>
        <w:t>"</w:t>
      </w:r>
      <w:r w:rsidR="00BF6D4D">
        <w:rPr>
          <w:rtl/>
        </w:rPr>
        <w:t>כצאתי את העיר</w:t>
      </w:r>
      <w:r w:rsidR="00867C6E">
        <w:rPr>
          <w:rFonts w:hint="cs"/>
          <w:rtl/>
        </w:rPr>
        <w:t xml:space="preserve"> אפרוש כפי אל ה' " (שמות ט</w:t>
      </w:r>
      <w:r w:rsidR="00286120">
        <w:rPr>
          <w:rFonts w:hint="cs"/>
          <w:rtl/>
        </w:rPr>
        <w:t xml:space="preserve"> כט)</w:t>
      </w:r>
      <w:r w:rsidR="00E67CDE">
        <w:rPr>
          <w:rFonts w:hint="cs"/>
          <w:rtl/>
        </w:rPr>
        <w:t>.</w:t>
      </w:r>
      <w:r w:rsidR="00A145DF">
        <w:rPr>
          <w:rStyle w:val="a5"/>
          <w:rtl/>
        </w:rPr>
        <w:footnoteReference w:id="10"/>
      </w:r>
    </w:p>
    <w:p w:rsidR="00B44037" w:rsidRDefault="00384D2B" w:rsidP="00BF6D4D">
      <w:pPr>
        <w:pStyle w:val="ac"/>
        <w:rPr>
          <w:rFonts w:hint="cs"/>
          <w:rtl/>
        </w:rPr>
      </w:pPr>
      <w:r>
        <w:rPr>
          <w:rtl/>
        </w:rPr>
        <w:t>אמר ר' שמעון בן לקיש: גדולה חיבתם של ישראל שנגלה הקב"ה במקום עבודה זרה ובמקום ט</w:t>
      </w:r>
      <w:r>
        <w:rPr>
          <w:rFonts w:hint="cs"/>
          <w:rtl/>
        </w:rPr>
        <w:t>י</w:t>
      </w:r>
      <w:r>
        <w:rPr>
          <w:rtl/>
        </w:rPr>
        <w:t>נופת ובמקום טומאה בשביל לגאלם. משל לכהן שנפלה תרומתו לבית הקברות. אמר: מה אעשה? לטמא את עצמי אי אפשר ולהניח תרומתי אי אפשר. מוטב לי לטמא את עצמי פעם אחת וחוזר ומטהר ולא אאבד את תרומתי.</w:t>
      </w:r>
      <w:r>
        <w:rPr>
          <w:rStyle w:val="a5"/>
          <w:rtl/>
        </w:rPr>
        <w:footnoteReference w:id="11"/>
      </w:r>
      <w:r>
        <w:rPr>
          <w:rtl/>
        </w:rPr>
        <w:t xml:space="preserve"> כך ישראל הם תרומתו של הקב"ה</w:t>
      </w:r>
      <w:r>
        <w:rPr>
          <w:rFonts w:hint="cs"/>
          <w:rtl/>
        </w:rPr>
        <w:t xml:space="preserve">, שנאמר: "קודש ישראל לה' ראשית תבואתו" (ירמיה ב ג); </w:t>
      </w:r>
      <w:r>
        <w:rPr>
          <w:rtl/>
        </w:rPr>
        <w:t>היו בין הקברות ... אמר הקב"ה: היאך אני גואלם? להניחם אי אפשר, מוטב לירד ולהצילם</w:t>
      </w:r>
      <w:r>
        <w:rPr>
          <w:rFonts w:hint="cs"/>
          <w:rtl/>
        </w:rPr>
        <w:t xml:space="preserve">, שנאמר: "וארד להצילו מיד מצרים" (שמות ג ח). </w:t>
      </w:r>
      <w:r>
        <w:rPr>
          <w:rtl/>
        </w:rPr>
        <w:t>וכשהוציאם</w:t>
      </w:r>
      <w:r w:rsidR="001A70CB">
        <w:rPr>
          <w:rFonts w:hint="cs"/>
          <w:rtl/>
        </w:rPr>
        <w:t>,</w:t>
      </w:r>
      <w:r>
        <w:rPr>
          <w:rtl/>
        </w:rPr>
        <w:t xml:space="preserve"> קרא לאהרן וטהר אותו</w:t>
      </w:r>
      <w:r>
        <w:rPr>
          <w:rFonts w:hint="cs"/>
          <w:rtl/>
        </w:rPr>
        <w:t>,</w:t>
      </w:r>
      <w:r>
        <w:rPr>
          <w:rtl/>
        </w:rPr>
        <w:t xml:space="preserve"> שנאמר</w:t>
      </w:r>
      <w:r w:rsidR="00AE7399">
        <w:rPr>
          <w:rFonts w:hint="cs"/>
          <w:rtl/>
        </w:rPr>
        <w:t>:</w:t>
      </w:r>
      <w:r>
        <w:rPr>
          <w:rtl/>
        </w:rPr>
        <w:t xml:space="preserve"> "וכפר על הק</w:t>
      </w:r>
      <w:r w:rsidR="00AE7399">
        <w:rPr>
          <w:rFonts w:hint="cs"/>
          <w:rtl/>
        </w:rPr>
        <w:t>ו</w:t>
      </w:r>
      <w:r>
        <w:rPr>
          <w:rtl/>
        </w:rPr>
        <w:t>דש מטומאות בני ישראל".</w:t>
      </w:r>
      <w:r>
        <w:rPr>
          <w:rStyle w:val="a5"/>
          <w:rtl/>
        </w:rPr>
        <w:footnoteReference w:id="12"/>
      </w:r>
      <w:r>
        <w:rPr>
          <w:rtl/>
        </w:rPr>
        <w:t xml:space="preserve">  </w:t>
      </w:r>
    </w:p>
    <w:p w:rsidR="007E5DCC" w:rsidRDefault="007E5DCC" w:rsidP="007E5DCC">
      <w:pPr>
        <w:spacing w:before="240" w:line="320" w:lineRule="atLeast"/>
        <w:rPr>
          <w:rFonts w:cs="Arial" w:hint="cs"/>
          <w:b/>
          <w:bCs/>
          <w:szCs w:val="24"/>
          <w:rtl/>
        </w:rPr>
      </w:pPr>
      <w:r w:rsidRPr="006A4F5A">
        <w:rPr>
          <w:rFonts w:cs="Arial"/>
          <w:b/>
          <w:bCs/>
          <w:szCs w:val="24"/>
          <w:rtl/>
        </w:rPr>
        <w:t xml:space="preserve">שמות רבה </w:t>
      </w:r>
      <w:r>
        <w:rPr>
          <w:rFonts w:cs="Arial" w:hint="cs"/>
          <w:b/>
          <w:bCs/>
          <w:szCs w:val="24"/>
          <w:rtl/>
        </w:rPr>
        <w:t xml:space="preserve">פרשה </w:t>
      </w:r>
      <w:r w:rsidRPr="006A4F5A">
        <w:rPr>
          <w:rFonts w:cs="Arial"/>
          <w:b/>
          <w:bCs/>
          <w:szCs w:val="24"/>
          <w:rtl/>
        </w:rPr>
        <w:t>טו</w:t>
      </w:r>
      <w:r>
        <w:rPr>
          <w:rFonts w:cs="Arial" w:hint="cs"/>
          <w:b/>
          <w:bCs/>
          <w:szCs w:val="24"/>
          <w:rtl/>
        </w:rPr>
        <w:t xml:space="preserve"> יט</w:t>
      </w:r>
      <w:r w:rsidR="002222DE">
        <w:rPr>
          <w:rFonts w:cs="Arial" w:hint="cs"/>
          <w:b/>
          <w:bCs/>
          <w:szCs w:val="24"/>
          <w:rtl/>
        </w:rPr>
        <w:t xml:space="preserve"> </w:t>
      </w:r>
      <w:r w:rsidR="002222DE">
        <w:rPr>
          <w:rFonts w:cs="Arial"/>
          <w:b/>
          <w:bCs/>
          <w:szCs w:val="24"/>
          <w:rtl/>
        </w:rPr>
        <w:t>–</w:t>
      </w:r>
      <w:r w:rsidR="002222DE">
        <w:rPr>
          <w:rFonts w:cs="Arial" w:hint="cs"/>
          <w:b/>
          <w:bCs/>
          <w:szCs w:val="24"/>
          <w:rtl/>
        </w:rPr>
        <w:t xml:space="preserve"> הכהן היורד לגינתו</w:t>
      </w:r>
    </w:p>
    <w:p w:rsidR="00DC3C32" w:rsidRDefault="007E5DCC" w:rsidP="00F67521">
      <w:pPr>
        <w:pStyle w:val="ac"/>
        <w:rPr>
          <w:rFonts w:hint="cs"/>
          <w:rtl/>
        </w:rPr>
      </w:pPr>
      <w:r>
        <w:rPr>
          <w:rtl/>
        </w:rPr>
        <w:t>בשביל מי נגלה הקב"ה במצרים? בשביל משה. אמר ר' נסים: משל לכהן שהיה לו גינה של תאנים ובאותה גינה היה בית הפרס</w:t>
      </w:r>
      <w:r>
        <w:rPr>
          <w:rFonts w:hint="cs"/>
          <w:rtl/>
        </w:rPr>
        <w:t>.</w:t>
      </w:r>
      <w:r>
        <w:rPr>
          <w:rStyle w:val="a5"/>
          <w:rtl/>
        </w:rPr>
        <w:footnoteReference w:id="13"/>
      </w:r>
      <w:r>
        <w:rPr>
          <w:rtl/>
        </w:rPr>
        <w:t xml:space="preserve"> ביקש לאכול תאנים. אמר לאחד: לך אמור לאריס שבעל הגינה אומר לך שתביא לו שתי תאנים. </w:t>
      </w:r>
      <w:r>
        <w:rPr>
          <w:rtl/>
        </w:rPr>
        <w:lastRenderedPageBreak/>
        <w:t>הלך ואמר לו כך. השיבו האריס: מי הוא בעל הג</w:t>
      </w:r>
      <w:r>
        <w:rPr>
          <w:rFonts w:hint="cs"/>
          <w:rtl/>
        </w:rPr>
        <w:t>י</w:t>
      </w:r>
      <w:r>
        <w:rPr>
          <w:rtl/>
        </w:rPr>
        <w:t>נה? לך למלאכתך!</w:t>
      </w:r>
      <w:r>
        <w:rPr>
          <w:rStyle w:val="a5"/>
          <w:rtl/>
        </w:rPr>
        <w:footnoteReference w:id="14"/>
      </w:r>
      <w:r>
        <w:rPr>
          <w:rtl/>
        </w:rPr>
        <w:t xml:space="preserve"> אמר הכהן: אני אלך לג</w:t>
      </w:r>
      <w:r>
        <w:rPr>
          <w:rFonts w:hint="cs"/>
          <w:rtl/>
        </w:rPr>
        <w:t>י</w:t>
      </w:r>
      <w:r>
        <w:rPr>
          <w:rtl/>
        </w:rPr>
        <w:t>נה. אמרו לו: למקום טמא אתה הולך? אמר להם: אפילו יש שם מאה טומאות הולך אני ולא יתבייש שלוחי. כך כשהיו ישראל במצרים אמר הקב"ה למשה לכה ואשלחך אל פרעה. הלך. ואמר לו [פרעה למשה]: מי ה' אשר אשמע בקולו לשלח את ישראל? ... אמר הקב"ה: אלך למצרים ... אמרו לו מלאכי השרת: למצרים אתה הולך למקום טומאה? אמר להם: אלך ולא יתבייש שלוחי משה.</w:t>
      </w:r>
      <w:r>
        <w:rPr>
          <w:rStyle w:val="a5"/>
          <w:rtl/>
        </w:rPr>
        <w:footnoteReference w:id="15"/>
      </w:r>
    </w:p>
    <w:p w:rsidR="00324C1D" w:rsidRDefault="00324C1D" w:rsidP="00324C1D">
      <w:pPr>
        <w:pStyle w:val="ab"/>
        <w:rPr>
          <w:rFonts w:hint="cs"/>
          <w:rtl/>
          <w:lang w:eastAsia="en-US"/>
        </w:rPr>
      </w:pPr>
      <w:r>
        <w:rPr>
          <w:rFonts w:hint="cs"/>
          <w:rtl/>
          <w:lang w:eastAsia="en-US"/>
        </w:rPr>
        <w:t xml:space="preserve">שמות רבה טו טז </w:t>
      </w:r>
      <w:r>
        <w:rPr>
          <w:rFonts w:cs="David"/>
          <w:rtl/>
          <w:lang w:eastAsia="en-US"/>
        </w:rPr>
        <w:t>–</w:t>
      </w:r>
      <w:r>
        <w:rPr>
          <w:rFonts w:hint="cs"/>
          <w:rtl/>
          <w:lang w:eastAsia="en-US"/>
        </w:rPr>
        <w:t xml:space="preserve"> גלה הקב"ה עמהם</w:t>
      </w:r>
    </w:p>
    <w:p w:rsidR="00867C6E" w:rsidRDefault="00324C1D" w:rsidP="00F67521">
      <w:pPr>
        <w:pStyle w:val="ac"/>
        <w:rPr>
          <w:rFonts w:hint="cs"/>
          <w:rtl/>
        </w:rPr>
      </w:pPr>
      <w:r>
        <w:rPr>
          <w:rFonts w:hint="cs"/>
          <w:rtl/>
          <w:lang w:eastAsia="en-US"/>
        </w:rPr>
        <w:t>"</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ואל</w:t>
      </w:r>
      <w:r>
        <w:rPr>
          <w:rtl/>
          <w:lang w:eastAsia="en-US"/>
        </w:rPr>
        <w:t xml:space="preserve"> </w:t>
      </w:r>
      <w:r>
        <w:rPr>
          <w:rFonts w:hint="eastAsia"/>
          <w:rtl/>
          <w:lang w:eastAsia="en-US"/>
        </w:rPr>
        <w:t>אהרן</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לאמר</w:t>
      </w:r>
      <w:r>
        <w:rPr>
          <w:rFonts w:hint="cs"/>
          <w:rtl/>
          <w:lang w:eastAsia="en-US"/>
        </w:rPr>
        <w:t>" -</w:t>
      </w:r>
      <w:r>
        <w:rPr>
          <w:rtl/>
          <w:lang w:eastAsia="en-US"/>
        </w:rPr>
        <w:t xml:space="preserve"> </w:t>
      </w:r>
      <w:r>
        <w:rPr>
          <w:rFonts w:hint="eastAsia"/>
          <w:rtl/>
          <w:lang w:eastAsia="en-US"/>
        </w:rPr>
        <w:t>מה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עושה</w:t>
      </w:r>
      <w:r>
        <w:rPr>
          <w:rtl/>
          <w:lang w:eastAsia="en-US"/>
        </w:rPr>
        <w:t xml:space="preserve"> </w:t>
      </w:r>
      <w:r>
        <w:rPr>
          <w:rFonts w:hint="eastAsia"/>
          <w:rtl/>
          <w:lang w:eastAsia="en-US"/>
        </w:rPr>
        <w:t>במצרים</w:t>
      </w:r>
      <w:r>
        <w:rPr>
          <w:rFonts w:hint="cs"/>
          <w:rtl/>
          <w:lang w:eastAsia="en-US"/>
        </w:rPr>
        <w:t>?</w:t>
      </w:r>
      <w:r>
        <w:rPr>
          <w:rtl/>
          <w:lang w:eastAsia="en-US"/>
        </w:rPr>
        <w:t xml:space="preserve"> </w:t>
      </w:r>
      <w:r>
        <w:rPr>
          <w:rFonts w:hint="eastAsia"/>
          <w:rtl/>
          <w:lang w:eastAsia="en-US"/>
        </w:rPr>
        <w:t>בשביל</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יצחק</w:t>
      </w:r>
      <w:r>
        <w:rPr>
          <w:rtl/>
          <w:lang w:eastAsia="en-US"/>
        </w:rPr>
        <w:t xml:space="preserve"> </w:t>
      </w:r>
      <w:r>
        <w:rPr>
          <w:rFonts w:hint="eastAsia"/>
          <w:rtl/>
          <w:lang w:eastAsia="en-US"/>
        </w:rPr>
        <w:t>נפחא</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למטרונה</w:t>
      </w:r>
      <w:r>
        <w:rPr>
          <w:rtl/>
          <w:lang w:eastAsia="en-US"/>
        </w:rPr>
        <w:t xml:space="preserve"> </w:t>
      </w:r>
      <w:r>
        <w:rPr>
          <w:rFonts w:hint="eastAsia"/>
          <w:rtl/>
          <w:lang w:eastAsia="en-US"/>
        </w:rPr>
        <w:t>שהיתה</w:t>
      </w:r>
      <w:r>
        <w:rPr>
          <w:rtl/>
          <w:lang w:eastAsia="en-US"/>
        </w:rPr>
        <w:t xml:space="preserve"> </w:t>
      </w:r>
      <w:r>
        <w:rPr>
          <w:rFonts w:hint="eastAsia"/>
          <w:rtl/>
          <w:lang w:eastAsia="en-US"/>
        </w:rPr>
        <w:t>מקטרגת</w:t>
      </w:r>
      <w:r>
        <w:rPr>
          <w:rtl/>
          <w:lang w:eastAsia="en-US"/>
        </w:rPr>
        <w:t xml:space="preserve"> </w:t>
      </w:r>
      <w:r>
        <w:rPr>
          <w:rFonts w:hint="eastAsia"/>
          <w:rtl/>
          <w:lang w:eastAsia="en-US"/>
        </w:rPr>
        <w:t>למלך</w:t>
      </w:r>
      <w:r>
        <w:rPr>
          <w:rFonts w:hint="cs"/>
          <w:rtl/>
          <w:lang w:eastAsia="en-US"/>
        </w:rPr>
        <w:t>,</w:t>
      </w:r>
      <w:r>
        <w:rPr>
          <w:rtl/>
          <w:lang w:eastAsia="en-US"/>
        </w:rPr>
        <w:t xml:space="preserve"> </w:t>
      </w:r>
      <w:r>
        <w:rPr>
          <w:rFonts w:hint="eastAsia"/>
          <w:rtl/>
          <w:lang w:eastAsia="en-US"/>
        </w:rPr>
        <w:t>נתנה</w:t>
      </w:r>
      <w:r>
        <w:rPr>
          <w:rtl/>
          <w:lang w:eastAsia="en-US"/>
        </w:rPr>
        <w:t xml:space="preserve"> </w:t>
      </w:r>
      <w:r>
        <w:rPr>
          <w:rFonts w:hint="eastAsia"/>
          <w:rtl/>
          <w:lang w:eastAsia="en-US"/>
        </w:rPr>
        <w:t>בפִילָקֵי</w:t>
      </w:r>
      <w:r>
        <w:rPr>
          <w:rtl/>
          <w:lang w:eastAsia="en-US"/>
        </w:rPr>
        <w:t xml:space="preserve"> </w:t>
      </w:r>
      <w:r>
        <w:rPr>
          <w:rFonts w:hint="eastAsia"/>
          <w:rtl/>
          <w:lang w:eastAsia="en-US"/>
        </w:rPr>
        <w:t>והלך</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היה</w:t>
      </w:r>
      <w:r>
        <w:rPr>
          <w:rtl/>
          <w:lang w:eastAsia="en-US"/>
        </w:rPr>
        <w:t xml:space="preserve"> </w:t>
      </w:r>
      <w:r>
        <w:rPr>
          <w:rFonts w:hint="eastAsia"/>
          <w:rtl/>
          <w:lang w:eastAsia="en-US"/>
        </w:rPr>
        <w:t>עמה</w:t>
      </w:r>
      <w:r>
        <w:rPr>
          <w:rtl/>
          <w:lang w:eastAsia="en-US"/>
        </w:rPr>
        <w:t xml:space="preserve"> </w:t>
      </w:r>
      <w:r>
        <w:rPr>
          <w:rFonts w:hint="eastAsia"/>
          <w:rtl/>
          <w:lang w:eastAsia="en-US"/>
        </w:rPr>
        <w:t>המלך</w:t>
      </w:r>
      <w:r>
        <w:rPr>
          <w:rtl/>
          <w:lang w:eastAsia="en-US"/>
        </w:rPr>
        <w:t xml:space="preserve"> </w:t>
      </w:r>
      <w:r>
        <w:rPr>
          <w:rFonts w:hint="eastAsia"/>
          <w:rtl/>
          <w:lang w:eastAsia="en-US"/>
        </w:rPr>
        <w:t>בפילקי</w:t>
      </w:r>
      <w:r>
        <w:rPr>
          <w:rFonts w:hint="cs"/>
          <w:rtl/>
          <w:lang w:eastAsia="en-US"/>
        </w:rPr>
        <w:t>.</w:t>
      </w:r>
      <w:r>
        <w:rPr>
          <w:rStyle w:val="a5"/>
          <w:rtl/>
          <w:lang w:eastAsia="en-US"/>
        </w:rPr>
        <w:footnoteReference w:id="16"/>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איכפת</w:t>
      </w:r>
      <w:r>
        <w:rPr>
          <w:rtl/>
          <w:lang w:eastAsia="en-US"/>
        </w:rPr>
        <w:t xml:space="preserve"> </w:t>
      </w:r>
      <w:r>
        <w:rPr>
          <w:rFonts w:hint="eastAsia"/>
          <w:rtl/>
          <w:lang w:eastAsia="en-US"/>
        </w:rPr>
        <w:t>לך</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הימים</w:t>
      </w:r>
      <w:r>
        <w:rPr>
          <w:rtl/>
          <w:lang w:eastAsia="en-US"/>
        </w:rPr>
        <w:t xml:space="preserve"> </w:t>
      </w:r>
      <w:r>
        <w:rPr>
          <w:rFonts w:hint="eastAsia"/>
          <w:rtl/>
          <w:lang w:eastAsia="en-US"/>
        </w:rPr>
        <w:t>שאני</w:t>
      </w:r>
      <w:r>
        <w:rPr>
          <w:rtl/>
          <w:lang w:eastAsia="en-US"/>
        </w:rPr>
        <w:t xml:space="preserve"> </w:t>
      </w:r>
      <w:r>
        <w:rPr>
          <w:rFonts w:hint="eastAsia"/>
          <w:rtl/>
          <w:lang w:eastAsia="en-US"/>
        </w:rPr>
        <w:t>עמה</w:t>
      </w:r>
      <w:r>
        <w:rPr>
          <w:rFonts w:hint="cs"/>
          <w:rtl/>
          <w:lang w:eastAsia="en-US"/>
        </w:rPr>
        <w:t>,</w:t>
      </w:r>
      <w:r>
        <w:rPr>
          <w:rtl/>
          <w:lang w:eastAsia="en-US"/>
        </w:rPr>
        <w:t xml:space="preserve"> </w:t>
      </w:r>
      <w:r>
        <w:rPr>
          <w:rFonts w:hint="eastAsia"/>
          <w:rtl/>
          <w:lang w:eastAsia="en-US"/>
        </w:rPr>
        <w:t>אינה</w:t>
      </w:r>
      <w:r>
        <w:rPr>
          <w:rtl/>
          <w:lang w:eastAsia="en-US"/>
        </w:rPr>
        <w:t xml:space="preserve"> </w:t>
      </w:r>
      <w:r>
        <w:rPr>
          <w:rFonts w:hint="eastAsia"/>
          <w:rtl/>
          <w:lang w:eastAsia="en-US"/>
        </w:rPr>
        <w:t>נוטלת</w:t>
      </w:r>
      <w:r>
        <w:rPr>
          <w:rtl/>
          <w:lang w:eastAsia="en-US"/>
        </w:rPr>
        <w:t xml:space="preserve"> </w:t>
      </w:r>
      <w:r>
        <w:rPr>
          <w:rFonts w:hint="eastAsia"/>
          <w:rtl/>
          <w:lang w:eastAsia="en-US"/>
        </w:rPr>
        <w:t>שם</w:t>
      </w:r>
      <w:r>
        <w:rPr>
          <w:rtl/>
          <w:lang w:eastAsia="en-US"/>
        </w:rPr>
        <w:t xml:space="preserve"> </w:t>
      </w:r>
      <w:r>
        <w:rPr>
          <w:rFonts w:hint="eastAsia"/>
          <w:rtl/>
          <w:lang w:eastAsia="en-US"/>
        </w:rPr>
        <w:t>רע</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נשתעבדו</w:t>
      </w:r>
      <w:r>
        <w:rPr>
          <w:rtl/>
          <w:lang w:eastAsia="en-US"/>
        </w:rPr>
        <w:t xml:space="preserve"> </w:t>
      </w:r>
      <w:r>
        <w:rPr>
          <w:rFonts w:hint="eastAsia"/>
          <w:rtl/>
          <w:lang w:eastAsia="en-US"/>
        </w:rPr>
        <w:t>ישראל</w:t>
      </w:r>
      <w:r>
        <w:rPr>
          <w:rtl/>
          <w:lang w:eastAsia="en-US"/>
        </w:rPr>
        <w:t xml:space="preserve"> </w:t>
      </w:r>
      <w:r>
        <w:rPr>
          <w:rFonts w:hint="eastAsia"/>
          <w:rtl/>
          <w:lang w:eastAsia="en-US"/>
        </w:rPr>
        <w:t>במצרים</w:t>
      </w:r>
      <w:r>
        <w:rPr>
          <w:rtl/>
          <w:lang w:eastAsia="en-US"/>
        </w:rPr>
        <w:t xml:space="preserve"> </w:t>
      </w:r>
      <w:r>
        <w:rPr>
          <w:rFonts w:hint="eastAsia"/>
          <w:rtl/>
          <w:lang w:eastAsia="en-US"/>
        </w:rPr>
        <w:t>וגלה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כביכול</w:t>
      </w:r>
      <w:r>
        <w:rPr>
          <w:rtl/>
          <w:lang w:eastAsia="en-US"/>
        </w:rPr>
        <w:t xml:space="preserve"> </w:t>
      </w:r>
      <w:r>
        <w:rPr>
          <w:rFonts w:hint="eastAsia"/>
          <w:rtl/>
          <w:lang w:eastAsia="en-US"/>
        </w:rPr>
        <w:t>עמהם</w:t>
      </w:r>
      <w:r>
        <w:rPr>
          <w:rFonts w:hint="cs"/>
          <w:rtl/>
          <w:lang w:eastAsia="en-US"/>
        </w:rPr>
        <w:t>,</w:t>
      </w:r>
      <w:r>
        <w:rPr>
          <w:rtl/>
          <w:lang w:eastAsia="en-US"/>
        </w:rPr>
        <w:t xml:space="preserve"> </w:t>
      </w:r>
      <w:r>
        <w:rPr>
          <w:rFonts w:hint="eastAsia"/>
          <w:rtl/>
          <w:lang w:eastAsia="en-US"/>
        </w:rPr>
        <w:t>שנא</w:t>
      </w:r>
      <w:r>
        <w:rPr>
          <w:rFonts w:hint="cs"/>
          <w:rtl/>
          <w:lang w:eastAsia="en-US"/>
        </w:rPr>
        <w:t>מר: "</w:t>
      </w:r>
      <w:r>
        <w:rPr>
          <w:rFonts w:hint="eastAsia"/>
          <w:rtl/>
          <w:lang w:eastAsia="en-US"/>
        </w:rPr>
        <w:t>אנכי</w:t>
      </w:r>
      <w:r>
        <w:rPr>
          <w:rtl/>
          <w:lang w:eastAsia="en-US"/>
        </w:rPr>
        <w:t xml:space="preserve"> </w:t>
      </w:r>
      <w:r>
        <w:rPr>
          <w:rFonts w:hint="eastAsia"/>
          <w:rtl/>
          <w:lang w:eastAsia="en-US"/>
        </w:rPr>
        <w:t>ארד</w:t>
      </w:r>
      <w:r>
        <w:rPr>
          <w:rtl/>
          <w:lang w:eastAsia="en-US"/>
        </w:rPr>
        <w:t xml:space="preserve"> </w:t>
      </w:r>
      <w:r>
        <w:rPr>
          <w:rFonts w:hint="eastAsia"/>
          <w:rtl/>
          <w:lang w:eastAsia="en-US"/>
        </w:rPr>
        <w:t>עמך</w:t>
      </w:r>
      <w:r>
        <w:rPr>
          <w:rtl/>
          <w:lang w:eastAsia="en-US"/>
        </w:rPr>
        <w:t xml:space="preserve"> </w:t>
      </w:r>
      <w:r>
        <w:rPr>
          <w:rFonts w:hint="eastAsia"/>
          <w:rtl/>
          <w:lang w:eastAsia="en-US"/>
        </w:rPr>
        <w:t>מצרימה</w:t>
      </w:r>
      <w:r>
        <w:rPr>
          <w:rFonts w:hint="cs"/>
          <w:rtl/>
          <w:lang w:eastAsia="en-US"/>
        </w:rPr>
        <w:t xml:space="preserve">" </w:t>
      </w:r>
      <w:r>
        <w:rPr>
          <w:rtl/>
          <w:lang w:eastAsia="en-US"/>
        </w:rPr>
        <w:t>(</w:t>
      </w:r>
      <w:r>
        <w:rPr>
          <w:rFonts w:hint="eastAsia"/>
          <w:rtl/>
          <w:lang w:eastAsia="en-US"/>
        </w:rPr>
        <w:t>בראשית</w:t>
      </w:r>
      <w:r>
        <w:rPr>
          <w:rtl/>
          <w:lang w:eastAsia="en-US"/>
        </w:rPr>
        <w:t xml:space="preserve"> </w:t>
      </w:r>
      <w:r>
        <w:rPr>
          <w:rFonts w:hint="eastAsia"/>
          <w:rtl/>
          <w:lang w:eastAsia="en-US"/>
        </w:rPr>
        <w:t>מו</w:t>
      </w:r>
      <w:r>
        <w:rPr>
          <w:rFonts w:hint="cs"/>
          <w:rtl/>
          <w:lang w:eastAsia="en-US"/>
        </w:rPr>
        <w:t xml:space="preserve"> ד</w:t>
      </w:r>
      <w:r>
        <w:rPr>
          <w:rtl/>
          <w:lang w:eastAsia="en-US"/>
        </w:rPr>
        <w:t>)</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בבבל</w:t>
      </w:r>
      <w:r>
        <w:rPr>
          <w:rFonts w:hint="cs"/>
          <w:rtl/>
          <w:lang w:eastAsia="en-US"/>
        </w:rPr>
        <w:t xml:space="preserve"> ... </w:t>
      </w:r>
      <w:r>
        <w:rPr>
          <w:rFonts w:hint="eastAsia"/>
          <w:rtl/>
          <w:lang w:eastAsia="en-US"/>
        </w:rPr>
        <w:t>וכן</w:t>
      </w:r>
      <w:r>
        <w:rPr>
          <w:rtl/>
          <w:lang w:eastAsia="en-US"/>
        </w:rPr>
        <w:t xml:space="preserve"> </w:t>
      </w:r>
      <w:r>
        <w:rPr>
          <w:rFonts w:hint="eastAsia"/>
          <w:rtl/>
          <w:lang w:eastAsia="en-US"/>
        </w:rPr>
        <w:t>במדי</w:t>
      </w:r>
      <w:r>
        <w:rPr>
          <w:rtl/>
          <w:lang w:eastAsia="en-US"/>
        </w:rPr>
        <w:t xml:space="preserve"> </w:t>
      </w:r>
      <w:r>
        <w:rPr>
          <w:rFonts w:hint="cs"/>
          <w:rtl/>
          <w:lang w:eastAsia="en-US"/>
        </w:rPr>
        <w:t xml:space="preserve">... </w:t>
      </w:r>
      <w:r>
        <w:rPr>
          <w:rFonts w:hint="eastAsia"/>
          <w:rtl/>
          <w:lang w:eastAsia="en-US"/>
        </w:rPr>
        <w:t>ביון</w:t>
      </w:r>
      <w:r>
        <w:rPr>
          <w:rtl/>
          <w:lang w:eastAsia="en-US"/>
        </w:rPr>
        <w:t xml:space="preserve"> </w:t>
      </w:r>
      <w:r>
        <w:rPr>
          <w:rFonts w:hint="eastAsia"/>
          <w:rtl/>
          <w:lang w:eastAsia="en-US"/>
        </w:rPr>
        <w:t>היה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עמהם</w:t>
      </w:r>
      <w:r>
        <w:rPr>
          <w:rFonts w:hint="cs"/>
          <w:rtl/>
          <w:lang w:eastAsia="en-US"/>
        </w:rPr>
        <w:t xml:space="preserve"> ...</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להקב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כך</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הימים</w:t>
      </w:r>
      <w:r>
        <w:rPr>
          <w:rtl/>
          <w:lang w:eastAsia="en-US"/>
        </w:rPr>
        <w:t xml:space="preserve"> </w:t>
      </w:r>
      <w:r>
        <w:rPr>
          <w:rFonts w:hint="eastAsia"/>
          <w:rtl/>
          <w:lang w:eastAsia="en-US"/>
        </w:rPr>
        <w:t>שאני</w:t>
      </w:r>
      <w:r>
        <w:rPr>
          <w:rtl/>
          <w:lang w:eastAsia="en-US"/>
        </w:rPr>
        <w:t xml:space="preserve"> </w:t>
      </w:r>
      <w:r>
        <w:rPr>
          <w:rFonts w:hint="eastAsia"/>
          <w:rtl/>
          <w:lang w:eastAsia="en-US"/>
        </w:rPr>
        <w:t>עמהם</w:t>
      </w:r>
      <w:r>
        <w:rPr>
          <w:rtl/>
          <w:lang w:eastAsia="en-US"/>
        </w:rPr>
        <w:t xml:space="preserve"> </w:t>
      </w:r>
      <w:r>
        <w:rPr>
          <w:rFonts w:hint="eastAsia"/>
          <w:rtl/>
          <w:lang w:eastAsia="en-US"/>
        </w:rPr>
        <w:t>אין</w:t>
      </w:r>
      <w:r>
        <w:rPr>
          <w:rtl/>
          <w:lang w:eastAsia="en-US"/>
        </w:rPr>
        <w:t xml:space="preserve"> </w:t>
      </w:r>
      <w:r>
        <w:rPr>
          <w:rFonts w:hint="eastAsia"/>
          <w:rtl/>
          <w:lang w:eastAsia="en-US"/>
        </w:rPr>
        <w:t>נוטלין</w:t>
      </w:r>
      <w:r>
        <w:rPr>
          <w:rtl/>
          <w:lang w:eastAsia="en-US"/>
        </w:rPr>
        <w:t xml:space="preserve"> </w:t>
      </w:r>
      <w:r>
        <w:rPr>
          <w:rFonts w:hint="eastAsia"/>
          <w:rtl/>
          <w:lang w:eastAsia="en-US"/>
        </w:rPr>
        <w:t>שם</w:t>
      </w:r>
      <w:r>
        <w:rPr>
          <w:rtl/>
          <w:lang w:eastAsia="en-US"/>
        </w:rPr>
        <w:t xml:space="preserve"> </w:t>
      </w:r>
      <w:r>
        <w:rPr>
          <w:rFonts w:hint="eastAsia"/>
          <w:rtl/>
          <w:lang w:eastAsia="en-US"/>
        </w:rPr>
        <w:t>רע</w:t>
      </w:r>
      <w:r>
        <w:rPr>
          <w:rFonts w:hint="cs"/>
          <w:rtl/>
          <w:lang w:eastAsia="en-US"/>
        </w:rPr>
        <w:t>.</w:t>
      </w:r>
      <w:r>
        <w:rPr>
          <w:rStyle w:val="a5"/>
          <w:rtl/>
        </w:rPr>
        <w:footnoteReference w:id="17"/>
      </w:r>
    </w:p>
    <w:p w:rsidR="002222DE" w:rsidRDefault="002222DE" w:rsidP="002222DE">
      <w:pPr>
        <w:pStyle w:val="ab"/>
        <w:rPr>
          <w:rtl/>
        </w:rPr>
      </w:pPr>
      <w:r>
        <w:rPr>
          <w:rtl/>
        </w:rPr>
        <w:t>מסכת בבא מציעא דף ל עמוד א</w:t>
      </w:r>
      <w:r w:rsidR="002C5F3B">
        <w:rPr>
          <w:rFonts w:hint="cs"/>
          <w:rtl/>
        </w:rPr>
        <w:t xml:space="preserve"> </w:t>
      </w:r>
      <w:r w:rsidR="002C5F3B">
        <w:rPr>
          <w:rtl/>
        </w:rPr>
        <w:t>–</w:t>
      </w:r>
      <w:r w:rsidR="002C5F3B">
        <w:rPr>
          <w:rFonts w:hint="cs"/>
          <w:rtl/>
        </w:rPr>
        <w:t xml:space="preserve"> והתעלמת, פעמים שאתה מתעלם</w:t>
      </w:r>
      <w:r>
        <w:rPr>
          <w:rtl/>
        </w:rPr>
        <w:t xml:space="preserve"> </w:t>
      </w:r>
    </w:p>
    <w:p w:rsidR="00324C1D" w:rsidRDefault="00D55DFB" w:rsidP="00D55DFB">
      <w:pPr>
        <w:pStyle w:val="ac"/>
        <w:rPr>
          <w:rFonts w:hint="cs"/>
          <w:rtl/>
        </w:rPr>
      </w:pPr>
      <w:r>
        <w:rPr>
          <w:rFonts w:hint="cs"/>
          <w:rtl/>
        </w:rPr>
        <w:t>"</w:t>
      </w:r>
      <w:r w:rsidR="002222DE">
        <w:rPr>
          <w:rtl/>
        </w:rPr>
        <w:t>מצא שק או קופה [וכל דבר] שאין דרכו ליטול - הרי זה לא יטול</w:t>
      </w:r>
      <w:r>
        <w:rPr>
          <w:rFonts w:hint="cs"/>
          <w:rtl/>
        </w:rPr>
        <w:t>"</w:t>
      </w:r>
      <w:r w:rsidR="002222DE">
        <w:rPr>
          <w:rtl/>
        </w:rPr>
        <w:t xml:space="preserve">. מנהני מילי? - דתנו רבנן: </w:t>
      </w:r>
      <w:r>
        <w:rPr>
          <w:rFonts w:hint="cs"/>
          <w:rtl/>
        </w:rPr>
        <w:t>"</w:t>
      </w:r>
      <w:r w:rsidR="002222DE">
        <w:rPr>
          <w:rtl/>
        </w:rPr>
        <w:t>והתעלמת</w:t>
      </w:r>
      <w:r>
        <w:rPr>
          <w:rFonts w:hint="cs"/>
          <w:rtl/>
        </w:rPr>
        <w:t>"</w:t>
      </w:r>
      <w:r w:rsidR="002222DE">
        <w:rPr>
          <w:rtl/>
        </w:rPr>
        <w:t xml:space="preserve"> </w:t>
      </w:r>
      <w:r>
        <w:rPr>
          <w:rFonts w:hint="cs"/>
          <w:rtl/>
        </w:rPr>
        <w:t>(</w:t>
      </w:r>
      <w:r>
        <w:rPr>
          <w:rtl/>
        </w:rPr>
        <w:t>דברים כב</w:t>
      </w:r>
      <w:r>
        <w:rPr>
          <w:rFonts w:hint="cs"/>
          <w:rtl/>
        </w:rPr>
        <w:t xml:space="preserve"> א) </w:t>
      </w:r>
      <w:r w:rsidR="002222DE">
        <w:rPr>
          <w:rtl/>
        </w:rPr>
        <w:t>- פעמים שאתה מתעלם, ופעמים שאי אתה מתעלם. הא כיצד? היה כהן והיא בבית הקברות, או שהיה זקן ואינה לפי כבודו, או שהיתה מלאכה שלו מרובה משל חבירו - לכך נאמר</w:t>
      </w:r>
      <w:r>
        <w:rPr>
          <w:rFonts w:hint="cs"/>
          <w:rtl/>
        </w:rPr>
        <w:t>:</w:t>
      </w:r>
      <w:r w:rsidR="002222DE">
        <w:rPr>
          <w:rtl/>
        </w:rPr>
        <w:t xml:space="preserve"> </w:t>
      </w:r>
      <w:r>
        <w:rPr>
          <w:rFonts w:hint="cs"/>
          <w:rtl/>
        </w:rPr>
        <w:t>"</w:t>
      </w:r>
      <w:r w:rsidR="002222DE">
        <w:rPr>
          <w:rtl/>
        </w:rPr>
        <w:t>והתעלמת מהם</w:t>
      </w:r>
      <w:r>
        <w:rPr>
          <w:rFonts w:hint="cs"/>
          <w:rtl/>
        </w:rPr>
        <w:t>"</w:t>
      </w:r>
      <w:r w:rsidR="002222DE">
        <w:rPr>
          <w:rtl/>
        </w:rPr>
        <w:t>. למאי איצטריך קרא? אילימא לכהן והיא בבית הקברות - פשיטא; האי עשה, והאי לא תעשה ועשה, ולא אתי עשה ודחי את לא תעשה ועשה.</w:t>
      </w:r>
      <w:r>
        <w:rPr>
          <w:rStyle w:val="a5"/>
          <w:rtl/>
        </w:rPr>
        <w:footnoteReference w:id="18"/>
      </w:r>
    </w:p>
    <w:p w:rsidR="00867C6E" w:rsidRDefault="00867C6E" w:rsidP="00867C6E">
      <w:pPr>
        <w:pStyle w:val="ab"/>
        <w:rPr>
          <w:rtl/>
        </w:rPr>
      </w:pPr>
      <w:r>
        <w:rPr>
          <w:rtl/>
        </w:rPr>
        <w:t xml:space="preserve">ויקרא רבה כג ב </w:t>
      </w:r>
      <w:r>
        <w:t>–</w:t>
      </w:r>
      <w:r>
        <w:rPr>
          <w:rtl/>
        </w:rPr>
        <w:t xml:space="preserve"> "לקחת לו גוי מקרב גוי"</w:t>
      </w:r>
    </w:p>
    <w:p w:rsidR="00867C6E" w:rsidRDefault="00867C6E" w:rsidP="008B357B">
      <w:pPr>
        <w:pStyle w:val="ac"/>
        <w:rPr>
          <w:rFonts w:hint="cs"/>
          <w:rtl/>
        </w:rPr>
      </w:pPr>
      <w:r>
        <w:rPr>
          <w:rtl/>
        </w:rPr>
        <w:t>"כשושנה בין החוחים" - רבי אליעזר פתר קרא בגאולת מצרים. מה שושנה זו כשהיא נתונה בין החוחים היא קשה על בעלה ללוקטה, כך הייתה גאולתן של ישראל קשה לפני הקב"ה ליגאל. זהו שכתוב "או הנסה אלהים לבוא לקחת לו גוי מקרב גוי" (דברים ד</w:t>
      </w:r>
      <w:r w:rsidR="008B357B">
        <w:rPr>
          <w:rFonts w:hint="cs"/>
          <w:rtl/>
        </w:rPr>
        <w:t xml:space="preserve"> לד</w:t>
      </w:r>
      <w:r>
        <w:rPr>
          <w:rtl/>
        </w:rPr>
        <w:t>) - אלו ערלים ואלו ערלים,  אלו מגדלי בלורית ואלו מגדלי בלורית, אלו לובשי כלאים ואלו לובשי כלאים. אם כן, לא הייתה נותנת מדת הדין לישראל שיגאלו ממצרים לעולם! אמר ר' שמואל בר נחמני: אילולי שאסר הקב"ה עצמו בשבועה, לא נגאלו ישראל לעולם.</w:t>
      </w:r>
      <w:r w:rsidR="008B357B">
        <w:rPr>
          <w:rStyle w:val="a5"/>
          <w:rtl/>
        </w:rPr>
        <w:footnoteReference w:id="19"/>
      </w:r>
    </w:p>
    <w:p w:rsidR="008B357B" w:rsidRDefault="008B357B" w:rsidP="008B357B">
      <w:pPr>
        <w:pStyle w:val="ab"/>
        <w:rPr>
          <w:rtl/>
        </w:rPr>
      </w:pPr>
      <w:r w:rsidRPr="00286120">
        <w:rPr>
          <w:rtl/>
        </w:rPr>
        <w:lastRenderedPageBreak/>
        <w:t>שמות רבה לב</w:t>
      </w:r>
      <w:r>
        <w:rPr>
          <w:rFonts w:cs="David"/>
          <w:rtl/>
        </w:rPr>
        <w:t xml:space="preserve"> </w:t>
      </w:r>
      <w:r>
        <w:rPr>
          <w:rFonts w:hint="cs"/>
          <w:rtl/>
        </w:rPr>
        <w:t xml:space="preserve">ח </w:t>
      </w:r>
      <w:r>
        <w:rPr>
          <w:rFonts w:cs="David"/>
          <w:rtl/>
        </w:rPr>
        <w:t>–</w:t>
      </w:r>
      <w:r>
        <w:rPr>
          <w:rFonts w:hint="cs"/>
          <w:rtl/>
        </w:rPr>
        <w:t xml:space="preserve"> "הנה אנכי שולח מלאך לפניך"</w:t>
      </w:r>
    </w:p>
    <w:p w:rsidR="008B357B" w:rsidRDefault="008B357B" w:rsidP="00C90000">
      <w:pPr>
        <w:pStyle w:val="ac"/>
        <w:rPr>
          <w:rFonts w:hint="cs"/>
          <w:rtl/>
        </w:rPr>
      </w:pPr>
      <w:r>
        <w:rPr>
          <w:rtl/>
        </w:rPr>
        <w:t>אמר לו משה: מלאך אתה משלח עמי? לא כך היו התנאים!</w:t>
      </w:r>
      <w:r>
        <w:rPr>
          <w:rFonts w:hint="cs"/>
          <w:rtl/>
        </w:rPr>
        <w:t xml:space="preserve"> לא כך אמרת: "וארד להצילו מיד מצרים ולהעלותו מן הארץ ההיא אל ארץ טובה ורחבה" (שמות ג ה)? ועתה אתה אומר: </w:t>
      </w:r>
      <w:r>
        <w:rPr>
          <w:rtl/>
        </w:rPr>
        <w:t>"</w:t>
      </w:r>
      <w:r>
        <w:rPr>
          <w:rFonts w:hint="cs"/>
          <w:rtl/>
        </w:rPr>
        <w:t>הנה אנכי שולח מלאך לפניך"! "</w:t>
      </w:r>
      <w:r>
        <w:rPr>
          <w:rtl/>
        </w:rPr>
        <w:t>אם אין פני</w:t>
      </w:r>
      <w:r w:rsidR="00C90000">
        <w:rPr>
          <w:rFonts w:hint="cs"/>
          <w:rtl/>
        </w:rPr>
        <w:t>ך</w:t>
      </w:r>
      <w:r>
        <w:rPr>
          <w:rtl/>
        </w:rPr>
        <w:t xml:space="preserve"> הולכים אל תעלנו מזה</w:t>
      </w:r>
      <w:r>
        <w:rPr>
          <w:rFonts w:hint="cs"/>
          <w:rtl/>
        </w:rPr>
        <w:t>".</w:t>
      </w:r>
      <w:r w:rsidR="006A3B9C">
        <w:rPr>
          <w:rStyle w:val="a5"/>
          <w:rtl/>
        </w:rPr>
        <w:footnoteReference w:id="20"/>
      </w:r>
    </w:p>
    <w:p w:rsidR="0061475A" w:rsidRDefault="0061475A" w:rsidP="0061475A">
      <w:pPr>
        <w:pStyle w:val="ab"/>
        <w:rPr>
          <w:rtl/>
        </w:rPr>
      </w:pPr>
      <w:r>
        <w:rPr>
          <w:rtl/>
        </w:rPr>
        <w:t xml:space="preserve">מדרש משלי (בובר) פרשה ט </w:t>
      </w:r>
    </w:p>
    <w:p w:rsidR="0061475A" w:rsidRDefault="0061475A" w:rsidP="0061475A">
      <w:pPr>
        <w:pStyle w:val="ac"/>
        <w:rPr>
          <w:rFonts w:hint="cs"/>
          <w:rtl/>
        </w:rPr>
      </w:pPr>
      <w:r>
        <w:rPr>
          <w:rtl/>
        </w:rPr>
        <w:t>מעשה בר' עקיבה שהיה חבוש בבית האסורים ור' יהושע הגרסי תלמידו היה משמשו</w:t>
      </w:r>
      <w:r>
        <w:rPr>
          <w:rFonts w:hint="cs"/>
          <w:rtl/>
        </w:rPr>
        <w:t>.</w:t>
      </w:r>
      <w:r>
        <w:rPr>
          <w:rtl/>
        </w:rPr>
        <w:t xml:space="preserve"> ערב יום טוב נפטר ממנו והלך לביתו</w:t>
      </w:r>
      <w:r>
        <w:rPr>
          <w:rFonts w:hint="cs"/>
          <w:rtl/>
        </w:rPr>
        <w:t>.</w:t>
      </w:r>
      <w:r>
        <w:rPr>
          <w:rtl/>
        </w:rPr>
        <w:t xml:space="preserve"> בא אליהו ועמד על פתח ביתו</w:t>
      </w:r>
      <w:r>
        <w:rPr>
          <w:rFonts w:hint="cs"/>
          <w:rtl/>
        </w:rPr>
        <w:t>.</w:t>
      </w:r>
      <w:r>
        <w:rPr>
          <w:rtl/>
        </w:rPr>
        <w:t xml:space="preserve"> א"ל</w:t>
      </w:r>
      <w:r>
        <w:rPr>
          <w:rFonts w:hint="cs"/>
          <w:rtl/>
        </w:rPr>
        <w:t>:</w:t>
      </w:r>
      <w:r>
        <w:rPr>
          <w:rtl/>
        </w:rPr>
        <w:t xml:space="preserve"> שלום עליך רבי</w:t>
      </w:r>
      <w:r>
        <w:rPr>
          <w:rFonts w:hint="cs"/>
          <w:rtl/>
        </w:rPr>
        <w:t>.</w:t>
      </w:r>
      <w:r>
        <w:rPr>
          <w:rtl/>
        </w:rPr>
        <w:t xml:space="preserve"> א"ל</w:t>
      </w:r>
      <w:r>
        <w:rPr>
          <w:rFonts w:hint="cs"/>
          <w:rtl/>
        </w:rPr>
        <w:t>:</w:t>
      </w:r>
      <w:r>
        <w:rPr>
          <w:rtl/>
        </w:rPr>
        <w:t xml:space="preserve"> שלום עליך רבי ומורי</w:t>
      </w:r>
      <w:r>
        <w:rPr>
          <w:rFonts w:hint="cs"/>
          <w:rtl/>
        </w:rPr>
        <w:t>.</w:t>
      </w:r>
      <w:r>
        <w:rPr>
          <w:rtl/>
        </w:rPr>
        <w:t xml:space="preserve"> א"ל</w:t>
      </w:r>
      <w:r>
        <w:rPr>
          <w:rFonts w:hint="cs"/>
          <w:rtl/>
        </w:rPr>
        <w:t>:</w:t>
      </w:r>
      <w:r>
        <w:rPr>
          <w:rtl/>
        </w:rPr>
        <w:t xml:space="preserve"> כלום אתה צריך</w:t>
      </w:r>
      <w:r>
        <w:rPr>
          <w:rFonts w:hint="cs"/>
          <w:rtl/>
        </w:rPr>
        <w:t>?</w:t>
      </w:r>
      <w:r>
        <w:rPr>
          <w:rStyle w:val="a5"/>
          <w:rtl/>
        </w:rPr>
        <w:footnoteReference w:id="21"/>
      </w:r>
      <w:r>
        <w:rPr>
          <w:rtl/>
        </w:rPr>
        <w:t xml:space="preserve"> א"ל</w:t>
      </w:r>
      <w:r>
        <w:rPr>
          <w:rFonts w:hint="cs"/>
          <w:rtl/>
        </w:rPr>
        <w:t>:</w:t>
      </w:r>
      <w:r>
        <w:rPr>
          <w:rtl/>
        </w:rPr>
        <w:t xml:space="preserve"> כהן אני ובאתי להגיד לך שר"ע מת בבית האסורים</w:t>
      </w:r>
      <w:r>
        <w:rPr>
          <w:rFonts w:hint="cs"/>
          <w:rtl/>
        </w:rPr>
        <w:t>.</w:t>
      </w:r>
      <w:r>
        <w:rPr>
          <w:rtl/>
        </w:rPr>
        <w:t xml:space="preserve"> מיד הלכו שניהם לבית האסורים ומצאו פתח שער בית האסורים פתוח ושר בית הסוהר היה ישן, וכל העם שהיו בבית האסורים היו ישנים</w:t>
      </w:r>
      <w:r>
        <w:rPr>
          <w:rFonts w:hint="cs"/>
          <w:rtl/>
        </w:rPr>
        <w:t>.</w:t>
      </w:r>
      <w:r>
        <w:rPr>
          <w:rtl/>
        </w:rPr>
        <w:t xml:space="preserve"> והשכיבו את ר"ע על המטה ויצאו</w:t>
      </w:r>
      <w:r>
        <w:rPr>
          <w:rFonts w:hint="cs"/>
          <w:rtl/>
        </w:rPr>
        <w:t>.</w:t>
      </w:r>
      <w:r>
        <w:rPr>
          <w:rtl/>
        </w:rPr>
        <w:t xml:space="preserve"> מיד נטפל אליהו זכור לטוב וטלו על כתפיו</w:t>
      </w:r>
      <w:r>
        <w:rPr>
          <w:rFonts w:hint="cs"/>
          <w:rtl/>
        </w:rPr>
        <w:t>.</w:t>
      </w:r>
      <w:r>
        <w:rPr>
          <w:rtl/>
        </w:rPr>
        <w:t xml:space="preserve"> וכשראה ר' יהושע הגרסי כך, אמר לאליהו</w:t>
      </w:r>
      <w:r>
        <w:rPr>
          <w:rFonts w:hint="cs"/>
          <w:rtl/>
        </w:rPr>
        <w:t>:</w:t>
      </w:r>
      <w:r>
        <w:rPr>
          <w:rtl/>
        </w:rPr>
        <w:t xml:space="preserve"> רבי</w:t>
      </w:r>
      <w:r>
        <w:rPr>
          <w:rFonts w:hint="cs"/>
          <w:rtl/>
        </w:rPr>
        <w:t>,</w:t>
      </w:r>
      <w:r>
        <w:rPr>
          <w:rtl/>
        </w:rPr>
        <w:t xml:space="preserve"> הלא אמרת לי אני אליהו כהן, וכהן אסור לטמא במת</w:t>
      </w:r>
      <w:r>
        <w:rPr>
          <w:rFonts w:hint="cs"/>
          <w:rtl/>
        </w:rPr>
        <w:t>!</w:t>
      </w:r>
      <w:r>
        <w:rPr>
          <w:rtl/>
        </w:rPr>
        <w:t xml:space="preserve"> א"ל</w:t>
      </w:r>
      <w:r>
        <w:rPr>
          <w:rFonts w:hint="cs"/>
          <w:rtl/>
        </w:rPr>
        <w:t>:</w:t>
      </w:r>
      <w:r>
        <w:rPr>
          <w:rtl/>
        </w:rPr>
        <w:t xml:space="preserve"> דייך ר' יהושע בני</w:t>
      </w:r>
      <w:r>
        <w:rPr>
          <w:rFonts w:hint="cs"/>
          <w:rtl/>
        </w:rPr>
        <w:t>,</w:t>
      </w:r>
      <w:r>
        <w:rPr>
          <w:rtl/>
        </w:rPr>
        <w:t xml:space="preserve"> חס ושלום שאין טומאה בצדיקים ואף לא בתלמידיהם</w:t>
      </w:r>
      <w:r>
        <w:rPr>
          <w:rFonts w:hint="cs"/>
          <w:rtl/>
        </w:rPr>
        <w:t>.</w:t>
      </w:r>
      <w:r w:rsidR="002C39E1">
        <w:rPr>
          <w:rStyle w:val="a5"/>
          <w:rtl/>
        </w:rPr>
        <w:footnoteReference w:id="22"/>
      </w:r>
    </w:p>
    <w:p w:rsidR="007D1E2D" w:rsidRPr="00881623" w:rsidRDefault="007D1E2D" w:rsidP="005536D7">
      <w:pPr>
        <w:pStyle w:val="ac"/>
        <w:rPr>
          <w:rFonts w:hint="cs"/>
          <w:rtl/>
        </w:rPr>
      </w:pPr>
    </w:p>
    <w:p w:rsidR="00AF1D19" w:rsidRPr="00881623" w:rsidRDefault="00AF1D19">
      <w:pPr>
        <w:pStyle w:val="ad"/>
        <w:rPr>
          <w:rtl/>
        </w:rPr>
      </w:pPr>
      <w:r w:rsidRPr="00881623">
        <w:rPr>
          <w:rtl/>
        </w:rPr>
        <w:t>שבת שלום</w:t>
      </w:r>
    </w:p>
    <w:p w:rsidR="00AF1D19" w:rsidRDefault="00AF1D19" w:rsidP="008B357B">
      <w:pPr>
        <w:pStyle w:val="ad"/>
        <w:rPr>
          <w:rFonts w:hint="cs"/>
          <w:rtl/>
        </w:rPr>
      </w:pPr>
      <w:r w:rsidRPr="00881623">
        <w:rPr>
          <w:rtl/>
        </w:rPr>
        <w:t>מחלקי המים</w:t>
      </w:r>
    </w:p>
    <w:p w:rsidR="000B4754" w:rsidRDefault="000B4754" w:rsidP="0061475A">
      <w:pPr>
        <w:pStyle w:val="ad"/>
        <w:spacing w:before="120"/>
        <w:rPr>
          <w:rFonts w:hint="cs"/>
          <w:b w:val="0"/>
          <w:bCs w:val="0"/>
          <w:szCs w:val="22"/>
          <w:rtl/>
        </w:rPr>
      </w:pPr>
      <w:r w:rsidRPr="000B4754">
        <w:rPr>
          <w:rFonts w:hint="cs"/>
          <w:b w:val="0"/>
          <w:bCs w:val="0"/>
          <w:szCs w:val="22"/>
          <w:rtl/>
        </w:rPr>
        <w:t xml:space="preserve">מים אחרונים: </w:t>
      </w:r>
      <w:r w:rsidR="0061475A">
        <w:rPr>
          <w:rFonts w:hint="cs"/>
          <w:b w:val="0"/>
          <w:bCs w:val="0"/>
          <w:szCs w:val="22"/>
          <w:rtl/>
        </w:rPr>
        <w:t>עוד ע</w:t>
      </w:r>
      <w:r w:rsidRPr="000B4754">
        <w:rPr>
          <w:rFonts w:hint="cs"/>
          <w:b w:val="0"/>
          <w:bCs w:val="0"/>
          <w:szCs w:val="22"/>
          <w:rtl/>
        </w:rPr>
        <w:t>ל כהן שנטמא על מנת להציל את התרומה, שהוא לכאורה נגד ההלכה (הערה 1</w:t>
      </w:r>
      <w:r w:rsidR="00DB3281">
        <w:rPr>
          <w:rFonts w:hint="cs"/>
          <w:b w:val="0"/>
          <w:bCs w:val="0"/>
          <w:szCs w:val="22"/>
          <w:rtl/>
        </w:rPr>
        <w:t>1</w:t>
      </w:r>
      <w:r w:rsidRPr="000B4754">
        <w:rPr>
          <w:rFonts w:hint="cs"/>
          <w:b w:val="0"/>
          <w:bCs w:val="0"/>
          <w:szCs w:val="22"/>
          <w:rtl/>
        </w:rPr>
        <w:t xml:space="preserve">), ראה </w:t>
      </w:r>
      <w:r w:rsidRPr="000B4754">
        <w:rPr>
          <w:b w:val="0"/>
          <w:bCs w:val="0"/>
          <w:szCs w:val="22"/>
          <w:rtl/>
        </w:rPr>
        <w:t>מסכת שמחות פרק ד הלכה יד</w:t>
      </w:r>
      <w:r w:rsidRPr="000B4754">
        <w:rPr>
          <w:rFonts w:hint="cs"/>
          <w:b w:val="0"/>
          <w:bCs w:val="0"/>
          <w:szCs w:val="22"/>
          <w:rtl/>
        </w:rPr>
        <w:t>: "</w:t>
      </w:r>
      <w:r w:rsidRPr="000B4754">
        <w:rPr>
          <w:b w:val="0"/>
          <w:bCs w:val="0"/>
          <w:szCs w:val="22"/>
          <w:rtl/>
        </w:rPr>
        <w:t>מטמא כהן ויוצא לחוץ לארץ לדיני ממונות ולדיני נפשות, לקידוש החודש ולעיבור השנה, ולהציל שדהו מן הגוי, אפילו ליטול, יוצא ועורר עליה; ללמוד תורה ולישא אשה, רבי יהודה אומר</w:t>
      </w:r>
      <w:r w:rsidR="00DB3281">
        <w:rPr>
          <w:rFonts w:hint="cs"/>
          <w:b w:val="0"/>
          <w:bCs w:val="0"/>
          <w:szCs w:val="22"/>
          <w:rtl/>
        </w:rPr>
        <w:t>:</w:t>
      </w:r>
      <w:r w:rsidRPr="000B4754">
        <w:rPr>
          <w:b w:val="0"/>
          <w:bCs w:val="0"/>
          <w:szCs w:val="22"/>
          <w:rtl/>
        </w:rPr>
        <w:t xml:space="preserve"> אם אין לו מאין ללמוד יטמא</w:t>
      </w:r>
      <w:r w:rsidR="00DB3281">
        <w:rPr>
          <w:rFonts w:hint="cs"/>
          <w:b w:val="0"/>
          <w:bCs w:val="0"/>
          <w:szCs w:val="22"/>
          <w:rtl/>
        </w:rPr>
        <w:t>.</w:t>
      </w:r>
      <w:r w:rsidRPr="000B4754">
        <w:rPr>
          <w:b w:val="0"/>
          <w:bCs w:val="0"/>
          <w:szCs w:val="22"/>
          <w:rtl/>
        </w:rPr>
        <w:t xml:space="preserve"> ואם לאו</w:t>
      </w:r>
      <w:r w:rsidR="00DB3281">
        <w:rPr>
          <w:rFonts w:hint="cs"/>
          <w:b w:val="0"/>
          <w:bCs w:val="0"/>
          <w:szCs w:val="22"/>
          <w:rtl/>
        </w:rPr>
        <w:t>,</w:t>
      </w:r>
      <w:r w:rsidRPr="000B4754">
        <w:rPr>
          <w:b w:val="0"/>
          <w:bCs w:val="0"/>
          <w:szCs w:val="22"/>
          <w:rtl/>
        </w:rPr>
        <w:t xml:space="preserve"> אל יטמא</w:t>
      </w:r>
      <w:r w:rsidR="00DB3281">
        <w:rPr>
          <w:rFonts w:hint="cs"/>
          <w:b w:val="0"/>
          <w:bCs w:val="0"/>
          <w:szCs w:val="22"/>
          <w:rtl/>
        </w:rPr>
        <w:t>.</w:t>
      </w:r>
      <w:r w:rsidRPr="000B4754">
        <w:rPr>
          <w:b w:val="0"/>
          <w:bCs w:val="0"/>
          <w:szCs w:val="22"/>
          <w:rtl/>
        </w:rPr>
        <w:t xml:space="preserve"> רבי יוסי אומר</w:t>
      </w:r>
      <w:r w:rsidR="00DB3281">
        <w:rPr>
          <w:rFonts w:hint="cs"/>
          <w:b w:val="0"/>
          <w:bCs w:val="0"/>
          <w:szCs w:val="22"/>
          <w:rtl/>
        </w:rPr>
        <w:t>:</w:t>
      </w:r>
      <w:r w:rsidRPr="000B4754">
        <w:rPr>
          <w:b w:val="0"/>
          <w:bCs w:val="0"/>
          <w:szCs w:val="22"/>
          <w:rtl/>
        </w:rPr>
        <w:t xml:space="preserve"> אף על פי שיש לו מאין ללמוד</w:t>
      </w:r>
      <w:r w:rsidR="00DB3281">
        <w:rPr>
          <w:rFonts w:hint="cs"/>
          <w:b w:val="0"/>
          <w:bCs w:val="0"/>
          <w:szCs w:val="22"/>
          <w:rtl/>
        </w:rPr>
        <w:t>,</w:t>
      </w:r>
      <w:r w:rsidR="00DB3281">
        <w:rPr>
          <w:b w:val="0"/>
          <w:bCs w:val="0"/>
          <w:szCs w:val="22"/>
          <w:rtl/>
        </w:rPr>
        <w:t xml:space="preserve"> יטמא, שלא מכל אדם זוכה ללמוד</w:t>
      </w:r>
      <w:r w:rsidR="00DB3281">
        <w:rPr>
          <w:rFonts w:hint="cs"/>
          <w:b w:val="0"/>
          <w:bCs w:val="0"/>
          <w:szCs w:val="22"/>
          <w:rtl/>
        </w:rPr>
        <w:t>.</w:t>
      </w:r>
      <w:r w:rsidRPr="000B4754">
        <w:rPr>
          <w:b w:val="0"/>
          <w:bCs w:val="0"/>
          <w:szCs w:val="22"/>
          <w:rtl/>
        </w:rPr>
        <w:t xml:space="preserve"> ומעשה ביוסף הבבלי שנטמא ויצא חוץ לארץ ללמוד אצל רבי יוסי בציידן</w:t>
      </w:r>
      <w:r w:rsidRPr="000B4754">
        <w:rPr>
          <w:rFonts w:hint="cs"/>
          <w:b w:val="0"/>
          <w:bCs w:val="0"/>
          <w:szCs w:val="22"/>
          <w:rtl/>
        </w:rPr>
        <w:t>"</w:t>
      </w:r>
      <w:r w:rsidRPr="000B4754">
        <w:rPr>
          <w:b w:val="0"/>
          <w:bCs w:val="0"/>
          <w:szCs w:val="22"/>
          <w:rtl/>
        </w:rPr>
        <w:t>.</w:t>
      </w:r>
      <w:r w:rsidRPr="000B4754">
        <w:rPr>
          <w:rFonts w:hint="cs"/>
          <w:b w:val="0"/>
          <w:bCs w:val="0"/>
          <w:szCs w:val="22"/>
          <w:rtl/>
        </w:rPr>
        <w:t xml:space="preserve"> </w:t>
      </w:r>
      <w:r w:rsidR="00DB3281">
        <w:rPr>
          <w:rFonts w:hint="cs"/>
          <w:b w:val="0"/>
          <w:bCs w:val="0"/>
          <w:szCs w:val="22"/>
          <w:rtl/>
        </w:rPr>
        <w:t xml:space="preserve">נראה ששם זו הטומאה הכללית של ארץ העמים ושל היציאה מהארץ (ראה הסיפור על הכהן שביקש לצאת לחוץ לארץ, תנחומא תזריע ו), שעדיין איננה חמורה כמו טומאת בית הקברות. </w:t>
      </w:r>
      <w:r w:rsidRPr="000B4754">
        <w:rPr>
          <w:rFonts w:hint="cs"/>
          <w:b w:val="0"/>
          <w:bCs w:val="0"/>
          <w:szCs w:val="22"/>
          <w:rtl/>
        </w:rPr>
        <w:t>וצריך עיון נוסף.</w:t>
      </w:r>
    </w:p>
    <w:p w:rsidR="00756825" w:rsidRPr="000B4754" w:rsidRDefault="00756825" w:rsidP="0061475A">
      <w:pPr>
        <w:pStyle w:val="ad"/>
        <w:spacing w:before="120"/>
        <w:rPr>
          <w:rFonts w:hint="cs"/>
          <w:b w:val="0"/>
          <w:bCs w:val="0"/>
          <w:szCs w:val="22"/>
          <w:rtl/>
        </w:rPr>
      </w:pPr>
      <w:r>
        <w:rPr>
          <w:rFonts w:hint="cs"/>
          <w:b w:val="0"/>
          <w:bCs w:val="0"/>
          <w:szCs w:val="22"/>
          <w:rtl/>
        </w:rPr>
        <w:t xml:space="preserve">דוגמא נוספת היא </w:t>
      </w:r>
      <w:r w:rsidRPr="00756825">
        <w:rPr>
          <w:b w:val="0"/>
          <w:bCs w:val="0"/>
          <w:szCs w:val="22"/>
          <w:rtl/>
        </w:rPr>
        <w:t>מדרש תנחומא פרשת תרומה</w:t>
      </w:r>
      <w:r w:rsidRPr="00756825">
        <w:rPr>
          <w:rFonts w:hint="cs"/>
          <w:b w:val="0"/>
          <w:bCs w:val="0"/>
          <w:szCs w:val="22"/>
          <w:rtl/>
        </w:rPr>
        <w:t xml:space="preserve"> סימן א: "</w:t>
      </w:r>
      <w:r w:rsidRPr="00756825">
        <w:rPr>
          <w:b w:val="0"/>
          <w:bCs w:val="0"/>
          <w:szCs w:val="22"/>
          <w:rtl/>
        </w:rPr>
        <w:t>את מוצא שתי תרומות בחר בהן הקב"ה</w:t>
      </w:r>
      <w:r w:rsidRPr="00756825">
        <w:rPr>
          <w:rFonts w:hint="cs"/>
          <w:b w:val="0"/>
          <w:bCs w:val="0"/>
          <w:szCs w:val="22"/>
          <w:rtl/>
        </w:rPr>
        <w:t>:</w:t>
      </w:r>
      <w:r w:rsidRPr="00756825">
        <w:rPr>
          <w:b w:val="0"/>
          <w:bCs w:val="0"/>
          <w:szCs w:val="22"/>
          <w:rtl/>
        </w:rPr>
        <w:t xml:space="preserve"> אחד למשכן ואחד לכהנים</w:t>
      </w:r>
      <w:r w:rsidRPr="00756825">
        <w:rPr>
          <w:rFonts w:hint="cs"/>
          <w:b w:val="0"/>
          <w:bCs w:val="0"/>
          <w:szCs w:val="22"/>
          <w:rtl/>
        </w:rPr>
        <w:t>.</w:t>
      </w:r>
      <w:r w:rsidRPr="00756825">
        <w:rPr>
          <w:b w:val="0"/>
          <w:bCs w:val="0"/>
          <w:szCs w:val="22"/>
          <w:rtl/>
        </w:rPr>
        <w:t xml:space="preserve"> תרומת כהנים </w:t>
      </w:r>
      <w:r w:rsidRPr="00756825">
        <w:rPr>
          <w:rFonts w:hint="cs"/>
          <w:b w:val="0"/>
          <w:bCs w:val="0"/>
          <w:szCs w:val="22"/>
          <w:rtl/>
        </w:rPr>
        <w:t xml:space="preserve">- </w:t>
      </w:r>
      <w:r w:rsidRPr="00756825">
        <w:rPr>
          <w:b w:val="0"/>
          <w:bCs w:val="0"/>
          <w:szCs w:val="22"/>
          <w:rtl/>
        </w:rPr>
        <w:t>על מנת שיהיו בני תורה, אמר רבי ינאי</w:t>
      </w:r>
      <w:r w:rsidRPr="00756825">
        <w:rPr>
          <w:rFonts w:hint="cs"/>
          <w:b w:val="0"/>
          <w:bCs w:val="0"/>
          <w:szCs w:val="22"/>
          <w:rtl/>
        </w:rPr>
        <w:t>:</w:t>
      </w:r>
      <w:r w:rsidRPr="00756825">
        <w:rPr>
          <w:b w:val="0"/>
          <w:bCs w:val="0"/>
          <w:szCs w:val="22"/>
          <w:rtl/>
        </w:rPr>
        <w:t xml:space="preserve"> כל כהן שאינו בן תורה מותר לאכול על קברו תרומה</w:t>
      </w:r>
      <w:r w:rsidRPr="00756825">
        <w:rPr>
          <w:rFonts w:hint="cs"/>
          <w:b w:val="0"/>
          <w:bCs w:val="0"/>
          <w:szCs w:val="22"/>
          <w:rtl/>
        </w:rPr>
        <w:t>".</w:t>
      </w:r>
      <w:r>
        <w:rPr>
          <w:rFonts w:hint="cs"/>
          <w:b w:val="0"/>
          <w:bCs w:val="0"/>
          <w:szCs w:val="22"/>
          <w:rtl/>
        </w:rPr>
        <w:t xml:space="preserve"> ר' ינאי כל כך כועס על כהן שאינו בן תורה עד שהוא מוכן לדרוש כנגד ההלכה.</w:t>
      </w:r>
    </w:p>
    <w:sectPr w:rsidR="00756825" w:rsidRPr="000B4754" w:rsidSect="006C5638">
      <w:headerReference w:type="default" r:id="rId9"/>
      <w:footerReference w:type="default" r:id="rId10"/>
      <w:headerReference w:type="first" r:id="rId11"/>
      <w:endnotePr>
        <w:numFmt w:val="lowerLetter"/>
      </w:endnotePr>
      <w:pgSz w:w="11907" w:h="16840" w:code="9"/>
      <w:pgMar w:top="1191" w:right="1191" w:bottom="1191" w:left="119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CAB" w:rsidRDefault="00007CAB">
      <w:r>
        <w:separator/>
      </w:r>
    </w:p>
  </w:endnote>
  <w:endnote w:type="continuationSeparator" w:id="0">
    <w:p w:rsidR="00007CAB" w:rsidRDefault="0000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87" w:rsidRDefault="002C1987" w:rsidP="00C9736B">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A5FAD">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A5FAD">
      <w:rPr>
        <w:rStyle w:val="af1"/>
        <w:noProof/>
        <w:rtl/>
      </w:rPr>
      <w:t>4</w:t>
    </w:r>
    <w:r w:rsidRPr="00F8747C">
      <w:rPr>
        <w:rStyle w:val="af1"/>
      </w:rPr>
      <w:fldChar w:fldCharType="end"/>
    </w:r>
  </w:p>
  <w:p w:rsidR="002C1987" w:rsidRPr="000C515C" w:rsidRDefault="002C1987">
    <w:pPr>
      <w:pStyle w:val="a8"/>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CAB" w:rsidRDefault="00007CAB">
      <w:r>
        <w:separator/>
      </w:r>
    </w:p>
  </w:footnote>
  <w:footnote w:type="continuationSeparator" w:id="0">
    <w:p w:rsidR="00007CAB" w:rsidRDefault="00007CAB">
      <w:r>
        <w:continuationSeparator/>
      </w:r>
    </w:p>
  </w:footnote>
  <w:footnote w:id="1">
    <w:p w:rsidR="002C1987" w:rsidRDefault="002C1987" w:rsidP="00BB7FD9">
      <w:pPr>
        <w:pStyle w:val="a3"/>
        <w:rPr>
          <w:rFonts w:hint="cs"/>
          <w:rtl/>
        </w:rPr>
      </w:pPr>
      <w:r>
        <w:rPr>
          <w:rStyle w:val="a5"/>
        </w:rPr>
        <w:footnoteRef/>
      </w:r>
      <w:r>
        <w:rPr>
          <w:rtl/>
        </w:rPr>
        <w:t xml:space="preserve"> </w:t>
      </w:r>
      <w:r>
        <w:rPr>
          <w:rFonts w:hint="cs"/>
          <w:rtl/>
        </w:rPr>
        <w:t xml:space="preserve">גם לנושא זה, </w:t>
      </w:r>
      <w:hyperlink r:id="rId1" w:history="1">
        <w:r w:rsidRPr="00C36E30">
          <w:rPr>
            <w:rStyle w:val="Hyperlink"/>
            <w:rFonts w:hint="cs"/>
            <w:rtl/>
          </w:rPr>
          <w:t>החודש הזה לכם</w:t>
        </w:r>
      </w:hyperlink>
      <w:r>
        <w:rPr>
          <w:rFonts w:hint="cs"/>
          <w:rtl/>
        </w:rPr>
        <w:t xml:space="preserve">, נדרשנו בדברינו בפרשת החודש. </w:t>
      </w:r>
      <w:r w:rsidR="00BB7FD9">
        <w:rPr>
          <w:rFonts w:hint="cs"/>
          <w:rtl/>
        </w:rPr>
        <w:t xml:space="preserve">הדגש שלנו </w:t>
      </w:r>
      <w:r>
        <w:rPr>
          <w:rFonts w:hint="cs"/>
          <w:rtl/>
        </w:rPr>
        <w:t xml:space="preserve">הפעם הוא על הפסוק הראשון: "ויאמר ה' אל משה ואל אהרון </w:t>
      </w:r>
      <w:r w:rsidRPr="00551D16">
        <w:rPr>
          <w:rFonts w:hint="cs"/>
          <w:b/>
          <w:bCs/>
          <w:rtl/>
        </w:rPr>
        <w:t>בארץ מצרים</w:t>
      </w:r>
      <w:r>
        <w:rPr>
          <w:rFonts w:hint="cs"/>
          <w:rtl/>
        </w:rPr>
        <w:t xml:space="preserve"> לאמור", שכפי שנראה, מייחס לו המדרש משמעות.</w:t>
      </w:r>
    </w:p>
  </w:footnote>
  <w:footnote w:id="2">
    <w:p w:rsidR="002C1987" w:rsidRDefault="002C1987" w:rsidP="005D038D">
      <w:pPr>
        <w:pStyle w:val="a3"/>
        <w:rPr>
          <w:rFonts w:hint="cs"/>
          <w:rtl/>
        </w:rPr>
      </w:pPr>
      <w:r>
        <w:rPr>
          <w:rStyle w:val="a5"/>
        </w:rPr>
        <w:footnoteRef/>
      </w:r>
      <w:r>
        <w:rPr>
          <w:rtl/>
        </w:rPr>
        <w:t xml:space="preserve"> </w:t>
      </w:r>
      <w:r>
        <w:rPr>
          <w:rFonts w:hint="cs"/>
          <w:rtl/>
        </w:rPr>
        <w:t>ראה במקור שם איך משה ואהרון מתייצבים לפני פרעה ביום בו כל המלכים באים לכבדו (יום פ</w:t>
      </w:r>
      <w:r>
        <w:rPr>
          <w:rFonts w:hint="eastAsia"/>
          <w:rtl/>
        </w:rPr>
        <w:t>ּ</w:t>
      </w:r>
      <w:r>
        <w:rPr>
          <w:rFonts w:hint="cs"/>
          <w:rtl/>
        </w:rPr>
        <w:t>רו</w:t>
      </w:r>
      <w:r>
        <w:rPr>
          <w:rFonts w:hint="eastAsia"/>
          <w:rtl/>
        </w:rPr>
        <w:t>ֹ</w:t>
      </w:r>
      <w:r>
        <w:rPr>
          <w:rFonts w:hint="cs"/>
          <w:rtl/>
        </w:rPr>
        <w:t>ז</w:t>
      </w:r>
      <w:r>
        <w:rPr>
          <w:rFonts w:hint="eastAsia"/>
          <w:rtl/>
        </w:rPr>
        <w:t>ְ</w:t>
      </w:r>
      <w:r>
        <w:rPr>
          <w:rFonts w:hint="cs"/>
          <w:rtl/>
        </w:rPr>
        <w:t>ב</w:t>
      </w:r>
      <w:r>
        <w:rPr>
          <w:rFonts w:hint="eastAsia"/>
          <w:rtl/>
        </w:rPr>
        <w:t>ֶּ</w:t>
      </w:r>
      <w:r>
        <w:rPr>
          <w:rFonts w:hint="cs"/>
          <w:rtl/>
        </w:rPr>
        <w:t>ו</w:t>
      </w:r>
      <w:r>
        <w:rPr>
          <w:rFonts w:hint="eastAsia"/>
          <w:rtl/>
        </w:rPr>
        <w:t>ְ</w:t>
      </w:r>
      <w:r>
        <w:rPr>
          <w:rFonts w:hint="cs"/>
          <w:rtl/>
        </w:rPr>
        <w:t>ט</w:t>
      </w:r>
      <w:r>
        <w:rPr>
          <w:rFonts w:hint="eastAsia"/>
          <w:rtl/>
        </w:rPr>
        <w:t>ִ</w:t>
      </w:r>
      <w:r>
        <w:rPr>
          <w:rFonts w:hint="cs"/>
          <w:rtl/>
        </w:rPr>
        <w:t>י): "שני זקנים עומדים על הפתח" וכל הדיאלוג בין פרעה למשה ואהרון: מי אתם? מי הוא ששלח אתכם? אינני מכיר אותו, "לא היה יודע לשלוח לי עטרה"</w:t>
      </w:r>
      <w:r w:rsidR="00243746">
        <w:rPr>
          <w:rFonts w:hint="cs"/>
          <w:rtl/>
        </w:rPr>
        <w:t>, איזה כתבים בידכם</w:t>
      </w:r>
      <w:r>
        <w:rPr>
          <w:rFonts w:hint="cs"/>
          <w:rtl/>
        </w:rPr>
        <w:t xml:space="preserve"> וכו'. ואנחנו התמקדנו בקטע הנוגע לעניינינו. </w:t>
      </w:r>
    </w:p>
  </w:footnote>
  <w:footnote w:id="3">
    <w:p w:rsidR="002C1987" w:rsidRDefault="002C1987" w:rsidP="00C36E30">
      <w:pPr>
        <w:pStyle w:val="a3"/>
        <w:rPr>
          <w:rFonts w:hint="cs"/>
        </w:rPr>
      </w:pPr>
      <w:r>
        <w:rPr>
          <w:rStyle w:val="a5"/>
        </w:rPr>
        <w:footnoteRef/>
      </w:r>
      <w:r>
        <w:rPr>
          <w:rtl/>
        </w:rPr>
        <w:t xml:space="preserve"> </w:t>
      </w:r>
      <w:r>
        <w:rPr>
          <w:rFonts w:hint="cs"/>
          <w:rtl/>
        </w:rPr>
        <w:t xml:space="preserve">עבד של כהן שרואה את רבו יום יום מקפיד על דיני טהרה על מנת לאכול מהתרומה כדין (למרות שהעבד עצמו לא חייב בדינים אלה שהרי מדובר בעבד כנעני ולא עברי), איך זה יחפש אותו בבית הקברות? על כורחך, עבד שוטה הוא. ראה לשון מדרשים מאוחרים על מוטיב זה, כגון </w:t>
      </w:r>
      <w:r>
        <w:rPr>
          <w:rtl/>
        </w:rPr>
        <w:t xml:space="preserve">פסיקתא זוטרתא (לקח טוב) </w:t>
      </w:r>
      <w:r>
        <w:rPr>
          <w:rFonts w:hint="cs"/>
          <w:rtl/>
        </w:rPr>
        <w:t xml:space="preserve">וכן שכל טוב (בובר) </w:t>
      </w:r>
      <w:r>
        <w:rPr>
          <w:rtl/>
        </w:rPr>
        <w:t xml:space="preserve">שמות פרק ה </w:t>
      </w:r>
      <w:r>
        <w:rPr>
          <w:rFonts w:hint="cs"/>
          <w:rtl/>
        </w:rPr>
        <w:t>פסוק ב: "</w:t>
      </w:r>
      <w:r>
        <w:rPr>
          <w:rtl/>
        </w:rPr>
        <w:t>אמר לו משה</w:t>
      </w:r>
      <w:r>
        <w:rPr>
          <w:rFonts w:hint="cs"/>
          <w:rtl/>
        </w:rPr>
        <w:t>:</w:t>
      </w:r>
      <w:r>
        <w:rPr>
          <w:rtl/>
        </w:rPr>
        <w:t xml:space="preserve"> מה לכהן בבית הקברות, מה למלך בבית המטבחיים</w:t>
      </w:r>
      <w:r>
        <w:rPr>
          <w:rFonts w:hint="cs"/>
          <w:rtl/>
        </w:rPr>
        <w:t>". ונראה שזה מקור הביטוי ומשם לקחנו את כותרת הדף.</w:t>
      </w:r>
    </w:p>
  </w:footnote>
  <w:footnote w:id="4">
    <w:p w:rsidR="002C1987" w:rsidRDefault="002C1987" w:rsidP="00243746">
      <w:pPr>
        <w:pStyle w:val="a3"/>
        <w:rPr>
          <w:rFonts w:hint="cs"/>
          <w:rtl/>
        </w:rPr>
      </w:pPr>
      <w:r>
        <w:rPr>
          <w:rStyle w:val="a5"/>
        </w:rPr>
        <w:footnoteRef/>
      </w:r>
      <w:r>
        <w:rPr>
          <w:rtl/>
        </w:rPr>
        <w:t xml:space="preserve"> </w:t>
      </w:r>
      <w:r>
        <w:rPr>
          <w:rFonts w:hint="cs"/>
          <w:rtl/>
        </w:rPr>
        <w:t>כיצד מצפה פרעה לשמוע או לראות את הקב"ה בארמונו או למצוא את שמו בספרייתו לצד אלוהי כל האומות המקוטלגים שם</w:t>
      </w:r>
      <w:r w:rsidR="001C118A">
        <w:rPr>
          <w:rFonts w:hint="cs"/>
          <w:rtl/>
        </w:rPr>
        <w:t>?</w:t>
      </w:r>
      <w:r>
        <w:rPr>
          <w:rFonts w:hint="cs"/>
          <w:rtl/>
        </w:rPr>
        <w:t xml:space="preserve"> שהרי מה לכהן (הקב"ה) בארץ מצרים שהיא מלאה טומאה וע"ז כמו בית קברות</w:t>
      </w:r>
      <w:r w:rsidR="00243746">
        <w:rPr>
          <w:rFonts w:hint="cs"/>
          <w:rtl/>
        </w:rPr>
        <w:t>?!</w:t>
      </w:r>
      <w:r>
        <w:rPr>
          <w:rFonts w:hint="cs"/>
          <w:rtl/>
        </w:rPr>
        <w:t xml:space="preserve"> מעניין במיוחד הביטוי: </w:t>
      </w:r>
      <w:r w:rsidRPr="00F04DB1">
        <w:rPr>
          <w:rtl/>
        </w:rPr>
        <w:t>דרכ</w:t>
      </w:r>
      <w:r>
        <w:rPr>
          <w:rFonts w:hint="cs"/>
          <w:rtl/>
        </w:rPr>
        <w:t>ם</w:t>
      </w:r>
      <w:r w:rsidRPr="00F04DB1">
        <w:rPr>
          <w:rtl/>
        </w:rPr>
        <w:t xml:space="preserve"> של מתים לת</w:t>
      </w:r>
      <w:r>
        <w:rPr>
          <w:rFonts w:hint="cs"/>
          <w:rtl/>
        </w:rPr>
        <w:t>ו</w:t>
      </w:r>
      <w:r w:rsidRPr="00F04DB1">
        <w:rPr>
          <w:rtl/>
        </w:rPr>
        <w:t>בע</w:t>
      </w:r>
      <w:r>
        <w:rPr>
          <w:rFonts w:hint="cs"/>
          <w:rtl/>
        </w:rPr>
        <w:t>ם</w:t>
      </w:r>
      <w:r w:rsidRPr="00F04DB1">
        <w:rPr>
          <w:rtl/>
        </w:rPr>
        <w:t xml:space="preserve"> בין החיים</w:t>
      </w:r>
      <w:r>
        <w:rPr>
          <w:rFonts w:hint="cs"/>
          <w:rtl/>
        </w:rPr>
        <w:t>,</w:t>
      </w:r>
      <w:r w:rsidRPr="00F04DB1">
        <w:rPr>
          <w:rtl/>
        </w:rPr>
        <w:t xml:space="preserve"> שמא החיים אצל המתים</w:t>
      </w:r>
      <w:r>
        <w:rPr>
          <w:rFonts w:hint="cs"/>
          <w:rtl/>
        </w:rPr>
        <w:t>? שפירושו</w:t>
      </w:r>
      <w:r w:rsidR="00BB7FD9">
        <w:rPr>
          <w:rFonts w:hint="cs"/>
          <w:rtl/>
        </w:rPr>
        <w:t>,</w:t>
      </w:r>
      <w:r>
        <w:rPr>
          <w:rFonts w:hint="cs"/>
          <w:rtl/>
        </w:rPr>
        <w:t xml:space="preserve"> שהמתים מצויים בקרב החיים ואלה מטפלים בהם מרגע שנפטרו עד שיובאו לבית עולמם </w:t>
      </w:r>
      <w:r>
        <w:rPr>
          <w:rtl/>
        </w:rPr>
        <w:t>–</w:t>
      </w:r>
      <w:r>
        <w:rPr>
          <w:rFonts w:hint="cs"/>
          <w:rtl/>
        </w:rPr>
        <w:t xml:space="preserve"> המוות הוא חלק מהחיים. אבל החיים אינם יכולים להימצא בעולם המתים, מה יש להם לחפש שם? אך דא עקא שהחיים מרבים לבוא לבתי הקברות (העלמין) ולפקוד קברי מתים וגם הצלע הראשון של המשפט: </w:t>
      </w:r>
      <w:r w:rsidRPr="00F04DB1">
        <w:rPr>
          <w:rtl/>
        </w:rPr>
        <w:t>דרכ</w:t>
      </w:r>
      <w:r>
        <w:rPr>
          <w:rFonts w:hint="cs"/>
          <w:rtl/>
        </w:rPr>
        <w:t>ם</w:t>
      </w:r>
      <w:r w:rsidRPr="00F04DB1">
        <w:rPr>
          <w:rtl/>
        </w:rPr>
        <w:t xml:space="preserve"> של מתים לת</w:t>
      </w:r>
      <w:r>
        <w:rPr>
          <w:rFonts w:hint="cs"/>
          <w:rtl/>
        </w:rPr>
        <w:t>ו</w:t>
      </w:r>
      <w:r w:rsidRPr="00F04DB1">
        <w:rPr>
          <w:rtl/>
        </w:rPr>
        <w:t>בע</w:t>
      </w:r>
      <w:r>
        <w:rPr>
          <w:rFonts w:hint="cs"/>
          <w:rtl/>
        </w:rPr>
        <w:t>ם</w:t>
      </w:r>
      <w:r w:rsidRPr="00F04DB1">
        <w:rPr>
          <w:rtl/>
        </w:rPr>
        <w:t xml:space="preserve"> בין החיים</w:t>
      </w:r>
      <w:r>
        <w:rPr>
          <w:rFonts w:hint="cs"/>
          <w:rtl/>
        </w:rPr>
        <w:t xml:space="preserve"> שנאמר בניחותא, מצביע על כך שיש מצבים של ערבוביה בין חיים ומתים (ולא נזכיר מקרים של הכנסת אנשים שנפטרו ממש לסדר חייהם של החיים). ומכאן אולי פתח לדעה אחרת שנראה להלן באשר לכהן בבית הקברות.</w:t>
      </w:r>
    </w:p>
  </w:footnote>
  <w:footnote w:id="5">
    <w:p w:rsidR="002C1987" w:rsidRDefault="002C1987" w:rsidP="00867C6E">
      <w:pPr>
        <w:pStyle w:val="a3"/>
        <w:rPr>
          <w:rFonts w:hint="cs"/>
          <w:rtl/>
        </w:rPr>
      </w:pPr>
      <w:r>
        <w:rPr>
          <w:rStyle w:val="a5"/>
        </w:rPr>
        <w:footnoteRef/>
      </w:r>
      <w:r>
        <w:rPr>
          <w:rtl/>
        </w:rPr>
        <w:t xml:space="preserve"> </w:t>
      </w:r>
      <w:r>
        <w:rPr>
          <w:rFonts w:hint="cs"/>
          <w:rtl/>
        </w:rPr>
        <w:t>ראה ויקרא רבה ו ו, לאו דווקא בהקשר עם פרעה וגאולת מצרים, אלא כדרשה על הפסוק ב</w:t>
      </w:r>
      <w:r>
        <w:rPr>
          <w:rtl/>
        </w:rPr>
        <w:t>ישעיהו ח יט</w:t>
      </w:r>
      <w:r>
        <w:rPr>
          <w:rFonts w:hint="cs"/>
          <w:rtl/>
        </w:rPr>
        <w:t>: "</w:t>
      </w:r>
      <w:r>
        <w:rPr>
          <w:rtl/>
        </w:rPr>
        <w:t>וְכִי יֹאמְרוּ אֲלֵיכֶם דִּרְשׁוּ אֶל הָאֹבוֹת וְאֶל הַיִּדְּעֹנִים הַמְצַפְצְפִים וְהַמַּהְגִּים הֲלוֹא עַם אֶל אֱלֹהָיו יִדְרֹשׁ בְּעַד הַחַיִּים אֶל הַמֵּתִים</w:t>
      </w:r>
      <w:r>
        <w:rPr>
          <w:rFonts w:hint="cs"/>
          <w:rtl/>
        </w:rPr>
        <w:t>". ראה לשון המדרש שם: "</w:t>
      </w:r>
      <w:r>
        <w:rPr>
          <w:rtl/>
        </w:rPr>
        <w:t>הלא עם אל אלהיו ידרוש</w:t>
      </w:r>
      <w:r>
        <w:rPr>
          <w:rFonts w:hint="cs"/>
          <w:rtl/>
        </w:rPr>
        <w:t xml:space="preserve"> - </w:t>
      </w:r>
      <w:r>
        <w:rPr>
          <w:rtl/>
        </w:rPr>
        <w:t>כל אומה ולשון תסגוד לאלהיה</w:t>
      </w:r>
      <w:r>
        <w:rPr>
          <w:rFonts w:hint="cs"/>
          <w:rtl/>
        </w:rPr>
        <w:t xml:space="preserve"> ...</w:t>
      </w:r>
      <w:r>
        <w:rPr>
          <w:rtl/>
        </w:rPr>
        <w:t xml:space="preserve"> בעד החיים אל המתים </w:t>
      </w:r>
      <w:r>
        <w:rPr>
          <w:rFonts w:hint="cs"/>
          <w:rtl/>
        </w:rPr>
        <w:t xml:space="preserve">- </w:t>
      </w:r>
      <w:r>
        <w:rPr>
          <w:rtl/>
        </w:rPr>
        <w:t>א"ר לוי</w:t>
      </w:r>
      <w:r>
        <w:rPr>
          <w:rFonts w:hint="cs"/>
          <w:rtl/>
        </w:rPr>
        <w:t>:</w:t>
      </w:r>
      <w:r>
        <w:rPr>
          <w:rtl/>
        </w:rPr>
        <w:t xml:space="preserve"> משל לא</w:t>
      </w:r>
      <w:r>
        <w:rPr>
          <w:rFonts w:hint="cs"/>
          <w:rtl/>
        </w:rPr>
        <w:t>חד</w:t>
      </w:r>
      <w:r>
        <w:rPr>
          <w:rtl/>
        </w:rPr>
        <w:t xml:space="preserve"> שאיבד את בנו והלך לתובעו בין הקברות</w:t>
      </w:r>
      <w:r>
        <w:rPr>
          <w:rFonts w:hint="cs"/>
          <w:rtl/>
        </w:rPr>
        <w:t>.</w:t>
      </w:r>
      <w:r>
        <w:rPr>
          <w:rtl/>
        </w:rPr>
        <w:t xml:space="preserve"> פקח אחד שראה אותו אמר לו</w:t>
      </w:r>
      <w:r>
        <w:rPr>
          <w:rFonts w:hint="cs"/>
          <w:rtl/>
        </w:rPr>
        <w:t>:</w:t>
      </w:r>
      <w:r>
        <w:rPr>
          <w:rtl/>
        </w:rPr>
        <w:t xml:space="preserve"> בנך שאיבדת חי או מת</w:t>
      </w:r>
      <w:r>
        <w:rPr>
          <w:rFonts w:hint="cs"/>
          <w:rtl/>
        </w:rPr>
        <w:t>?</w:t>
      </w:r>
      <w:r>
        <w:rPr>
          <w:rtl/>
        </w:rPr>
        <w:t xml:space="preserve"> א"ל</w:t>
      </w:r>
      <w:r>
        <w:rPr>
          <w:rFonts w:hint="cs"/>
          <w:rtl/>
        </w:rPr>
        <w:t>:</w:t>
      </w:r>
      <w:r>
        <w:rPr>
          <w:rtl/>
        </w:rPr>
        <w:t xml:space="preserve"> חי</w:t>
      </w:r>
      <w:r>
        <w:rPr>
          <w:rFonts w:hint="cs"/>
          <w:rtl/>
        </w:rPr>
        <w:t>.</w:t>
      </w:r>
      <w:r>
        <w:rPr>
          <w:rtl/>
        </w:rPr>
        <w:t xml:space="preserve"> א"ל</w:t>
      </w:r>
      <w:r>
        <w:rPr>
          <w:rFonts w:hint="cs"/>
          <w:rtl/>
        </w:rPr>
        <w:t>:</w:t>
      </w:r>
      <w:r>
        <w:rPr>
          <w:rtl/>
        </w:rPr>
        <w:t xml:space="preserve"> שוטה שבעולם</w:t>
      </w:r>
      <w:r>
        <w:rPr>
          <w:rFonts w:hint="cs"/>
          <w:rtl/>
        </w:rPr>
        <w:t>,</w:t>
      </w:r>
      <w:r>
        <w:rPr>
          <w:rtl/>
        </w:rPr>
        <w:t xml:space="preserve"> דרכן של מתים להיות נתבעים אצל חיים שמא חיים אצל מתים</w:t>
      </w:r>
      <w:r>
        <w:rPr>
          <w:rFonts w:hint="cs"/>
          <w:rtl/>
        </w:rPr>
        <w:t>?</w:t>
      </w:r>
      <w:r>
        <w:rPr>
          <w:rtl/>
        </w:rPr>
        <w:t xml:space="preserve"> בכ</w:t>
      </w:r>
      <w:r>
        <w:rPr>
          <w:rFonts w:hint="cs"/>
          <w:rtl/>
        </w:rPr>
        <w:t xml:space="preserve">ל מקום </w:t>
      </w:r>
      <w:r>
        <w:rPr>
          <w:rtl/>
        </w:rPr>
        <w:t>חיים עושים צרכי מתים</w:t>
      </w:r>
      <w:r>
        <w:rPr>
          <w:rFonts w:hint="cs"/>
          <w:rtl/>
        </w:rPr>
        <w:t>,</w:t>
      </w:r>
      <w:r>
        <w:rPr>
          <w:rtl/>
        </w:rPr>
        <w:t xml:space="preserve"> שמא המתים עושים צרכי חיים</w:t>
      </w:r>
      <w:r>
        <w:rPr>
          <w:rFonts w:hint="cs"/>
          <w:rtl/>
        </w:rPr>
        <w:t>?</w:t>
      </w:r>
      <w:r>
        <w:rPr>
          <w:rtl/>
        </w:rPr>
        <w:t xml:space="preserve"> כך אלהינו חי וקיים לעולם</w:t>
      </w:r>
      <w:r w:rsidR="00243746">
        <w:rPr>
          <w:rFonts w:hint="cs"/>
          <w:rtl/>
        </w:rPr>
        <w:t>,</w:t>
      </w:r>
      <w:r>
        <w:rPr>
          <w:rtl/>
        </w:rPr>
        <w:t xml:space="preserve"> שנאמר (ירמיה י) וה' אלהים אמת</w:t>
      </w:r>
      <w:r>
        <w:rPr>
          <w:rFonts w:hint="cs"/>
          <w:rtl/>
        </w:rPr>
        <w:t>.</w:t>
      </w:r>
      <w:r>
        <w:rPr>
          <w:rtl/>
        </w:rPr>
        <w:t xml:space="preserve"> מהו אמת</w:t>
      </w:r>
      <w:r>
        <w:rPr>
          <w:rFonts w:hint="cs"/>
          <w:rtl/>
        </w:rPr>
        <w:t>?</w:t>
      </w:r>
      <w:r>
        <w:rPr>
          <w:rtl/>
        </w:rPr>
        <w:t xml:space="preserve"> א"ר אבין</w:t>
      </w:r>
      <w:r>
        <w:rPr>
          <w:rFonts w:hint="cs"/>
          <w:rtl/>
        </w:rPr>
        <w:t>:</w:t>
      </w:r>
      <w:r>
        <w:rPr>
          <w:rtl/>
        </w:rPr>
        <w:t xml:space="preserve"> שהוא אלהים חיים ומלך עולם</w:t>
      </w:r>
      <w:r>
        <w:rPr>
          <w:rFonts w:hint="cs"/>
          <w:rtl/>
        </w:rPr>
        <w:t>". והכל מבוסס על הפסוק ב</w:t>
      </w:r>
      <w:r>
        <w:rPr>
          <w:rtl/>
        </w:rPr>
        <w:t xml:space="preserve">ירמיהו י </w:t>
      </w:r>
      <w:r>
        <w:rPr>
          <w:rFonts w:hint="cs"/>
          <w:rtl/>
        </w:rPr>
        <w:t>י: "</w:t>
      </w:r>
      <w:r>
        <w:rPr>
          <w:rtl/>
        </w:rPr>
        <w:t>וַ</w:t>
      </w:r>
      <w:r>
        <w:rPr>
          <w:rFonts w:hint="cs"/>
          <w:rtl/>
        </w:rPr>
        <w:t>ה'</w:t>
      </w:r>
      <w:r>
        <w:rPr>
          <w:rtl/>
        </w:rPr>
        <w:t xml:space="preserve"> אֱלֹהִים אֱמֶת הוּא אֱלֹהִים חַיִּים וּמֶלֶךְ עוֹלָם מִקִּצְפּוֹ תִּרְעַשׁ הָאָרֶץ וְלֹא יָכִלוּ גוֹיִם זַעְמוֹ</w:t>
      </w:r>
      <w:r>
        <w:rPr>
          <w:rFonts w:hint="cs"/>
          <w:rtl/>
        </w:rPr>
        <w:t>". אמת כאן היא במובן של דבר חי וקיים (ירושלמי ברכות פרק א הלכה ה) ופסוק זה הוא האסמכתא לסיום קריאת שמע במילים: "ה' אלהיכם אמת" (בבלי ברכות יד ע"ב).</w:t>
      </w:r>
    </w:p>
  </w:footnote>
  <w:footnote w:id="6">
    <w:p w:rsidR="002C1987" w:rsidRDefault="002C1987" w:rsidP="00E7743C">
      <w:pPr>
        <w:pStyle w:val="a3"/>
        <w:rPr>
          <w:rFonts w:hint="cs"/>
        </w:rPr>
      </w:pPr>
      <w:r>
        <w:rPr>
          <w:rStyle w:val="a5"/>
        </w:rPr>
        <w:footnoteRef/>
      </w:r>
      <w:r>
        <w:rPr>
          <w:rtl/>
        </w:rPr>
        <w:t xml:space="preserve"> </w:t>
      </w:r>
      <w:r>
        <w:rPr>
          <w:rFonts w:hint="cs"/>
          <w:rtl/>
        </w:rPr>
        <w:t xml:space="preserve">לדבר ה' </w:t>
      </w:r>
      <w:r>
        <w:rPr>
          <w:rtl/>
        </w:rPr>
        <w:t>–</w:t>
      </w:r>
      <w:r>
        <w:rPr>
          <w:rFonts w:hint="cs"/>
          <w:rtl/>
        </w:rPr>
        <w:t xml:space="preserve"> לנבואה. ראה "דיבור" שורה קודם. ראה גם </w:t>
      </w:r>
      <w:r>
        <w:rPr>
          <w:rtl/>
        </w:rPr>
        <w:t>מכילתא דרבי שמעון בר יוחאי פרק יב</w:t>
      </w:r>
      <w:r>
        <w:rPr>
          <w:rFonts w:hint="cs"/>
          <w:rtl/>
        </w:rPr>
        <w:t xml:space="preserve"> פסוק א: "</w:t>
      </w:r>
      <w:r>
        <w:rPr>
          <w:rtl/>
        </w:rPr>
        <w:t>מקיש דברות אהרן לדברות משה</w:t>
      </w:r>
      <w:r>
        <w:rPr>
          <w:rFonts w:hint="cs"/>
          <w:rtl/>
        </w:rPr>
        <w:t>,</w:t>
      </w:r>
      <w:r>
        <w:rPr>
          <w:rtl/>
        </w:rPr>
        <w:t xml:space="preserve"> מה משה חוץ לכרך אף אהרן חוץ לכרך</w:t>
      </w:r>
      <w:r>
        <w:rPr>
          <w:rFonts w:hint="cs"/>
          <w:rtl/>
        </w:rPr>
        <w:t>"</w:t>
      </w:r>
      <w:r>
        <w:rPr>
          <w:rtl/>
        </w:rPr>
        <w:t>.</w:t>
      </w:r>
    </w:p>
  </w:footnote>
  <w:footnote w:id="7">
    <w:p w:rsidR="002C1987" w:rsidRPr="00286120" w:rsidRDefault="002C1987" w:rsidP="00243746">
      <w:pPr>
        <w:pStyle w:val="a3"/>
        <w:rPr>
          <w:rFonts w:hint="cs"/>
          <w:rtl/>
        </w:rPr>
      </w:pPr>
      <w:r>
        <w:rPr>
          <w:rStyle w:val="a5"/>
        </w:rPr>
        <w:footnoteRef/>
      </w:r>
      <w:r>
        <w:rPr>
          <w:rtl/>
        </w:rPr>
        <w:t xml:space="preserve"> </w:t>
      </w:r>
      <w:r>
        <w:rPr>
          <w:rFonts w:hint="cs"/>
          <w:rtl/>
        </w:rPr>
        <w:t>בקטע זה שהשמטנו דן המדרש איך נביאי ישראל, כיחזקאל, נבאו בחוץ לארץ</w:t>
      </w:r>
      <w:r w:rsidRPr="00286120">
        <w:rPr>
          <w:rFonts w:cs="David"/>
          <w:rtl/>
        </w:rPr>
        <w:t xml:space="preserve"> </w:t>
      </w:r>
      <w:r>
        <w:rPr>
          <w:rFonts w:hint="cs"/>
          <w:rtl/>
        </w:rPr>
        <w:t>ותשובתו היא שדיבור זה היה בזכות האבות וגם זה רק "</w:t>
      </w:r>
      <w:r w:rsidRPr="00286120">
        <w:rPr>
          <w:rtl/>
        </w:rPr>
        <w:t>במקום טהור של מים</w:t>
      </w:r>
      <w:r>
        <w:rPr>
          <w:rFonts w:hint="cs"/>
          <w:rtl/>
        </w:rPr>
        <w:t xml:space="preserve">", או </w:t>
      </w:r>
      <w:r w:rsidR="00243746">
        <w:rPr>
          <w:rFonts w:hint="cs"/>
          <w:rtl/>
        </w:rPr>
        <w:t>"ש</w:t>
      </w:r>
      <w:r w:rsidR="00243746">
        <w:rPr>
          <w:rtl/>
        </w:rPr>
        <w:t>נדבר עמו בארץ ונדבר עמו בחוצה לארץ</w:t>
      </w:r>
      <w:r w:rsidR="00243746">
        <w:rPr>
          <w:rFonts w:hint="cs"/>
          <w:rtl/>
        </w:rPr>
        <w:t>", או</w:t>
      </w:r>
      <w:r w:rsidR="00243746">
        <w:rPr>
          <w:rtl/>
        </w:rPr>
        <w:t xml:space="preserve"> </w:t>
      </w:r>
      <w:r>
        <w:rPr>
          <w:rFonts w:hint="cs"/>
          <w:rtl/>
        </w:rPr>
        <w:t xml:space="preserve">כדברי </w:t>
      </w:r>
      <w:r w:rsidRPr="00286120">
        <w:rPr>
          <w:rtl/>
        </w:rPr>
        <w:t xml:space="preserve">ר' אלעזר בן צדוק </w:t>
      </w:r>
      <w:r>
        <w:rPr>
          <w:rFonts w:hint="cs"/>
          <w:rtl/>
        </w:rPr>
        <w:t>שם: "</w:t>
      </w:r>
      <w:r w:rsidRPr="00286120">
        <w:rPr>
          <w:rtl/>
        </w:rPr>
        <w:t>הרי הוא אומר קום צא אל הבקעה (יחזקאל ג כב) מגיד שהבקעה כשרה</w:t>
      </w:r>
      <w:r>
        <w:rPr>
          <w:rFonts w:hint="cs"/>
          <w:rtl/>
        </w:rPr>
        <w:t>"</w:t>
      </w:r>
      <w:r w:rsidRPr="00286120">
        <w:rPr>
          <w:rtl/>
        </w:rPr>
        <w:t>.</w:t>
      </w:r>
      <w:r w:rsidR="00243746">
        <w:rPr>
          <w:rFonts w:hint="cs"/>
          <w:rtl/>
        </w:rPr>
        <w:t xml:space="preserve"> ראה בהקשר זה מועד קטן כה ע"א בהספד על רב הונא.</w:t>
      </w:r>
    </w:p>
  </w:footnote>
  <w:footnote w:id="8">
    <w:p w:rsidR="002C1987" w:rsidRDefault="002C1987" w:rsidP="0090426D">
      <w:pPr>
        <w:pStyle w:val="a3"/>
        <w:rPr>
          <w:rFonts w:hint="cs"/>
          <w:rtl/>
        </w:rPr>
      </w:pPr>
      <w:r>
        <w:rPr>
          <w:rStyle w:val="a5"/>
        </w:rPr>
        <w:footnoteRef/>
      </w:r>
      <w:r>
        <w:rPr>
          <w:rtl/>
        </w:rPr>
        <w:t xml:space="preserve"> </w:t>
      </w:r>
      <w:r>
        <w:rPr>
          <w:rFonts w:hint="cs"/>
          <w:rtl/>
        </w:rPr>
        <w:t xml:space="preserve">במהדורת האראוויטץ-רבין הוא מציע לתקן לכנוות שפירושה עוזרים. </w:t>
      </w:r>
      <w:r w:rsidR="0090426D">
        <w:rPr>
          <w:rFonts w:hint="cs"/>
          <w:rtl/>
        </w:rPr>
        <w:t xml:space="preserve">ושאול </w:t>
      </w:r>
      <w:r w:rsidR="0090426D">
        <w:rPr>
          <w:rtl/>
        </w:rPr>
        <w:t>ליברמן במאמרו על "לשון חכמים", פרקים בתורת ארץ ישראל עמ' 477-476 דן ב"כניות" ודומיהן - גם בעקבות חנוך ילון - ומביא פירושם, המכוון כלפי "עוזרים" במשמעות של "עבדים"</w:t>
      </w:r>
      <w:r w:rsidR="0090426D">
        <w:rPr>
          <w:rFonts w:hint="cs"/>
          <w:rtl/>
        </w:rPr>
        <w:t xml:space="preserve"> (תודה לאביעד הכהן שהפנה תשומת לבי למקור זה)</w:t>
      </w:r>
      <w:r>
        <w:rPr>
          <w:rFonts w:hint="cs"/>
          <w:rtl/>
        </w:rPr>
        <w:t>.</w:t>
      </w:r>
      <w:r w:rsidR="0090426D" w:rsidRPr="0090426D">
        <w:rPr>
          <w:rFonts w:hint="cs"/>
          <w:rtl/>
        </w:rPr>
        <w:t xml:space="preserve"> </w:t>
      </w:r>
      <w:r w:rsidR="0090426D">
        <w:rPr>
          <w:rFonts w:hint="cs"/>
          <w:rtl/>
        </w:rPr>
        <w:t>ולהלן במדרש, שליחים.</w:t>
      </w:r>
    </w:p>
  </w:footnote>
  <w:footnote w:id="9">
    <w:p w:rsidR="002C1987" w:rsidRDefault="002C1987" w:rsidP="001A70CB">
      <w:pPr>
        <w:pStyle w:val="a3"/>
        <w:rPr>
          <w:rFonts w:hint="cs"/>
          <w:rtl/>
        </w:rPr>
      </w:pPr>
      <w:r>
        <w:rPr>
          <w:rStyle w:val="a5"/>
        </w:rPr>
        <w:footnoteRef/>
      </w:r>
      <w:r>
        <w:rPr>
          <w:rtl/>
        </w:rPr>
        <w:t xml:space="preserve"> </w:t>
      </w:r>
      <w:r>
        <w:rPr>
          <w:rFonts w:hint="cs"/>
          <w:rtl/>
        </w:rPr>
        <w:t>"השלוחים כיוצא בך" היו בסוף יונה עצמו שלא ניתן לו לברוח משליחותו. ולעניינינו, כאן מתהפכים העבד והרב. העבד בורח לבית הקברות, בתקווה שידו של רבו הכהן לא תשיגהו שם</w:t>
      </w:r>
      <w:r w:rsidR="001A70CB">
        <w:rPr>
          <w:rFonts w:hint="cs"/>
          <w:rtl/>
        </w:rPr>
        <w:t>,</w:t>
      </w:r>
      <w:r>
        <w:rPr>
          <w:rFonts w:hint="cs"/>
          <w:rtl/>
        </w:rPr>
        <w:t xml:space="preserve"> ואכן, אין הר</w:t>
      </w:r>
      <w:r w:rsidR="00C36E30">
        <w:rPr>
          <w:rFonts w:hint="cs"/>
          <w:rtl/>
        </w:rPr>
        <w:t>ב</w:t>
      </w:r>
      <w:r>
        <w:rPr>
          <w:rFonts w:hint="cs"/>
          <w:rtl/>
        </w:rPr>
        <w:t xml:space="preserve"> נכנס לבית הקברות, אבל מוצא את הדרך להוציא את העבד משם. ואם תאמר, אחרי כל המשלים האלה, סוף סוף נגלה הקב"ה אל משה ואל אהרון בארץ מצרים, ולא רק לצורך המכות והוצאת עם ישראל, אלא לקידוש החודש שהיא מצווה שאח"כ לדורות, נעשית רק בארץ ישראל (</w:t>
      </w:r>
      <w:r w:rsidR="00315855">
        <w:rPr>
          <w:rFonts w:hint="cs"/>
          <w:rtl/>
        </w:rPr>
        <w:t xml:space="preserve">ברכות סג ע"א, </w:t>
      </w:r>
      <w:r>
        <w:rPr>
          <w:rFonts w:hint="cs"/>
          <w:rtl/>
        </w:rPr>
        <w:t>וגם לכך היו יוצאים מן הכלל</w:t>
      </w:r>
      <w:r w:rsidR="00315855">
        <w:rPr>
          <w:rFonts w:hint="cs"/>
          <w:rtl/>
        </w:rPr>
        <w:t>, ראה שם</w:t>
      </w:r>
      <w:r>
        <w:rPr>
          <w:rFonts w:hint="cs"/>
          <w:rtl/>
        </w:rPr>
        <w:t>), אז הנה הכהן נכנס לבית הקברות! לפיכך מדגיש המדרש שההתגלות הייתה "בארץ מצרים" ולא "במצרים" גופא.</w:t>
      </w:r>
    </w:p>
  </w:footnote>
  <w:footnote w:id="10">
    <w:p w:rsidR="002C1987" w:rsidRDefault="002C1987" w:rsidP="00324C1D">
      <w:pPr>
        <w:pStyle w:val="a3"/>
        <w:rPr>
          <w:rFonts w:hint="cs"/>
          <w:rtl/>
        </w:rPr>
      </w:pPr>
      <w:r>
        <w:rPr>
          <w:rStyle w:val="a5"/>
        </w:rPr>
        <w:footnoteRef/>
      </w:r>
      <w:r>
        <w:rPr>
          <w:rtl/>
        </w:rPr>
        <w:t xml:space="preserve"> </w:t>
      </w:r>
      <w:r>
        <w:rPr>
          <w:rFonts w:hint="cs"/>
          <w:rtl/>
        </w:rPr>
        <w:t>מדרש זה ממשיך את הקו של המכילתא שראינו לעיל. הקב"ה עומד בחוץ, כמו מלווה שבא ליטול את המשכון ולא נכנס לבית הלווה (משל שטעון הסבר ועיון). אך מיד תבוא ההפתעה בדרשתו של ריש לקיש שהופכת את הקערה על פיה.</w:t>
      </w:r>
    </w:p>
  </w:footnote>
  <w:footnote w:id="11">
    <w:p w:rsidR="002C1987" w:rsidRPr="00B65CB7" w:rsidRDefault="002C1987" w:rsidP="001A70CB">
      <w:pPr>
        <w:pStyle w:val="a3"/>
        <w:rPr>
          <w:rFonts w:hint="cs"/>
        </w:rPr>
      </w:pPr>
      <w:r w:rsidRPr="00B65CB7">
        <w:rPr>
          <w:rStyle w:val="a5"/>
        </w:rPr>
        <w:footnoteRef/>
      </w:r>
      <w:r w:rsidRPr="00B65CB7">
        <w:rPr>
          <w:rtl/>
        </w:rPr>
        <w:t xml:space="preserve"> </w:t>
      </w:r>
      <w:r w:rsidRPr="00B65CB7">
        <w:rPr>
          <w:rtl/>
        </w:rPr>
        <w:t>לאדם (לכהן) יש אפשרות להיטהר, אבל אוכל שנטמא אין לו תקנה. והנמשל</w:t>
      </w:r>
      <w:r>
        <w:rPr>
          <w:rFonts w:hint="cs"/>
          <w:rtl/>
        </w:rPr>
        <w:t>: עם ישראל הוא התרומה שאם לא תוצא מבית הקברות, תיפסל עולמית, והכהן הוא הקב"ה שיכול תמיד להיטהר או שבכלל לכתחילה לא נטמא</w:t>
      </w:r>
      <w:r w:rsidRPr="00B65CB7">
        <w:rPr>
          <w:rtl/>
        </w:rPr>
        <w:t xml:space="preserve">. </w:t>
      </w:r>
      <w:r w:rsidR="00315855">
        <w:rPr>
          <w:rFonts w:hint="cs"/>
          <w:rtl/>
        </w:rPr>
        <w:t xml:space="preserve">הרעיון נאה, </w:t>
      </w:r>
      <w:r w:rsidRPr="00B65CB7">
        <w:rPr>
          <w:rtl/>
        </w:rPr>
        <w:t>אלא שמדרש זה הוא לכאורה נגד ההלכה</w:t>
      </w:r>
      <w:r w:rsidRPr="00B65CB7">
        <w:rPr>
          <w:rFonts w:hint="cs"/>
          <w:rtl/>
        </w:rPr>
        <w:t xml:space="preserve"> ולא ברור איך הדרשן, כמחנך הקהל, יכול ליצור משל כזה. </w:t>
      </w:r>
      <w:r w:rsidRPr="00B65CB7">
        <w:rPr>
          <w:rtl/>
        </w:rPr>
        <w:t>אולי מדובר רק בטומאה דרבנן</w:t>
      </w:r>
      <w:r>
        <w:rPr>
          <w:rFonts w:hint="cs"/>
          <w:rtl/>
        </w:rPr>
        <w:t>,</w:t>
      </w:r>
      <w:r w:rsidRPr="00B65CB7">
        <w:rPr>
          <w:rtl/>
        </w:rPr>
        <w:t xml:space="preserve"> כפי שהבאנו ב</w:t>
      </w:r>
      <w:r w:rsidRPr="00B65CB7">
        <w:rPr>
          <w:rFonts w:hint="cs"/>
          <w:rtl/>
        </w:rPr>
        <w:t xml:space="preserve">דברינו </w:t>
      </w:r>
      <w:hyperlink r:id="rId2" w:history="1">
        <w:r w:rsidRPr="00E8227D">
          <w:rPr>
            <w:rStyle w:val="Hyperlink"/>
            <w:rFonts w:hint="cs"/>
            <w:rtl/>
          </w:rPr>
          <w:t>לחלוק כבוד</w:t>
        </w:r>
        <w:r w:rsidRPr="00E8227D">
          <w:rPr>
            <w:rStyle w:val="Hyperlink"/>
            <w:rFonts w:hint="cs"/>
            <w:rtl/>
          </w:rPr>
          <w:t xml:space="preserve"> </w:t>
        </w:r>
        <w:r w:rsidRPr="00E8227D">
          <w:rPr>
            <w:rStyle w:val="Hyperlink"/>
            <w:rFonts w:hint="cs"/>
            <w:rtl/>
          </w:rPr>
          <w:t>למל</w:t>
        </w:r>
        <w:r w:rsidRPr="00E8227D">
          <w:rPr>
            <w:rStyle w:val="Hyperlink"/>
            <w:rFonts w:hint="cs"/>
            <w:rtl/>
          </w:rPr>
          <w:t>כ</w:t>
        </w:r>
        <w:r w:rsidRPr="00E8227D">
          <w:rPr>
            <w:rStyle w:val="Hyperlink"/>
            <w:rFonts w:hint="cs"/>
            <w:rtl/>
          </w:rPr>
          <w:t>ות</w:t>
        </w:r>
      </w:hyperlink>
      <w:r w:rsidRPr="00B65CB7">
        <w:rPr>
          <w:rFonts w:hint="cs"/>
          <w:rtl/>
        </w:rPr>
        <w:t xml:space="preserve"> בפרשת וארא: </w:t>
      </w:r>
      <w:r w:rsidRPr="00B65CB7">
        <w:rPr>
          <w:rtl/>
        </w:rPr>
        <w:t>"מדלגים היינו על גבי ארונות מתים"</w:t>
      </w:r>
      <w:r>
        <w:rPr>
          <w:rFonts w:hint="cs"/>
          <w:rtl/>
        </w:rPr>
        <w:t>,</w:t>
      </w:r>
      <w:r w:rsidRPr="00B65CB7">
        <w:rPr>
          <w:rtl/>
        </w:rPr>
        <w:t xml:space="preserve"> או</w:t>
      </w:r>
      <w:r w:rsidRPr="00B65CB7">
        <w:rPr>
          <w:rFonts w:hint="cs"/>
          <w:rtl/>
        </w:rPr>
        <w:t xml:space="preserve"> לפי ההלכה:</w:t>
      </w:r>
      <w:r w:rsidRPr="00B65CB7">
        <w:rPr>
          <w:rtl/>
        </w:rPr>
        <w:t xml:space="preserve"> "מנפח אדם בית הפרס והולך".</w:t>
      </w:r>
      <w:r w:rsidR="008541AA">
        <w:rPr>
          <w:rFonts w:hint="cs"/>
          <w:rtl/>
        </w:rPr>
        <w:t xml:space="preserve"> ראה גם בבא מציעא קיד ע"א על אליהו שנמצא בבית הקברות והסביר שקברי נכרים לא מטמאים (אבל אז </w:t>
      </w:r>
      <w:r w:rsidR="00C2692F">
        <w:rPr>
          <w:rFonts w:hint="cs"/>
          <w:rtl/>
        </w:rPr>
        <w:t xml:space="preserve">נעלם תורף </w:t>
      </w:r>
      <w:r w:rsidR="00A53578">
        <w:rPr>
          <w:rFonts w:hint="cs"/>
          <w:rtl/>
        </w:rPr>
        <w:t xml:space="preserve">המדרש). כל זה הוא </w:t>
      </w:r>
      <w:r w:rsidRPr="00B65CB7">
        <w:rPr>
          <w:rFonts w:hint="cs"/>
          <w:rtl/>
        </w:rPr>
        <w:t xml:space="preserve">עניין לבעלי תריסין בהלכה. </w:t>
      </w:r>
      <w:r w:rsidR="00A53578">
        <w:rPr>
          <w:rFonts w:hint="cs"/>
          <w:rtl/>
        </w:rPr>
        <w:t xml:space="preserve">לנו חשוב </w:t>
      </w:r>
      <w:r>
        <w:rPr>
          <w:rFonts w:hint="cs"/>
          <w:rtl/>
        </w:rPr>
        <w:t>הק</w:t>
      </w:r>
      <w:r w:rsidR="001A70CB">
        <w:rPr>
          <w:rFonts w:hint="cs"/>
          <w:rtl/>
        </w:rPr>
        <w:t>י</w:t>
      </w:r>
      <w:r>
        <w:rPr>
          <w:rFonts w:hint="cs"/>
          <w:rtl/>
        </w:rPr>
        <w:t>שור לפסוק הראשון ול</w:t>
      </w:r>
      <w:r w:rsidRPr="00B65CB7">
        <w:rPr>
          <w:rFonts w:hint="cs"/>
          <w:rtl/>
        </w:rPr>
        <w:t xml:space="preserve">פרשת קידוש החודש: "ויאמר ה' אל משה ואל אהרון בארץ מצרים" </w:t>
      </w:r>
      <w:r w:rsidRPr="00B65CB7">
        <w:rPr>
          <w:rtl/>
        </w:rPr>
        <w:t>–</w:t>
      </w:r>
      <w:r w:rsidRPr="00B65CB7">
        <w:rPr>
          <w:rFonts w:hint="cs"/>
          <w:rtl/>
        </w:rPr>
        <w:t xml:space="preserve"> איך זה שהקב"ה נגלה במצרים, במקום טומאה ומצווה דווקא שם על קידוש החודש שאח"כ להלכה יכול להיעשות רק בארץ ישראל</w:t>
      </w:r>
      <w:r w:rsidR="00315855">
        <w:rPr>
          <w:rFonts w:hint="cs"/>
          <w:rtl/>
        </w:rPr>
        <w:t xml:space="preserve">? תשובת הדרשן: </w:t>
      </w:r>
      <w:r w:rsidRPr="00B65CB7">
        <w:rPr>
          <w:rFonts w:hint="cs"/>
          <w:rtl/>
        </w:rPr>
        <w:t>בשביל ישראל</w:t>
      </w:r>
      <w:r>
        <w:rPr>
          <w:rFonts w:hint="cs"/>
          <w:rtl/>
        </w:rPr>
        <w:t xml:space="preserve"> יורד הכהן לבית הקברות ובשביל ישראל מרשה הדרשן לעצמו ליצור מדרש שנוגד לכאורה את ההלכה.</w:t>
      </w:r>
      <w:r w:rsidR="001A70CB">
        <w:rPr>
          <w:rFonts w:hint="cs"/>
          <w:rtl/>
        </w:rPr>
        <w:t xml:space="preserve"> ראה דברינו </w:t>
      </w:r>
      <w:hyperlink r:id="rId3" w:history="1">
        <w:r w:rsidR="001A70CB" w:rsidRPr="001A70CB">
          <w:rPr>
            <w:rStyle w:val="Hyperlink"/>
            <w:rFonts w:hint="cs"/>
            <w:rtl/>
          </w:rPr>
          <w:t>החודש הזה לכם</w:t>
        </w:r>
      </w:hyperlink>
      <w:r w:rsidR="001A70CB">
        <w:rPr>
          <w:rFonts w:hint="cs"/>
          <w:rtl/>
        </w:rPr>
        <w:t xml:space="preserve"> בשבת החודש.</w:t>
      </w:r>
    </w:p>
  </w:footnote>
  <w:footnote w:id="12">
    <w:p w:rsidR="002C1987" w:rsidRPr="00B65CB7" w:rsidRDefault="002C1987" w:rsidP="00315855">
      <w:pPr>
        <w:pStyle w:val="a3"/>
        <w:rPr>
          <w:rFonts w:hint="cs"/>
        </w:rPr>
      </w:pPr>
      <w:r w:rsidRPr="00B65CB7">
        <w:rPr>
          <w:rStyle w:val="a5"/>
        </w:rPr>
        <w:footnoteRef/>
      </w:r>
      <w:r w:rsidRPr="00B65CB7">
        <w:rPr>
          <w:rtl/>
        </w:rPr>
        <w:t xml:space="preserve"> </w:t>
      </w:r>
      <w:r w:rsidRPr="00B65CB7">
        <w:rPr>
          <w:rFonts w:hint="cs"/>
          <w:rtl/>
        </w:rPr>
        <w:t xml:space="preserve">בסיומת של מדרש זה יש חילופי נוסחאות משמעותיים. בנוסח שהבאנו, הקב"ה מטהר תחילה את אהרון, בדומה לסדר העבודה ביום הכיפורים שבו אהרון מכפר תחילה על עצמו ובני ביתו ורק אח"כ על כל בני ישראל. ובמשל על הכהן, הכהן (הקב"ה) יורד להציל תחילה את הכהן בשר ודם (שהוא גם </w:t>
      </w:r>
      <w:r w:rsidR="00315855">
        <w:rPr>
          <w:rFonts w:hint="cs"/>
          <w:rtl/>
        </w:rPr>
        <w:t>ה</w:t>
      </w:r>
      <w:r w:rsidRPr="00B65CB7">
        <w:rPr>
          <w:rFonts w:hint="cs"/>
          <w:rtl/>
        </w:rPr>
        <w:t xml:space="preserve">שליח) וזה מציל את התרומה </w:t>
      </w:r>
      <w:r w:rsidRPr="00B65CB7">
        <w:rPr>
          <w:rtl/>
        </w:rPr>
        <w:t>–</w:t>
      </w:r>
      <w:r w:rsidRPr="00B65CB7">
        <w:rPr>
          <w:rFonts w:hint="cs"/>
          <w:rtl/>
        </w:rPr>
        <w:t xml:space="preserve"> בני ישראל. אבל בכתבי יד אחרים הנוסח הוא: "</w:t>
      </w:r>
      <w:r w:rsidRPr="00B65CB7">
        <w:rPr>
          <w:rtl/>
        </w:rPr>
        <w:t>וכשהוציאם קרא לאהרן</w:t>
      </w:r>
      <w:r w:rsidRPr="00B65CB7">
        <w:rPr>
          <w:rFonts w:hint="cs"/>
          <w:rtl/>
        </w:rPr>
        <w:t xml:space="preserve">, אמר לו: </w:t>
      </w:r>
      <w:r w:rsidRPr="00B65CB7">
        <w:rPr>
          <w:rtl/>
        </w:rPr>
        <w:t>ט</w:t>
      </w:r>
      <w:r w:rsidR="00882B28">
        <w:rPr>
          <w:rtl/>
        </w:rPr>
        <w:t>ַ</w:t>
      </w:r>
      <w:r w:rsidRPr="00B65CB7">
        <w:rPr>
          <w:rtl/>
        </w:rPr>
        <w:t>ה</w:t>
      </w:r>
      <w:r w:rsidR="00882B28">
        <w:rPr>
          <w:rtl/>
        </w:rPr>
        <w:t>ֵ</w:t>
      </w:r>
      <w:r w:rsidRPr="00B65CB7">
        <w:rPr>
          <w:rtl/>
        </w:rPr>
        <w:t>ר אות</w:t>
      </w:r>
      <w:r w:rsidRPr="00B65CB7">
        <w:rPr>
          <w:rFonts w:hint="cs"/>
          <w:rtl/>
        </w:rPr>
        <w:t>י,</w:t>
      </w:r>
      <w:r w:rsidRPr="00B65CB7">
        <w:rPr>
          <w:rtl/>
        </w:rPr>
        <w:t xml:space="preserve"> שנאמר</w:t>
      </w:r>
      <w:r w:rsidRPr="00B65CB7">
        <w:rPr>
          <w:rFonts w:hint="cs"/>
          <w:rtl/>
        </w:rPr>
        <w:t>:</w:t>
      </w:r>
      <w:r w:rsidRPr="00B65CB7">
        <w:rPr>
          <w:rtl/>
        </w:rPr>
        <w:t xml:space="preserve"> </w:t>
      </w:r>
      <w:r w:rsidR="00882B28">
        <w:rPr>
          <w:rFonts w:hint="cs"/>
          <w:rtl/>
        </w:rPr>
        <w:t>וכפר את מקדש הקודש (ויקרא טז לג), "</w:t>
      </w:r>
      <w:r w:rsidRPr="00B65CB7">
        <w:rPr>
          <w:rtl/>
        </w:rPr>
        <w:t>וכפר על הקדש מטומאות בני ישר</w:t>
      </w:r>
      <w:r>
        <w:rPr>
          <w:rFonts w:hint="cs"/>
          <w:rtl/>
        </w:rPr>
        <w:t>אל</w:t>
      </w:r>
      <w:r w:rsidR="00882B28">
        <w:rPr>
          <w:rFonts w:hint="cs"/>
          <w:rtl/>
        </w:rPr>
        <w:t xml:space="preserve"> (שם טז)</w:t>
      </w:r>
      <w:r w:rsidR="00315855">
        <w:rPr>
          <w:rFonts w:hint="cs"/>
          <w:rtl/>
        </w:rPr>
        <w:t>"</w:t>
      </w:r>
      <w:r>
        <w:rPr>
          <w:rFonts w:hint="cs"/>
          <w:rtl/>
        </w:rPr>
        <w:t xml:space="preserve">. </w:t>
      </w:r>
      <w:r w:rsidRPr="00B65CB7">
        <w:rPr>
          <w:rtl/>
        </w:rPr>
        <w:t>אהרון מכפר על הקב"ה</w:t>
      </w:r>
      <w:r w:rsidR="00315855">
        <w:rPr>
          <w:rFonts w:hint="cs"/>
          <w:rtl/>
        </w:rPr>
        <w:t xml:space="preserve">! </w:t>
      </w:r>
      <w:r>
        <w:rPr>
          <w:rFonts w:hint="cs"/>
          <w:rtl/>
        </w:rPr>
        <w:t xml:space="preserve">בכך נסגר המעגל של טומאת האוכל שאין לו תקנה, מול טומאת הכהן שיכול לחזור ולהיטהר (ראה תחילת </w:t>
      </w:r>
      <w:r w:rsidR="00315855">
        <w:rPr>
          <w:rFonts w:hint="cs"/>
          <w:rtl/>
        </w:rPr>
        <w:t>ה</w:t>
      </w:r>
      <w:r>
        <w:rPr>
          <w:rFonts w:hint="cs"/>
          <w:rtl/>
        </w:rPr>
        <w:t xml:space="preserve">הערה </w:t>
      </w:r>
      <w:r w:rsidR="00315855">
        <w:rPr>
          <w:rFonts w:hint="cs"/>
          <w:rtl/>
        </w:rPr>
        <w:t>הקודמת</w:t>
      </w:r>
      <w:r>
        <w:rPr>
          <w:rFonts w:hint="cs"/>
          <w:rtl/>
        </w:rPr>
        <w:t xml:space="preserve">). הקב"ה ירד להציל את עם ישראל שעוד רגע וטומאתו תגרום לו להיטמע סופית בתוך טומאת מצרים (ראה דברינו </w:t>
      </w:r>
      <w:hyperlink r:id="rId4" w:history="1">
        <w:r w:rsidRPr="002C5F3B">
          <w:rPr>
            <w:rStyle w:val="Hyperlink"/>
            <w:rFonts w:hint="cs"/>
            <w:rtl/>
          </w:rPr>
          <w:t>משכו וקחו לכם</w:t>
        </w:r>
      </w:hyperlink>
      <w:r>
        <w:rPr>
          <w:rFonts w:hint="cs"/>
          <w:rtl/>
        </w:rPr>
        <w:t xml:space="preserve"> בפרשה זו), ועם ישראל, באמצעות הכהן הגדול המשמש בבית המקדש, יטהר כביכול את הקב"ה. </w:t>
      </w:r>
      <w:r w:rsidR="00882B28">
        <w:rPr>
          <w:rFonts w:hint="cs"/>
          <w:rtl/>
        </w:rPr>
        <w:t>אבל לא רק פעם אחת ביציאת מצרים והקמת המשכן במדבר, אלא מידי שנה בשנה, "אחת בשנה", יש צורך לכפר את הקודש</w:t>
      </w:r>
      <w:r w:rsidR="006C5638">
        <w:rPr>
          <w:rFonts w:hint="cs"/>
          <w:rtl/>
        </w:rPr>
        <w:t>, את מקדש הקודש מטומאות בני ישראל</w:t>
      </w:r>
      <w:r w:rsidR="00C24D70">
        <w:rPr>
          <w:rFonts w:hint="cs"/>
          <w:rtl/>
        </w:rPr>
        <w:t>, כביכול את "השוכן איתם בתוך טומאותם"</w:t>
      </w:r>
      <w:r w:rsidR="006C5638">
        <w:rPr>
          <w:rFonts w:hint="cs"/>
          <w:rtl/>
        </w:rPr>
        <w:t>.</w:t>
      </w:r>
      <w:r w:rsidR="00882B28">
        <w:rPr>
          <w:rFonts w:hint="cs"/>
          <w:rtl/>
        </w:rPr>
        <w:t xml:space="preserve"> </w:t>
      </w:r>
      <w:r>
        <w:rPr>
          <w:rFonts w:hint="cs"/>
          <w:rtl/>
        </w:rPr>
        <w:t>נפלאות דרכי המדרש!</w:t>
      </w:r>
    </w:p>
  </w:footnote>
  <w:footnote w:id="13">
    <w:p w:rsidR="002C1987" w:rsidRPr="00B65CB7" w:rsidRDefault="002C1987" w:rsidP="002C5F3B">
      <w:pPr>
        <w:pStyle w:val="a3"/>
        <w:rPr>
          <w:rFonts w:hint="cs"/>
          <w:rtl/>
        </w:rPr>
      </w:pPr>
      <w:r w:rsidRPr="00B65CB7">
        <w:rPr>
          <w:rStyle w:val="a5"/>
        </w:rPr>
        <w:footnoteRef/>
      </w:r>
      <w:r w:rsidRPr="00B65CB7">
        <w:rPr>
          <w:rtl/>
        </w:rPr>
        <w:t xml:space="preserve"> </w:t>
      </w:r>
      <w:r w:rsidRPr="00B65CB7">
        <w:rPr>
          <w:rtl/>
        </w:rPr>
        <w:t>בית הפרס הוא שדה שנחרשה וידוע שהיה שם קבר ויש חשש טומאה על פני כל השדה. וטומאה זו היא מדרבנן.</w:t>
      </w:r>
      <w:r w:rsidRPr="00B65CB7">
        <w:rPr>
          <w:rFonts w:hint="cs"/>
          <w:rtl/>
        </w:rPr>
        <w:t xml:space="preserve"> ובמשל כאן הוא סמל לטומאתה של ארץ מצרים שעליה ר</w:t>
      </w:r>
      <w:r w:rsidR="001A70CB">
        <w:rPr>
          <w:rFonts w:hint="eastAsia"/>
          <w:rtl/>
        </w:rPr>
        <w:t>ַ</w:t>
      </w:r>
      <w:r w:rsidRPr="00B65CB7">
        <w:rPr>
          <w:rFonts w:hint="cs"/>
          <w:rtl/>
        </w:rPr>
        <w:t>ב</w:t>
      </w:r>
      <w:r w:rsidR="001A70CB">
        <w:rPr>
          <w:rFonts w:hint="eastAsia"/>
          <w:rtl/>
        </w:rPr>
        <w:t>ּ</w:t>
      </w:r>
      <w:r w:rsidRPr="00B65CB7">
        <w:rPr>
          <w:rFonts w:hint="cs"/>
          <w:rtl/>
        </w:rPr>
        <w:t>ו</w:t>
      </w:r>
      <w:r w:rsidR="001A70CB">
        <w:rPr>
          <w:rFonts w:hint="eastAsia"/>
          <w:rtl/>
        </w:rPr>
        <w:t>ּ</w:t>
      </w:r>
      <w:r w:rsidRPr="00B65CB7">
        <w:rPr>
          <w:rFonts w:hint="cs"/>
          <w:rtl/>
        </w:rPr>
        <w:t xml:space="preserve"> הפסוקים במקרא והמדרשים בעקבותיהם. ראה </w:t>
      </w:r>
      <w:r>
        <w:rPr>
          <w:rFonts w:hint="cs"/>
          <w:rtl/>
          <w:lang w:eastAsia="en-US"/>
        </w:rPr>
        <w:t xml:space="preserve">למשל </w:t>
      </w:r>
      <w:r w:rsidRPr="00B65CB7">
        <w:rPr>
          <w:rFonts w:hint="eastAsia"/>
          <w:rtl/>
          <w:lang w:eastAsia="en-US"/>
        </w:rPr>
        <w:t>תנחומא</w:t>
      </w:r>
      <w:r w:rsidRPr="00B65CB7">
        <w:rPr>
          <w:rtl/>
          <w:lang w:eastAsia="en-US"/>
        </w:rPr>
        <w:t xml:space="preserve"> </w:t>
      </w:r>
      <w:r w:rsidRPr="00B65CB7">
        <w:rPr>
          <w:rFonts w:hint="eastAsia"/>
          <w:rtl/>
          <w:lang w:eastAsia="en-US"/>
        </w:rPr>
        <w:t>שמות</w:t>
      </w:r>
      <w:r w:rsidRPr="00B65CB7">
        <w:rPr>
          <w:rtl/>
          <w:lang w:eastAsia="en-US"/>
        </w:rPr>
        <w:t xml:space="preserve"> </w:t>
      </w:r>
      <w:r w:rsidRPr="00B65CB7">
        <w:rPr>
          <w:rFonts w:hint="eastAsia"/>
          <w:rtl/>
          <w:lang w:eastAsia="en-US"/>
        </w:rPr>
        <w:t>סימן</w:t>
      </w:r>
      <w:r w:rsidRPr="00B65CB7">
        <w:rPr>
          <w:rtl/>
          <w:lang w:eastAsia="en-US"/>
        </w:rPr>
        <w:t xml:space="preserve"> </w:t>
      </w:r>
      <w:r w:rsidRPr="00B65CB7">
        <w:rPr>
          <w:rFonts w:hint="eastAsia"/>
          <w:rtl/>
          <w:lang w:eastAsia="en-US"/>
        </w:rPr>
        <w:t>כג</w:t>
      </w:r>
      <w:r w:rsidRPr="00B65CB7">
        <w:rPr>
          <w:rFonts w:hint="cs"/>
          <w:rtl/>
          <w:lang w:eastAsia="en-US"/>
        </w:rPr>
        <w:t xml:space="preserve"> על הסמליות של אות הצרעת שעשה משה: </w:t>
      </w:r>
      <w:r>
        <w:rPr>
          <w:rFonts w:hint="cs"/>
          <w:rtl/>
          <w:lang w:eastAsia="en-US"/>
        </w:rPr>
        <w:t>"</w:t>
      </w:r>
      <w:r w:rsidR="002C5F3B">
        <w:rPr>
          <w:rtl/>
          <w:lang w:eastAsia="en-US"/>
        </w:rPr>
        <w:t>א"ל</w:t>
      </w:r>
      <w:r w:rsidR="002C5F3B">
        <w:rPr>
          <w:rFonts w:hint="cs"/>
          <w:rtl/>
          <w:lang w:eastAsia="en-US"/>
        </w:rPr>
        <w:t>:</w:t>
      </w:r>
      <w:r w:rsidR="002C5F3B">
        <w:rPr>
          <w:rtl/>
          <w:lang w:eastAsia="en-US"/>
        </w:rPr>
        <w:t xml:space="preserve"> הבא נא ידך בחיקך והנה ידו מצורעת</w:t>
      </w:r>
      <w:r w:rsidR="002C5F3B">
        <w:rPr>
          <w:rFonts w:hint="cs"/>
          <w:rtl/>
          <w:lang w:eastAsia="en-US"/>
        </w:rPr>
        <w:t xml:space="preserve"> -</w:t>
      </w:r>
      <w:r w:rsidR="002C5F3B">
        <w:rPr>
          <w:rtl/>
          <w:lang w:eastAsia="en-US"/>
        </w:rPr>
        <w:t xml:space="preserve"> </w:t>
      </w:r>
      <w:r w:rsidRPr="00B65CB7">
        <w:rPr>
          <w:rFonts w:hint="eastAsia"/>
          <w:rtl/>
          <w:lang w:eastAsia="en-US"/>
        </w:rPr>
        <w:t>מה</w:t>
      </w:r>
      <w:r w:rsidRPr="00B65CB7">
        <w:rPr>
          <w:rtl/>
          <w:lang w:eastAsia="en-US"/>
        </w:rPr>
        <w:t xml:space="preserve"> </w:t>
      </w:r>
      <w:r w:rsidRPr="00B65CB7">
        <w:rPr>
          <w:rFonts w:hint="eastAsia"/>
          <w:rtl/>
          <w:lang w:eastAsia="en-US"/>
        </w:rPr>
        <w:t>הצרעת</w:t>
      </w:r>
      <w:r w:rsidRPr="00B65CB7">
        <w:rPr>
          <w:rtl/>
          <w:lang w:eastAsia="en-US"/>
        </w:rPr>
        <w:t xml:space="preserve"> </w:t>
      </w:r>
      <w:r w:rsidRPr="00B65CB7">
        <w:rPr>
          <w:rFonts w:hint="eastAsia"/>
          <w:rtl/>
          <w:lang w:eastAsia="en-US"/>
        </w:rPr>
        <w:t>דבר</w:t>
      </w:r>
      <w:r w:rsidRPr="00B65CB7">
        <w:rPr>
          <w:rtl/>
          <w:lang w:eastAsia="en-US"/>
        </w:rPr>
        <w:t xml:space="preserve"> </w:t>
      </w:r>
      <w:r w:rsidRPr="00B65CB7">
        <w:rPr>
          <w:rFonts w:hint="eastAsia"/>
          <w:rtl/>
          <w:lang w:eastAsia="en-US"/>
        </w:rPr>
        <w:t>טמא</w:t>
      </w:r>
      <w:r w:rsidRPr="00B65CB7">
        <w:rPr>
          <w:rFonts w:hint="cs"/>
          <w:rtl/>
          <w:lang w:eastAsia="en-US"/>
        </w:rPr>
        <w:t>,</w:t>
      </w:r>
      <w:r w:rsidRPr="00B65CB7">
        <w:rPr>
          <w:rtl/>
          <w:lang w:eastAsia="en-US"/>
        </w:rPr>
        <w:t xml:space="preserve"> </w:t>
      </w:r>
      <w:r w:rsidRPr="00B65CB7">
        <w:rPr>
          <w:rFonts w:hint="eastAsia"/>
          <w:rtl/>
          <w:lang w:eastAsia="en-US"/>
        </w:rPr>
        <w:t>כך</w:t>
      </w:r>
      <w:r w:rsidRPr="00B65CB7">
        <w:rPr>
          <w:rtl/>
          <w:lang w:eastAsia="en-US"/>
        </w:rPr>
        <w:t xml:space="preserve"> </w:t>
      </w:r>
      <w:r w:rsidRPr="00B65CB7">
        <w:rPr>
          <w:rFonts w:hint="eastAsia"/>
          <w:rtl/>
          <w:lang w:eastAsia="en-US"/>
        </w:rPr>
        <w:t>המצרים</w:t>
      </w:r>
      <w:r w:rsidRPr="00B65CB7">
        <w:rPr>
          <w:rtl/>
          <w:lang w:eastAsia="en-US"/>
        </w:rPr>
        <w:t xml:space="preserve"> </w:t>
      </w:r>
      <w:r w:rsidRPr="00B65CB7">
        <w:rPr>
          <w:rFonts w:hint="eastAsia"/>
          <w:rtl/>
          <w:lang w:eastAsia="en-US"/>
        </w:rPr>
        <w:t>טמאין</w:t>
      </w:r>
      <w:r w:rsidRPr="00B65CB7">
        <w:rPr>
          <w:rtl/>
          <w:lang w:eastAsia="en-US"/>
        </w:rPr>
        <w:t xml:space="preserve"> </w:t>
      </w:r>
      <w:r w:rsidRPr="00B65CB7">
        <w:rPr>
          <w:rFonts w:hint="eastAsia"/>
          <w:rtl/>
          <w:lang w:eastAsia="en-US"/>
        </w:rPr>
        <w:t>ומטמאין</w:t>
      </w:r>
      <w:r w:rsidRPr="00B65CB7">
        <w:rPr>
          <w:rtl/>
          <w:lang w:eastAsia="en-US"/>
        </w:rPr>
        <w:t xml:space="preserve"> </w:t>
      </w:r>
      <w:r w:rsidRPr="00B65CB7">
        <w:rPr>
          <w:rFonts w:hint="eastAsia"/>
          <w:rtl/>
          <w:lang w:eastAsia="en-US"/>
        </w:rPr>
        <w:t>את</w:t>
      </w:r>
      <w:r w:rsidRPr="00B65CB7">
        <w:rPr>
          <w:rtl/>
          <w:lang w:eastAsia="en-US"/>
        </w:rPr>
        <w:t xml:space="preserve"> </w:t>
      </w:r>
      <w:r w:rsidRPr="00B65CB7">
        <w:rPr>
          <w:rFonts w:hint="eastAsia"/>
          <w:rtl/>
          <w:lang w:eastAsia="en-US"/>
        </w:rPr>
        <w:t>ישראל</w:t>
      </w:r>
      <w:r w:rsidRPr="00B65CB7">
        <w:rPr>
          <w:rFonts w:hint="cs"/>
          <w:rtl/>
          <w:lang w:eastAsia="en-US"/>
        </w:rPr>
        <w:t>.</w:t>
      </w:r>
      <w:r w:rsidRPr="00B65CB7">
        <w:rPr>
          <w:rtl/>
          <w:lang w:eastAsia="en-US"/>
        </w:rPr>
        <w:t xml:space="preserve"> </w:t>
      </w:r>
      <w:r w:rsidRPr="00B65CB7">
        <w:rPr>
          <w:rFonts w:hint="eastAsia"/>
          <w:rtl/>
          <w:lang w:eastAsia="en-US"/>
        </w:rPr>
        <w:t>וישב</w:t>
      </w:r>
      <w:r w:rsidRPr="00B65CB7">
        <w:rPr>
          <w:rtl/>
          <w:lang w:eastAsia="en-US"/>
        </w:rPr>
        <w:t xml:space="preserve"> </w:t>
      </w:r>
      <w:r w:rsidRPr="00B65CB7">
        <w:rPr>
          <w:rFonts w:hint="eastAsia"/>
          <w:rtl/>
          <w:lang w:eastAsia="en-US"/>
        </w:rPr>
        <w:t>ידו</w:t>
      </w:r>
      <w:r w:rsidRPr="00B65CB7">
        <w:rPr>
          <w:rtl/>
          <w:lang w:eastAsia="en-US"/>
        </w:rPr>
        <w:t xml:space="preserve"> </w:t>
      </w:r>
      <w:r w:rsidRPr="00B65CB7">
        <w:rPr>
          <w:rFonts w:hint="eastAsia"/>
          <w:rtl/>
          <w:lang w:eastAsia="en-US"/>
        </w:rPr>
        <w:t>אל</w:t>
      </w:r>
      <w:r w:rsidRPr="00B65CB7">
        <w:rPr>
          <w:rtl/>
          <w:lang w:eastAsia="en-US"/>
        </w:rPr>
        <w:t xml:space="preserve"> </w:t>
      </w:r>
      <w:r w:rsidRPr="00B65CB7">
        <w:rPr>
          <w:rFonts w:hint="eastAsia"/>
          <w:rtl/>
          <w:lang w:eastAsia="en-US"/>
        </w:rPr>
        <w:t>חיקו</w:t>
      </w:r>
      <w:r w:rsidRPr="00B65CB7">
        <w:rPr>
          <w:rtl/>
          <w:lang w:eastAsia="en-US"/>
        </w:rPr>
        <w:t xml:space="preserve"> </w:t>
      </w:r>
      <w:r w:rsidRPr="00B65CB7">
        <w:rPr>
          <w:rFonts w:hint="eastAsia"/>
          <w:rtl/>
          <w:lang w:eastAsia="en-US"/>
        </w:rPr>
        <w:t>והנה</w:t>
      </w:r>
      <w:r w:rsidRPr="00B65CB7">
        <w:rPr>
          <w:rtl/>
          <w:lang w:eastAsia="en-US"/>
        </w:rPr>
        <w:t xml:space="preserve"> </w:t>
      </w:r>
      <w:r w:rsidRPr="00B65CB7">
        <w:rPr>
          <w:rFonts w:hint="eastAsia"/>
          <w:rtl/>
          <w:lang w:eastAsia="en-US"/>
        </w:rPr>
        <w:t>שבה</w:t>
      </w:r>
      <w:r w:rsidRPr="00B65CB7">
        <w:rPr>
          <w:rtl/>
          <w:lang w:eastAsia="en-US"/>
        </w:rPr>
        <w:t xml:space="preserve"> </w:t>
      </w:r>
      <w:r w:rsidRPr="00B65CB7">
        <w:rPr>
          <w:rFonts w:hint="eastAsia"/>
          <w:rtl/>
          <w:lang w:eastAsia="en-US"/>
        </w:rPr>
        <w:t>כבשרו</w:t>
      </w:r>
      <w:r w:rsidRPr="00B65CB7">
        <w:rPr>
          <w:rtl/>
          <w:lang w:eastAsia="en-US"/>
        </w:rPr>
        <w:t xml:space="preserve"> </w:t>
      </w:r>
      <w:r w:rsidRPr="00B65CB7">
        <w:rPr>
          <w:rFonts w:hint="cs"/>
          <w:rtl/>
          <w:lang w:eastAsia="en-US"/>
        </w:rPr>
        <w:t xml:space="preserve">- </w:t>
      </w:r>
      <w:r w:rsidRPr="00B65CB7">
        <w:rPr>
          <w:rFonts w:hint="eastAsia"/>
          <w:rtl/>
          <w:lang w:eastAsia="en-US"/>
        </w:rPr>
        <w:t>כך</w:t>
      </w:r>
      <w:r w:rsidRPr="00B65CB7">
        <w:rPr>
          <w:rtl/>
          <w:lang w:eastAsia="en-US"/>
        </w:rPr>
        <w:t xml:space="preserve"> </w:t>
      </w:r>
      <w:r w:rsidRPr="00B65CB7">
        <w:rPr>
          <w:rFonts w:hint="eastAsia"/>
          <w:rtl/>
          <w:lang w:eastAsia="en-US"/>
        </w:rPr>
        <w:t>אני</w:t>
      </w:r>
      <w:r w:rsidRPr="00B65CB7">
        <w:rPr>
          <w:rtl/>
          <w:lang w:eastAsia="en-US"/>
        </w:rPr>
        <w:t xml:space="preserve"> </w:t>
      </w:r>
      <w:r w:rsidRPr="00B65CB7">
        <w:rPr>
          <w:rFonts w:hint="eastAsia"/>
          <w:rtl/>
          <w:lang w:eastAsia="en-US"/>
        </w:rPr>
        <w:t>מטהר</w:t>
      </w:r>
      <w:r w:rsidRPr="00B65CB7">
        <w:rPr>
          <w:rtl/>
          <w:lang w:eastAsia="en-US"/>
        </w:rPr>
        <w:t xml:space="preserve"> </w:t>
      </w:r>
      <w:r w:rsidRPr="00B65CB7">
        <w:rPr>
          <w:rFonts w:hint="eastAsia"/>
          <w:rtl/>
          <w:lang w:eastAsia="en-US"/>
        </w:rPr>
        <w:t>את</w:t>
      </w:r>
      <w:r w:rsidRPr="00B65CB7">
        <w:rPr>
          <w:rtl/>
          <w:lang w:eastAsia="en-US"/>
        </w:rPr>
        <w:t xml:space="preserve"> </w:t>
      </w:r>
      <w:r w:rsidRPr="00B65CB7">
        <w:rPr>
          <w:rFonts w:hint="eastAsia"/>
          <w:rtl/>
          <w:lang w:eastAsia="en-US"/>
        </w:rPr>
        <w:t>ישראל</w:t>
      </w:r>
      <w:r w:rsidRPr="00B65CB7">
        <w:rPr>
          <w:rtl/>
          <w:lang w:eastAsia="en-US"/>
        </w:rPr>
        <w:t xml:space="preserve"> </w:t>
      </w:r>
      <w:r w:rsidRPr="00B65CB7">
        <w:rPr>
          <w:rFonts w:hint="eastAsia"/>
          <w:rtl/>
          <w:lang w:eastAsia="en-US"/>
        </w:rPr>
        <w:t>מטומאת</w:t>
      </w:r>
      <w:r w:rsidRPr="00B65CB7">
        <w:rPr>
          <w:rtl/>
          <w:lang w:eastAsia="en-US"/>
        </w:rPr>
        <w:t xml:space="preserve"> </w:t>
      </w:r>
      <w:r w:rsidRPr="00B65CB7">
        <w:rPr>
          <w:rFonts w:hint="eastAsia"/>
          <w:rtl/>
          <w:lang w:eastAsia="en-US"/>
        </w:rPr>
        <w:t>מצרים</w:t>
      </w:r>
      <w:r w:rsidRPr="00B65CB7">
        <w:rPr>
          <w:rFonts w:hint="cs"/>
          <w:rtl/>
          <w:lang w:eastAsia="en-US"/>
        </w:rPr>
        <w:t xml:space="preserve">". </w:t>
      </w:r>
      <w:r w:rsidRPr="00B65CB7">
        <w:rPr>
          <w:rFonts w:hint="cs"/>
          <w:rtl/>
        </w:rPr>
        <w:t xml:space="preserve"> </w:t>
      </w:r>
    </w:p>
  </w:footnote>
  <w:footnote w:id="14">
    <w:p w:rsidR="002C1987" w:rsidRPr="00B65CB7" w:rsidRDefault="002C1987" w:rsidP="00F67521">
      <w:pPr>
        <w:pStyle w:val="a3"/>
        <w:rPr>
          <w:rFonts w:hint="cs"/>
          <w:rtl/>
        </w:rPr>
      </w:pPr>
      <w:r w:rsidRPr="00B65CB7">
        <w:rPr>
          <w:rStyle w:val="a5"/>
        </w:rPr>
        <w:footnoteRef/>
      </w:r>
      <w:r w:rsidRPr="00B65CB7">
        <w:rPr>
          <w:rtl/>
        </w:rPr>
        <w:t xml:space="preserve"> </w:t>
      </w:r>
      <w:r w:rsidRPr="00B65CB7">
        <w:rPr>
          <w:rFonts w:hint="cs"/>
          <w:rtl/>
        </w:rPr>
        <w:t>האריס</w:t>
      </w:r>
      <w:r>
        <w:rPr>
          <w:rFonts w:hint="cs"/>
          <w:rtl/>
        </w:rPr>
        <w:t xml:space="preserve">, הוא </w:t>
      </w:r>
      <w:r w:rsidRPr="00B65CB7">
        <w:rPr>
          <w:rFonts w:hint="cs"/>
          <w:rtl/>
        </w:rPr>
        <w:t>פרעה, מתכחש לכהן</w:t>
      </w:r>
      <w:r>
        <w:rPr>
          <w:rFonts w:hint="cs"/>
          <w:rtl/>
        </w:rPr>
        <w:t xml:space="preserve"> </w:t>
      </w:r>
      <w:r w:rsidRPr="00B65CB7">
        <w:rPr>
          <w:rFonts w:hint="cs"/>
          <w:rtl/>
        </w:rPr>
        <w:t>בעל הבית</w:t>
      </w:r>
      <w:r>
        <w:rPr>
          <w:rFonts w:hint="cs"/>
          <w:rtl/>
        </w:rPr>
        <w:t xml:space="preserve"> שהוא </w:t>
      </w:r>
      <w:r w:rsidRPr="00B65CB7">
        <w:rPr>
          <w:rFonts w:hint="cs"/>
          <w:rtl/>
        </w:rPr>
        <w:t>הקב"ה ו</w:t>
      </w:r>
      <w:r>
        <w:rPr>
          <w:rFonts w:hint="cs"/>
          <w:rtl/>
        </w:rPr>
        <w:t xml:space="preserve">מסרב </w:t>
      </w:r>
      <w:r w:rsidRPr="00B65CB7">
        <w:rPr>
          <w:rFonts w:hint="cs"/>
          <w:rtl/>
        </w:rPr>
        <w:t xml:space="preserve">לתת לו </w:t>
      </w:r>
      <w:r>
        <w:rPr>
          <w:rFonts w:hint="cs"/>
          <w:rtl/>
        </w:rPr>
        <w:t xml:space="preserve">לאכול מהתאנים שהם בנמשל </w:t>
      </w:r>
      <w:r w:rsidRPr="00B65CB7">
        <w:rPr>
          <w:rFonts w:hint="cs"/>
          <w:rtl/>
        </w:rPr>
        <w:t xml:space="preserve">בני ישראל. </w:t>
      </w:r>
      <w:r>
        <w:rPr>
          <w:rFonts w:hint="cs"/>
          <w:rtl/>
        </w:rPr>
        <w:t>וה"אחד" השליח הוא כמובן משה.</w:t>
      </w:r>
    </w:p>
  </w:footnote>
  <w:footnote w:id="15">
    <w:p w:rsidR="002C1987" w:rsidRPr="00B65CB7" w:rsidRDefault="002C1987" w:rsidP="002C5F3B">
      <w:pPr>
        <w:pStyle w:val="a3"/>
        <w:rPr>
          <w:rFonts w:hint="cs"/>
        </w:rPr>
      </w:pPr>
      <w:r w:rsidRPr="00B65CB7">
        <w:rPr>
          <w:rStyle w:val="a5"/>
        </w:rPr>
        <w:footnoteRef/>
      </w:r>
      <w:r w:rsidRPr="00B65CB7">
        <w:rPr>
          <w:rtl/>
        </w:rPr>
        <w:t xml:space="preserve"> </w:t>
      </w:r>
      <w:r>
        <w:rPr>
          <w:rFonts w:hint="cs"/>
          <w:rtl/>
        </w:rPr>
        <w:t xml:space="preserve">הרי לנו חזרה ברורה על המוטיב של הכהן שהולך לטמא את עצמו, הפעם למען השליח ולא למען התרומה (או התאנים), ואנו חוזרים ושואלים: מה לכהן בבית הקברות? האם לא חש הדרשן לכבודה של ההלכה ולכך שהקהל יפרש לא נכון את המסר? </w:t>
      </w:r>
    </w:p>
  </w:footnote>
  <w:footnote w:id="16">
    <w:p w:rsidR="002C1987" w:rsidRPr="00B65CB7" w:rsidRDefault="002C1987" w:rsidP="0061475A">
      <w:pPr>
        <w:pStyle w:val="a3"/>
        <w:rPr>
          <w:rFonts w:hint="cs"/>
          <w:rtl/>
        </w:rPr>
      </w:pPr>
      <w:r w:rsidRPr="00B65CB7">
        <w:rPr>
          <w:rStyle w:val="a5"/>
        </w:rPr>
        <w:footnoteRef/>
      </w:r>
      <w:r w:rsidRPr="00B65CB7">
        <w:rPr>
          <w:rtl/>
        </w:rPr>
        <w:t xml:space="preserve"> </w:t>
      </w:r>
      <w:r w:rsidRPr="00B65CB7">
        <w:rPr>
          <w:rFonts w:hint="cs"/>
          <w:rtl/>
        </w:rPr>
        <w:t>פ</w:t>
      </w:r>
      <w:r w:rsidRPr="00B65CB7">
        <w:rPr>
          <w:rFonts w:hint="eastAsia"/>
          <w:rtl/>
        </w:rPr>
        <w:t>ִ</w:t>
      </w:r>
      <w:r w:rsidRPr="00B65CB7">
        <w:rPr>
          <w:rFonts w:hint="cs"/>
          <w:rtl/>
        </w:rPr>
        <w:t>יל</w:t>
      </w:r>
      <w:r w:rsidRPr="00B65CB7">
        <w:rPr>
          <w:rFonts w:hint="eastAsia"/>
          <w:rtl/>
        </w:rPr>
        <w:t>ָ</w:t>
      </w:r>
      <w:r w:rsidRPr="00B65CB7">
        <w:rPr>
          <w:rFonts w:hint="cs"/>
          <w:rtl/>
        </w:rPr>
        <w:t>ק</w:t>
      </w:r>
      <w:r w:rsidRPr="00B65CB7">
        <w:rPr>
          <w:rFonts w:hint="eastAsia"/>
          <w:rtl/>
        </w:rPr>
        <w:t>ִ</w:t>
      </w:r>
      <w:r w:rsidRPr="00B65CB7">
        <w:rPr>
          <w:rFonts w:hint="cs"/>
          <w:rtl/>
        </w:rPr>
        <w:t>י או פ</w:t>
      </w:r>
      <w:r w:rsidRPr="00B65CB7">
        <w:rPr>
          <w:rFonts w:hint="eastAsia"/>
          <w:rtl/>
        </w:rPr>
        <w:t>ִ</w:t>
      </w:r>
      <w:r w:rsidRPr="00B65CB7">
        <w:rPr>
          <w:rFonts w:hint="cs"/>
          <w:rtl/>
        </w:rPr>
        <w:t>יל</w:t>
      </w:r>
      <w:r w:rsidRPr="00B65CB7">
        <w:rPr>
          <w:rFonts w:hint="eastAsia"/>
          <w:rtl/>
        </w:rPr>
        <w:t>ָ</w:t>
      </w:r>
      <w:r w:rsidRPr="00B65CB7">
        <w:rPr>
          <w:rFonts w:hint="cs"/>
          <w:rtl/>
        </w:rPr>
        <w:t>ק</w:t>
      </w:r>
      <w:r w:rsidRPr="00B65CB7">
        <w:rPr>
          <w:rFonts w:hint="eastAsia"/>
          <w:rtl/>
        </w:rPr>
        <w:t>ֵ</w:t>
      </w:r>
      <w:r w:rsidRPr="00B65CB7">
        <w:rPr>
          <w:rFonts w:hint="cs"/>
          <w:rtl/>
        </w:rPr>
        <w:t xml:space="preserve">י ביוונית הוא בית סוהר (בית משמר). שים לב שבמשל, המלך בהתחלה מניח את המטרונה בבית הסוהר והולך לו ואח"כ, ללא סיבה מוסברת, חוזר ונכנס גם הוא עמה לשם. האם יש לכך משמעות גם בנמשל? ראה דברינו </w:t>
      </w:r>
      <w:hyperlink r:id="rId5" w:history="1">
        <w:r w:rsidRPr="006E58CA">
          <w:rPr>
            <w:rStyle w:val="Hyperlink"/>
            <w:rFonts w:hint="cs"/>
            <w:rtl/>
          </w:rPr>
          <w:t>אל תירא מרדה מצרימה</w:t>
        </w:r>
      </w:hyperlink>
      <w:r w:rsidRPr="00B65CB7">
        <w:rPr>
          <w:rFonts w:hint="cs"/>
          <w:rtl/>
        </w:rPr>
        <w:t xml:space="preserve"> שם שאלנו אם הפסוק: </w:t>
      </w:r>
      <w:r w:rsidRPr="00B65CB7">
        <w:rPr>
          <w:rFonts w:hint="cs"/>
          <w:rtl/>
          <w:lang w:eastAsia="en-US"/>
        </w:rPr>
        <w:t>"</w:t>
      </w:r>
      <w:r w:rsidRPr="00B65CB7">
        <w:rPr>
          <w:rFonts w:hint="eastAsia"/>
          <w:rtl/>
          <w:lang w:eastAsia="en-US"/>
        </w:rPr>
        <w:t>אנכי</w:t>
      </w:r>
      <w:r w:rsidRPr="00B65CB7">
        <w:rPr>
          <w:rtl/>
          <w:lang w:eastAsia="en-US"/>
        </w:rPr>
        <w:t xml:space="preserve"> </w:t>
      </w:r>
      <w:r w:rsidRPr="00B65CB7">
        <w:rPr>
          <w:rFonts w:hint="eastAsia"/>
          <w:rtl/>
          <w:lang w:eastAsia="en-US"/>
        </w:rPr>
        <w:t>ארד</w:t>
      </w:r>
      <w:r w:rsidRPr="00B65CB7">
        <w:rPr>
          <w:rtl/>
          <w:lang w:eastAsia="en-US"/>
        </w:rPr>
        <w:t xml:space="preserve"> </w:t>
      </w:r>
      <w:r w:rsidRPr="00B65CB7">
        <w:rPr>
          <w:rFonts w:hint="eastAsia"/>
          <w:rtl/>
          <w:lang w:eastAsia="en-US"/>
        </w:rPr>
        <w:t>עמך</w:t>
      </w:r>
      <w:r w:rsidRPr="00B65CB7">
        <w:rPr>
          <w:rtl/>
          <w:lang w:eastAsia="en-US"/>
        </w:rPr>
        <w:t xml:space="preserve"> </w:t>
      </w:r>
      <w:r w:rsidRPr="00B65CB7">
        <w:rPr>
          <w:rFonts w:hint="eastAsia"/>
          <w:rtl/>
          <w:lang w:eastAsia="en-US"/>
        </w:rPr>
        <w:t>מצרימה</w:t>
      </w:r>
      <w:r w:rsidRPr="00B65CB7">
        <w:rPr>
          <w:rFonts w:hint="cs"/>
          <w:rtl/>
          <w:lang w:eastAsia="en-US"/>
        </w:rPr>
        <w:t>" הוא אמירה אישית ליעקב או לאומית לכל בית יעקב. אולי המעבר הזה מאישי ללאומי יכול להסביר את השוני בהתנהגות המלך כלפי המטרונה. וצריך עיון.</w:t>
      </w:r>
      <w:r w:rsidRPr="00B65CB7">
        <w:rPr>
          <w:rFonts w:hint="cs"/>
          <w:rtl/>
        </w:rPr>
        <w:t xml:space="preserve"> </w:t>
      </w:r>
    </w:p>
  </w:footnote>
  <w:footnote w:id="17">
    <w:p w:rsidR="002C1987" w:rsidRDefault="002C1987" w:rsidP="001A70CB">
      <w:pPr>
        <w:pStyle w:val="a3"/>
        <w:rPr>
          <w:rFonts w:hint="cs"/>
          <w:rtl/>
        </w:rPr>
      </w:pPr>
      <w:r>
        <w:rPr>
          <w:rStyle w:val="a5"/>
        </w:rPr>
        <w:footnoteRef/>
      </w:r>
      <w:r>
        <w:rPr>
          <w:rtl/>
        </w:rPr>
        <w:t xml:space="preserve"> </w:t>
      </w:r>
      <w:r>
        <w:rPr>
          <w:rFonts w:hint="cs"/>
          <w:rtl/>
        </w:rPr>
        <w:t xml:space="preserve">כנגד שתי הגישות שראינו לעיל: גישת המכילתא שהקב"ה נשאר עומד בחוץ "בארץ מצרים" ולא "במצרים"; וגישת שמות רבה של הכהן שנכנס לבית הקברות להציל את תרומתו ולאכול מתאניו, מוצגת כאן גישה שלישית שהקב"ה היה כל הזמן עם עם ישראל בצרת השעבוד ובגלות הקשה. מדרש זה שייך למוטיב ירידת השכינה לגלות, לכל מקום שישראל מצויים שם, </w:t>
      </w:r>
      <w:r w:rsidR="002C5F3B">
        <w:rPr>
          <w:rFonts w:hint="cs"/>
          <w:rtl/>
        </w:rPr>
        <w:t xml:space="preserve">כמתואר במדרשים רבים, </w:t>
      </w:r>
      <w:r>
        <w:rPr>
          <w:rFonts w:hint="cs"/>
          <w:rtl/>
        </w:rPr>
        <w:t>ומבוסס על חיבור הפסוק ב</w:t>
      </w:r>
      <w:r>
        <w:rPr>
          <w:rtl/>
        </w:rPr>
        <w:t xml:space="preserve">תהלים צא </w:t>
      </w:r>
      <w:r>
        <w:rPr>
          <w:rFonts w:hint="cs"/>
          <w:rtl/>
        </w:rPr>
        <w:t>טו: "</w:t>
      </w:r>
      <w:r>
        <w:rPr>
          <w:rtl/>
        </w:rPr>
        <w:t>עמו אנכי בצרה</w:t>
      </w:r>
      <w:r>
        <w:rPr>
          <w:rFonts w:hint="cs"/>
          <w:rtl/>
        </w:rPr>
        <w:t>", עם הפסוק</w:t>
      </w:r>
      <w:r>
        <w:rPr>
          <w:rtl/>
        </w:rPr>
        <w:t xml:space="preserve"> </w:t>
      </w:r>
      <w:r>
        <w:rPr>
          <w:rFonts w:hint="cs"/>
          <w:rtl/>
        </w:rPr>
        <w:t>ב</w:t>
      </w:r>
      <w:r>
        <w:rPr>
          <w:rtl/>
        </w:rPr>
        <w:t xml:space="preserve">ישעיהו סג </w:t>
      </w:r>
      <w:r>
        <w:rPr>
          <w:rFonts w:hint="cs"/>
          <w:rtl/>
        </w:rPr>
        <w:t>ט: "</w:t>
      </w:r>
      <w:r>
        <w:rPr>
          <w:rtl/>
        </w:rPr>
        <w:t>בכל צרתם לו צר</w:t>
      </w:r>
      <w:r>
        <w:rPr>
          <w:rFonts w:hint="cs"/>
          <w:rtl/>
        </w:rPr>
        <w:t>"</w:t>
      </w:r>
      <w:r w:rsidR="0061475A">
        <w:rPr>
          <w:rFonts w:hint="cs"/>
          <w:rtl/>
        </w:rPr>
        <w:t xml:space="preserve"> (כתיב "לא" וקרי "לו)</w:t>
      </w:r>
      <w:r>
        <w:rPr>
          <w:rtl/>
        </w:rPr>
        <w:t>.</w:t>
      </w:r>
      <w:r>
        <w:rPr>
          <w:rFonts w:hint="cs"/>
          <w:rtl/>
        </w:rPr>
        <w:t xml:space="preserve"> אבל כאמור לעיל, יש לשים לב למשל בו המלך זונח בהתחלה את המטרונה ורק אח"כ מצטרף אליה. בכך, נראה שמדרש זה קרוב יותר לכהן שנכנס לבית הקברות, כמוהו המלך שנכנס לבית הסוהר שאין זה לפי כבודו. ואולי מכאן לקחו </w:t>
      </w:r>
      <w:r>
        <w:rPr>
          <w:rtl/>
        </w:rPr>
        <w:t xml:space="preserve">פסיקתא זוטרתא </w:t>
      </w:r>
      <w:r>
        <w:rPr>
          <w:rFonts w:hint="cs"/>
          <w:rtl/>
        </w:rPr>
        <w:t>ושכל טוב (בובר) שהבאנו בהערה</w:t>
      </w:r>
      <w:r w:rsidR="001A70CB">
        <w:rPr>
          <w:rFonts w:hint="cs"/>
          <w:rtl/>
        </w:rPr>
        <w:t xml:space="preserve"> 3</w:t>
      </w:r>
      <w:r>
        <w:rPr>
          <w:rFonts w:hint="cs"/>
          <w:rtl/>
        </w:rPr>
        <w:t xml:space="preserve"> לעיל את המשפט: "</w:t>
      </w:r>
      <w:r>
        <w:rPr>
          <w:rtl/>
        </w:rPr>
        <w:t>מה לכהן בבית הקברות, מה למלך בבית המטבחיים</w:t>
      </w:r>
      <w:r>
        <w:rPr>
          <w:rFonts w:hint="cs"/>
          <w:rtl/>
        </w:rPr>
        <w:t>".</w:t>
      </w:r>
    </w:p>
  </w:footnote>
  <w:footnote w:id="18">
    <w:p w:rsidR="00D55DFB" w:rsidRPr="002C5F3B" w:rsidRDefault="00D55DFB" w:rsidP="001A70CB">
      <w:pPr>
        <w:pStyle w:val="a3"/>
        <w:rPr>
          <w:rFonts w:hint="cs"/>
          <w:rtl/>
        </w:rPr>
      </w:pPr>
      <w:r>
        <w:rPr>
          <w:rStyle w:val="a5"/>
        </w:rPr>
        <w:footnoteRef/>
      </w:r>
      <w:r>
        <w:rPr>
          <w:rtl/>
        </w:rPr>
        <w:t xml:space="preserve"> </w:t>
      </w:r>
      <w:r>
        <w:rPr>
          <w:rFonts w:hint="cs"/>
          <w:rtl/>
        </w:rPr>
        <w:t>פשיטא שלכהן אסור להיטמא או לאכול תרומה טמאה (להוציא כמובן מקרים של פקוח נפש והצל</w:t>
      </w:r>
      <w:r w:rsidR="001A70CB">
        <w:rPr>
          <w:rFonts w:hint="cs"/>
          <w:rtl/>
        </w:rPr>
        <w:t>ת נפשות</w:t>
      </w:r>
      <w:r>
        <w:rPr>
          <w:rFonts w:hint="cs"/>
          <w:rtl/>
        </w:rPr>
        <w:t xml:space="preserve">) ומכל המקורות הלכתיים שדנים בכך, ראינו להביא דווקא הלכה זו שדנה בעצם בהלכות השבת אבידה וקשורה לנושא שלנו. לצד חשיבותה של מצווה זו, הנמנית בפרשת כי תצא דברים כב א-ג, </w:t>
      </w:r>
      <w:r w:rsidR="003150A9">
        <w:rPr>
          <w:rFonts w:hint="cs"/>
          <w:rtl/>
        </w:rPr>
        <w:t xml:space="preserve">(ראה דברינו </w:t>
      </w:r>
      <w:hyperlink r:id="rId6" w:history="1">
        <w:r w:rsidR="003150A9" w:rsidRPr="00D55DFB">
          <w:rPr>
            <w:rStyle w:val="Hyperlink"/>
            <w:rFonts w:hint="cs"/>
            <w:rtl/>
          </w:rPr>
          <w:t>והתעלמת – פעמים שאתה מתעלם</w:t>
        </w:r>
      </w:hyperlink>
      <w:r w:rsidR="003150A9">
        <w:rPr>
          <w:rFonts w:hint="cs"/>
          <w:rtl/>
        </w:rPr>
        <w:t xml:space="preserve"> שם). </w:t>
      </w:r>
      <w:r>
        <w:rPr>
          <w:rFonts w:hint="cs"/>
          <w:rtl/>
        </w:rPr>
        <w:t>יש מקרים בהם אין חובה לקיים אותה והם מנויים כאן. אחד מהם הוא אבדה שנמצאת בבית הקברות והאדם המוצא אותה הוא כהן. למסקנת הגמרא, פטור זה הוא פשוט וברור ואין צורך בפסוק "והתעלמת" ובדרשה: פעמים שאתה מתעלם, על מנת לפטור כהן מלהיכנס לבית הקברות להשיב אבדה. פשיטא שאין מצוות עשה של השבת אבדה דוחה את מצוות עשה של קדושת הכהונה ומשמרתה ואת לא תעשה של איסור "לא יטמא". על רקע הלכה זו דווקא, בולטות עוד יותר הדרשות לעיל של הכהן (הקב"ה) שנכנס לבית הקברות (מצרים) על מנת להציל את אבדתו (עם ישראל).</w:t>
      </w:r>
      <w:r w:rsidR="002C5F3B">
        <w:rPr>
          <w:rFonts w:hint="cs"/>
          <w:rtl/>
        </w:rPr>
        <w:t xml:space="preserve"> כאילו הן חוזרות ודורשות את דרשת ההלכה בדגש אחר: והתעלמת </w:t>
      </w:r>
      <w:r w:rsidR="002C5F3B">
        <w:rPr>
          <w:rtl/>
        </w:rPr>
        <w:t>–</w:t>
      </w:r>
      <w:r w:rsidR="002C5F3B">
        <w:rPr>
          <w:rFonts w:hint="cs"/>
          <w:rtl/>
        </w:rPr>
        <w:t xml:space="preserve"> פעמים שאתה </w:t>
      </w:r>
      <w:r w:rsidR="002C5F3B" w:rsidRPr="002C5F3B">
        <w:rPr>
          <w:rtl/>
        </w:rPr>
        <w:t xml:space="preserve">מתעלם, </w:t>
      </w:r>
      <w:r w:rsidR="002C5F3B" w:rsidRPr="002C5F3B">
        <w:rPr>
          <w:b/>
          <w:bCs/>
          <w:rtl/>
        </w:rPr>
        <w:t>ופעמים שאי אתה מתעלם</w:t>
      </w:r>
      <w:r w:rsidR="002C5F3B">
        <w:rPr>
          <w:rFonts w:hint="cs"/>
          <w:rtl/>
        </w:rPr>
        <w:t>". יש מקרים שאי אפשר להתעלם מהם ויש להשיב את האבדה בכל מחיר.</w:t>
      </w:r>
      <w:r w:rsidR="006C58B8">
        <w:rPr>
          <w:rFonts w:hint="cs"/>
          <w:rtl/>
        </w:rPr>
        <w:t xml:space="preserve"> בבחינת "עת לעשות לה' ".</w:t>
      </w:r>
    </w:p>
  </w:footnote>
  <w:footnote w:id="19">
    <w:p w:rsidR="008B357B" w:rsidRDefault="008B357B">
      <w:pPr>
        <w:pStyle w:val="a3"/>
        <w:rPr>
          <w:rFonts w:hint="cs"/>
          <w:rtl/>
        </w:rPr>
      </w:pPr>
      <w:r>
        <w:rPr>
          <w:rStyle w:val="a5"/>
        </w:rPr>
        <w:footnoteRef/>
      </w:r>
      <w:r>
        <w:rPr>
          <w:rtl/>
        </w:rPr>
        <w:t xml:space="preserve"> </w:t>
      </w:r>
      <w:r>
        <w:rPr>
          <w:rFonts w:hint="cs"/>
          <w:rtl/>
        </w:rPr>
        <w:t xml:space="preserve">כבר הארכנו לדון במדרש זה בדברינו </w:t>
      </w:r>
      <w:hyperlink r:id="rId7" w:history="1">
        <w:r w:rsidRPr="002C5F3B">
          <w:rPr>
            <w:rStyle w:val="Hyperlink"/>
            <w:rFonts w:hint="cs"/>
            <w:rtl/>
          </w:rPr>
          <w:t>משכו וקחו לכם</w:t>
        </w:r>
      </w:hyperlink>
      <w:r>
        <w:rPr>
          <w:rFonts w:hint="cs"/>
          <w:rtl/>
        </w:rPr>
        <w:t xml:space="preserve"> בפרשה זו (ובדפים אחרים) והפעם נרצה לחבר אותו לנושא שלנו ולומר שקושי גאולתן של ישראל לפני המקום היה בשל הצורך של הכהן להיכנס אל בית הקברות. עד כדי כך נטמאה התרומה שכבר קשה היה להבחין בה. בית הקברות איננו רק מצרים וגילוליה, אלא גם בני ישראל עצמם שעבדו עבודה זרה במצרים. גם אם ייכנס הכהן לבית הקברות ויטמא עצמו, עדיין יקשה עליו להבדיל את התרומה משאר חפצים ואוכלים שהיו שם: הללו ערלים והללו ערלים וכו'. ורק השבועה לאבות היא שכפתה כביכול על הכהן לעבור על ההלכה ואולי גם סייעה לו לזהות את התרומה מתוך החולין. וכעת צריך גם לטהר את התרומה ולא רק את הכהן. מדרש האגדה אכן בורח מאד ממדרש ההלכה ולא חש. הכל בשביל גאולת ישראל</w:t>
      </w:r>
      <w:r w:rsidR="00507288">
        <w:rPr>
          <w:rFonts w:hint="cs"/>
          <w:rtl/>
        </w:rPr>
        <w:t xml:space="preserve"> (וכבודו של משה השליח)</w:t>
      </w:r>
      <w:r>
        <w:rPr>
          <w:rFonts w:hint="cs"/>
          <w:rtl/>
        </w:rPr>
        <w:t>.</w:t>
      </w:r>
    </w:p>
  </w:footnote>
  <w:footnote w:id="20">
    <w:p w:rsidR="006A3B9C" w:rsidRDefault="006A3B9C" w:rsidP="001A70CB">
      <w:pPr>
        <w:pStyle w:val="a3"/>
        <w:rPr>
          <w:rFonts w:hint="cs"/>
          <w:rtl/>
        </w:rPr>
      </w:pPr>
      <w:r>
        <w:rPr>
          <w:rStyle w:val="a5"/>
        </w:rPr>
        <w:footnoteRef/>
      </w:r>
      <w:r>
        <w:rPr>
          <w:rtl/>
        </w:rPr>
        <w:t xml:space="preserve"> </w:t>
      </w:r>
      <w:r>
        <w:rPr>
          <w:rFonts w:hint="cs"/>
          <w:rtl/>
        </w:rPr>
        <w:t>גם כאן לא נזכר הביטוי כהן בבית הקברות, אבל אנחנו מבקשים לחבר ג</w:t>
      </w:r>
      <w:r w:rsidR="00C90000">
        <w:rPr>
          <w:rFonts w:hint="cs"/>
          <w:rtl/>
        </w:rPr>
        <w:t>ם</w:t>
      </w:r>
      <w:r>
        <w:rPr>
          <w:rFonts w:hint="cs"/>
          <w:rtl/>
        </w:rPr>
        <w:t xml:space="preserve"> מדרש זה לנושא שלנו. זאת, בסיוע מדרש </w:t>
      </w:r>
      <w:r>
        <w:rPr>
          <w:rtl/>
        </w:rPr>
        <w:t xml:space="preserve">ויקרא רבה </w:t>
      </w:r>
      <w:r>
        <w:rPr>
          <w:rFonts w:hint="cs"/>
          <w:rtl/>
        </w:rPr>
        <w:t>כו ה ב</w:t>
      </w:r>
      <w:r>
        <w:rPr>
          <w:rtl/>
        </w:rPr>
        <w:t xml:space="preserve">פרשת אמור </w:t>
      </w:r>
      <w:r>
        <w:rPr>
          <w:rFonts w:hint="cs"/>
          <w:rtl/>
        </w:rPr>
        <w:t>אל הכהנים: "</w:t>
      </w:r>
      <w:r>
        <w:rPr>
          <w:rtl/>
        </w:rPr>
        <w:t xml:space="preserve">משל לישראל וכהן שנכפו </w:t>
      </w:r>
      <w:r>
        <w:rPr>
          <w:rFonts w:hint="cs"/>
          <w:rtl/>
        </w:rPr>
        <w:t xml:space="preserve">(חלו). </w:t>
      </w:r>
      <w:r>
        <w:rPr>
          <w:rtl/>
        </w:rPr>
        <w:t>נמסר להן רופא מומחה והיה מצוה את ישראל ומניח את הכהן</w:t>
      </w:r>
      <w:r>
        <w:rPr>
          <w:rFonts w:hint="cs"/>
          <w:rtl/>
        </w:rPr>
        <w:t>.</w:t>
      </w:r>
      <w:r>
        <w:rPr>
          <w:rtl/>
        </w:rPr>
        <w:t xml:space="preserve"> א"ל הכהן</w:t>
      </w:r>
      <w:r>
        <w:rPr>
          <w:rFonts w:hint="cs"/>
          <w:rtl/>
        </w:rPr>
        <w:t>:</w:t>
      </w:r>
      <w:r>
        <w:rPr>
          <w:rtl/>
        </w:rPr>
        <w:t xml:space="preserve"> מפני מה אתה מצוה את ישראל ואתה מניחני</w:t>
      </w:r>
      <w:r>
        <w:rPr>
          <w:rFonts w:hint="cs"/>
          <w:rtl/>
        </w:rPr>
        <w:t>?</w:t>
      </w:r>
      <w:r>
        <w:rPr>
          <w:rtl/>
        </w:rPr>
        <w:t xml:space="preserve"> אמר לו</w:t>
      </w:r>
      <w:r>
        <w:rPr>
          <w:rFonts w:hint="cs"/>
          <w:rtl/>
        </w:rPr>
        <w:t>:</w:t>
      </w:r>
      <w:r>
        <w:rPr>
          <w:rtl/>
        </w:rPr>
        <w:t xml:space="preserve"> זה ישראל הוא ודרכו להלך בין הקברות</w:t>
      </w:r>
      <w:r>
        <w:rPr>
          <w:rFonts w:hint="cs"/>
          <w:rtl/>
        </w:rPr>
        <w:t>,</w:t>
      </w:r>
      <w:r>
        <w:rPr>
          <w:rtl/>
        </w:rPr>
        <w:t xml:space="preserve"> אבל אתה כהן ואין דרכך להלך בין הקברות</w:t>
      </w:r>
      <w:r>
        <w:rPr>
          <w:rFonts w:hint="cs"/>
          <w:rtl/>
        </w:rPr>
        <w:t>.</w:t>
      </w:r>
      <w:r>
        <w:rPr>
          <w:rtl/>
        </w:rPr>
        <w:t xml:space="preserve"> לפיכך אני מצוה את ישראל ומניחך</w:t>
      </w:r>
      <w:r>
        <w:rPr>
          <w:rFonts w:hint="cs"/>
          <w:rtl/>
        </w:rPr>
        <w:t xml:space="preserve">". </w:t>
      </w:r>
      <w:r w:rsidR="001A70CB">
        <w:rPr>
          <w:rFonts w:hint="cs"/>
          <w:rtl/>
        </w:rPr>
        <w:t xml:space="preserve">נסתייע גם במדרש </w:t>
      </w:r>
      <w:r>
        <w:rPr>
          <w:rtl/>
        </w:rPr>
        <w:t xml:space="preserve">ויקרא רבה </w:t>
      </w:r>
      <w:r>
        <w:rPr>
          <w:rFonts w:hint="cs"/>
          <w:rtl/>
        </w:rPr>
        <w:t>כד ז ב</w:t>
      </w:r>
      <w:r>
        <w:rPr>
          <w:rtl/>
        </w:rPr>
        <w:t>פרשת קדושים</w:t>
      </w:r>
      <w:r>
        <w:rPr>
          <w:rFonts w:hint="cs"/>
          <w:rtl/>
        </w:rPr>
        <w:t>: "</w:t>
      </w:r>
      <w:r>
        <w:rPr>
          <w:rtl/>
        </w:rPr>
        <w:t>משל לכהן גדול שהיה מהלך בדרך</w:t>
      </w:r>
      <w:r>
        <w:rPr>
          <w:rFonts w:hint="cs"/>
          <w:rtl/>
        </w:rPr>
        <w:t>.</w:t>
      </w:r>
      <w:r>
        <w:rPr>
          <w:rtl/>
        </w:rPr>
        <w:t xml:space="preserve"> נזדמן לו ח</w:t>
      </w:r>
      <w:r>
        <w:rPr>
          <w:rFonts w:hint="cs"/>
          <w:rtl/>
        </w:rPr>
        <w:t>י</w:t>
      </w:r>
      <w:r>
        <w:rPr>
          <w:rtl/>
        </w:rPr>
        <w:t>לוני אחד</w:t>
      </w:r>
      <w:r>
        <w:rPr>
          <w:rFonts w:hint="cs"/>
          <w:rtl/>
        </w:rPr>
        <w:t xml:space="preserve"> (מי שאינו כהן).</w:t>
      </w:r>
      <w:r>
        <w:rPr>
          <w:rtl/>
        </w:rPr>
        <w:t xml:space="preserve"> אמר לו</w:t>
      </w:r>
      <w:r>
        <w:rPr>
          <w:rFonts w:hint="cs"/>
          <w:rtl/>
        </w:rPr>
        <w:t>:</w:t>
      </w:r>
      <w:r>
        <w:rPr>
          <w:rtl/>
        </w:rPr>
        <w:t xml:space="preserve"> אלך עמך</w:t>
      </w:r>
      <w:r>
        <w:rPr>
          <w:rFonts w:hint="cs"/>
          <w:rtl/>
        </w:rPr>
        <w:t>.</w:t>
      </w:r>
      <w:r>
        <w:rPr>
          <w:rtl/>
        </w:rPr>
        <w:t xml:space="preserve"> אמר לו</w:t>
      </w:r>
      <w:r>
        <w:rPr>
          <w:rFonts w:hint="cs"/>
          <w:rtl/>
        </w:rPr>
        <w:t>:</w:t>
      </w:r>
      <w:r>
        <w:rPr>
          <w:rtl/>
        </w:rPr>
        <w:t xml:space="preserve"> בני</w:t>
      </w:r>
      <w:r>
        <w:rPr>
          <w:rFonts w:hint="cs"/>
          <w:rtl/>
        </w:rPr>
        <w:t>,</w:t>
      </w:r>
      <w:r>
        <w:rPr>
          <w:rtl/>
        </w:rPr>
        <w:t xml:space="preserve"> כהן אני ובדרך טהור אני מהלך ואין דרכי להלוך בין הקברות</w:t>
      </w:r>
      <w:r>
        <w:rPr>
          <w:rFonts w:hint="cs"/>
          <w:rtl/>
        </w:rPr>
        <w:t>.</w:t>
      </w:r>
      <w:r>
        <w:rPr>
          <w:rtl/>
        </w:rPr>
        <w:t xml:space="preserve"> אם אתה הולך עמי –</w:t>
      </w:r>
      <w:r>
        <w:rPr>
          <w:rFonts w:hint="cs"/>
          <w:rtl/>
        </w:rPr>
        <w:t xml:space="preserve"> </w:t>
      </w:r>
      <w:r>
        <w:rPr>
          <w:rtl/>
        </w:rPr>
        <w:t>מוטב</w:t>
      </w:r>
      <w:r>
        <w:rPr>
          <w:rFonts w:hint="cs"/>
          <w:rtl/>
        </w:rPr>
        <w:t>.</w:t>
      </w:r>
      <w:r>
        <w:rPr>
          <w:rtl/>
        </w:rPr>
        <w:t xml:space="preserve"> ואם לאו</w:t>
      </w:r>
      <w:r>
        <w:rPr>
          <w:rFonts w:hint="cs"/>
          <w:rtl/>
        </w:rPr>
        <w:t>,</w:t>
      </w:r>
      <w:r>
        <w:rPr>
          <w:rtl/>
        </w:rPr>
        <w:t xml:space="preserve"> סוף שאני מניחך והולך לי</w:t>
      </w:r>
      <w:r>
        <w:rPr>
          <w:rFonts w:hint="cs"/>
          <w:rtl/>
        </w:rPr>
        <w:t xml:space="preserve">". הכהן, הקב"ה, ירד לבית הקברות להציל את התרומה היא בני ישראל, אבל חוזר להיות כהן והמשך ההליכה איתו מחייבת לשמור על דיני טהרה, "והיה מחנך קדוש", דבר שבני ישראל מתקשים לעמוד בו. ולאחר שחטאו בעגל, מבקש הקב"ה להפסיק ללוותם צמוד כמו ברגע הגדול של יציאת מצרים ולהציב להם מלאך כמלווה מטעמו. בא משה ומתקומם כנגד זה ודורש שמעשה הירידה של הכהן לבית הקברות, ליווי השכינה את עם ישראל גם כשהוא חוטא ומיטמא, יהיה קבוע ולא חד פעמי. לכך ניתן להצמיד אולי גם את הקטע ממדרש </w:t>
      </w:r>
      <w:r>
        <w:rPr>
          <w:rtl/>
        </w:rPr>
        <w:t xml:space="preserve">במדבר רבה ט </w:t>
      </w:r>
      <w:r>
        <w:rPr>
          <w:rFonts w:hint="cs"/>
          <w:rtl/>
        </w:rPr>
        <w:t xml:space="preserve">טז: "(משל) </w:t>
      </w:r>
      <w:r>
        <w:rPr>
          <w:rtl/>
        </w:rPr>
        <w:t>לכהן שנכנס לבית הקברות ועבדו ממתין בחוץ שלא יטמא לא דיו להיות כרבו</w:t>
      </w:r>
      <w:r>
        <w:rPr>
          <w:rFonts w:hint="cs"/>
          <w:rtl/>
        </w:rPr>
        <w:t xml:space="preserve">". ראה שם הקשר להעמדת הסוטה לפני ה' ולפני הכהן. ראינו לעיל את המקרה של העבד השוטה שמחפש את רבו בבית הקברות, </w:t>
      </w:r>
      <w:r w:rsidR="00C90000">
        <w:rPr>
          <w:rFonts w:hint="cs"/>
          <w:rtl/>
        </w:rPr>
        <w:t xml:space="preserve">וכמו כן ראינו </w:t>
      </w:r>
      <w:r>
        <w:rPr>
          <w:rFonts w:hint="cs"/>
          <w:rtl/>
        </w:rPr>
        <w:t>את המקרה של העבד שבורח מרבו ומסתתר בבית הקברות</w:t>
      </w:r>
      <w:r w:rsidR="00C90000">
        <w:rPr>
          <w:rFonts w:hint="cs"/>
          <w:rtl/>
        </w:rPr>
        <w:t>,</w:t>
      </w:r>
      <w:r>
        <w:rPr>
          <w:rFonts w:hint="cs"/>
          <w:rtl/>
        </w:rPr>
        <w:t xml:space="preserve"> וכעת מקרה שלישי של הרב שיורד ראשון לבית הקברות ומצפה שעבדו ירד אחריו בקל וחומר. משה ירד למצרים לאחר שהקב"ה אמר לו שהוא יורד. העבד, משה, לא יכול להישאר מאחורי רבו ויורד אחריו. העבד נטמא בשל רבו. כעת הרב אומר: אני לא הולך אתכם יותר. קובל העבד, הוא משה לפני הרב ואומר לו: בגללך ירדתי ונטמאתי גם אני וכעת אתה נותן לנו גט פיטורין? "אל תעלנו מזה" עומד כנגד: "וארד להצילו". תביעת משה היא שהקב"ה יקיים את הפסוק במלואו ועד סופו: "וארד להצילו מיד מצרים </w:t>
      </w:r>
      <w:r w:rsidRPr="006A3B9C">
        <w:rPr>
          <w:rFonts w:hint="cs"/>
          <w:b/>
          <w:bCs/>
          <w:rtl/>
        </w:rPr>
        <w:t>ולהעלותו מן הארץ ההיא אל ארץ טובה ורחבה</w:t>
      </w:r>
      <w:r>
        <w:rPr>
          <w:rFonts w:hint="cs"/>
          <w:rtl/>
        </w:rPr>
        <w:t>". מעורבות הכהן עם התרומה שנטמאה איננה חד-פעמית אלא מתמשכת. לפחות עד הכניסה לארץ.</w:t>
      </w:r>
      <w:r w:rsidR="001A70CB">
        <w:rPr>
          <w:rFonts w:hint="cs"/>
          <w:rtl/>
        </w:rPr>
        <w:t xml:space="preserve"> ראה דברינו </w:t>
      </w:r>
      <w:hyperlink r:id="rId8" w:history="1">
        <w:r w:rsidR="001A70CB" w:rsidRPr="001A70CB">
          <w:rPr>
            <w:rStyle w:val="Hyperlink"/>
            <w:rFonts w:hint="cs"/>
            <w:rtl/>
          </w:rPr>
          <w:t>הנה אנכי שולח מלאך לפניך</w:t>
        </w:r>
      </w:hyperlink>
      <w:r w:rsidR="001A70CB">
        <w:rPr>
          <w:rFonts w:hint="cs"/>
          <w:rtl/>
        </w:rPr>
        <w:t>.</w:t>
      </w:r>
    </w:p>
  </w:footnote>
  <w:footnote w:id="21">
    <w:p w:rsidR="0061475A" w:rsidRDefault="0061475A">
      <w:pPr>
        <w:pStyle w:val="a3"/>
        <w:rPr>
          <w:rFonts w:hint="cs"/>
          <w:rtl/>
        </w:rPr>
      </w:pPr>
      <w:r>
        <w:rPr>
          <w:rStyle w:val="a5"/>
        </w:rPr>
        <w:footnoteRef/>
      </w:r>
      <w:r>
        <w:rPr>
          <w:rtl/>
        </w:rPr>
        <w:t xml:space="preserve"> </w:t>
      </w:r>
      <w:r>
        <w:rPr>
          <w:rFonts w:hint="cs"/>
          <w:rtl/>
        </w:rPr>
        <w:t>האם אתה צריך משהו (כלום)?</w:t>
      </w:r>
    </w:p>
  </w:footnote>
  <w:footnote w:id="22">
    <w:p w:rsidR="002C39E1" w:rsidRDefault="002C39E1">
      <w:pPr>
        <w:pStyle w:val="a3"/>
        <w:rPr>
          <w:rFonts w:hint="cs"/>
          <w:rtl/>
        </w:rPr>
      </w:pPr>
      <w:r>
        <w:rPr>
          <w:rStyle w:val="a5"/>
        </w:rPr>
        <w:footnoteRef/>
      </w:r>
      <w:r>
        <w:rPr>
          <w:rtl/>
        </w:rPr>
        <w:t xml:space="preserve"> </w:t>
      </w:r>
      <w:r>
        <w:rPr>
          <w:rFonts w:hint="cs"/>
          <w:rtl/>
        </w:rPr>
        <w:t>אולי גם זה פתרון. אם אין טומאה בצדיקים, לא רק צדיק כר' עקיבא אלא גם תלמידיו (היינו ר' יהושע הגרסי עצמו), אזי אולי בקל וחומר אין טומאה בעם ישראל כולו. התרומה לא באמת נטמאה. ואפשר שהדברים קשורים גם בדין "טומאה דחויה בציבור" שבקרבן פסח, שהוא הזכר</w:t>
      </w:r>
      <w:r w:rsidR="00057DB8">
        <w:rPr>
          <w:rFonts w:hint="cs"/>
          <w:rtl/>
        </w:rPr>
        <w:t>ון</w:t>
      </w:r>
      <w:r>
        <w:rPr>
          <w:rFonts w:hint="cs"/>
          <w:rtl/>
        </w:rPr>
        <w:t xml:space="preserve"> העיקרי ליציאת מצרים. ועד כאן.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87" w:rsidRDefault="002C1987" w:rsidP="002C39E1">
    <w:pPr>
      <w:pStyle w:val="1"/>
      <w:tabs>
        <w:tab w:val="clear" w:pos="9469"/>
        <w:tab w:val="right" w:pos="9185"/>
      </w:tabs>
      <w:rPr>
        <w:rFonts w:hint="cs"/>
        <w:rtl/>
      </w:rPr>
    </w:pPr>
    <w:r>
      <w:rPr>
        <w:rtl/>
      </w:rPr>
      <w:t xml:space="preserve">פרשת </w:t>
    </w:r>
    <w:fldSimple w:instr=" SUBJECT  \* MERGEFORMAT ">
      <w:r w:rsidR="008A5FAD">
        <w:rPr>
          <w:rtl/>
        </w:rPr>
        <w:t>בא</w:t>
      </w:r>
    </w:fldSimple>
    <w:r>
      <w:rPr>
        <w:rtl/>
      </w:rPr>
      <w:tab/>
    </w:r>
    <w:r>
      <w:rPr>
        <w:rFonts w:hint="cs"/>
        <w:rtl/>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87" w:rsidRDefault="002C198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A5FAD">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A5FAD">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27"/>
    <w:rsid w:val="00007CAB"/>
    <w:rsid w:val="00026F4A"/>
    <w:rsid w:val="000369A8"/>
    <w:rsid w:val="00044974"/>
    <w:rsid w:val="00057DB8"/>
    <w:rsid w:val="000B4754"/>
    <w:rsid w:val="000B6C20"/>
    <w:rsid w:val="000C515C"/>
    <w:rsid w:val="000D3C4E"/>
    <w:rsid w:val="00100FFA"/>
    <w:rsid w:val="00121548"/>
    <w:rsid w:val="00140D5F"/>
    <w:rsid w:val="00160169"/>
    <w:rsid w:val="00166791"/>
    <w:rsid w:val="001822B1"/>
    <w:rsid w:val="00193B99"/>
    <w:rsid w:val="001A4E99"/>
    <w:rsid w:val="001A70CB"/>
    <w:rsid w:val="001C118A"/>
    <w:rsid w:val="001E1A5D"/>
    <w:rsid w:val="001F6377"/>
    <w:rsid w:val="00221587"/>
    <w:rsid w:val="002222DE"/>
    <w:rsid w:val="00243746"/>
    <w:rsid w:val="00261616"/>
    <w:rsid w:val="002650FC"/>
    <w:rsid w:val="00274F12"/>
    <w:rsid w:val="00286120"/>
    <w:rsid w:val="002B0634"/>
    <w:rsid w:val="002C1987"/>
    <w:rsid w:val="002C1F2E"/>
    <w:rsid w:val="002C39E1"/>
    <w:rsid w:val="002C5F3B"/>
    <w:rsid w:val="002E3614"/>
    <w:rsid w:val="003150A9"/>
    <w:rsid w:val="00315855"/>
    <w:rsid w:val="003159F7"/>
    <w:rsid w:val="00324C1D"/>
    <w:rsid w:val="00346E8E"/>
    <w:rsid w:val="00351CF7"/>
    <w:rsid w:val="003573AF"/>
    <w:rsid w:val="00370300"/>
    <w:rsid w:val="00381E55"/>
    <w:rsid w:val="00384D2B"/>
    <w:rsid w:val="003C3D44"/>
    <w:rsid w:val="003E2BE7"/>
    <w:rsid w:val="003F3175"/>
    <w:rsid w:val="0044584C"/>
    <w:rsid w:val="004837E6"/>
    <w:rsid w:val="0049138B"/>
    <w:rsid w:val="004E4418"/>
    <w:rsid w:val="004E68CE"/>
    <w:rsid w:val="00507288"/>
    <w:rsid w:val="00510415"/>
    <w:rsid w:val="00535A8A"/>
    <w:rsid w:val="00551D16"/>
    <w:rsid w:val="005536D7"/>
    <w:rsid w:val="00565E90"/>
    <w:rsid w:val="00584E7C"/>
    <w:rsid w:val="005C31B2"/>
    <w:rsid w:val="005D038D"/>
    <w:rsid w:val="0061475A"/>
    <w:rsid w:val="006276AF"/>
    <w:rsid w:val="0064654D"/>
    <w:rsid w:val="006725A0"/>
    <w:rsid w:val="00676ABE"/>
    <w:rsid w:val="006A3B9C"/>
    <w:rsid w:val="006C5638"/>
    <w:rsid w:val="006C58B8"/>
    <w:rsid w:val="006D0F57"/>
    <w:rsid w:val="0070271A"/>
    <w:rsid w:val="00710BD7"/>
    <w:rsid w:val="0072305F"/>
    <w:rsid w:val="007265C3"/>
    <w:rsid w:val="00743E11"/>
    <w:rsid w:val="00756825"/>
    <w:rsid w:val="00767FFE"/>
    <w:rsid w:val="007A02A5"/>
    <w:rsid w:val="007A1D24"/>
    <w:rsid w:val="007A3071"/>
    <w:rsid w:val="007B0950"/>
    <w:rsid w:val="007D1E2D"/>
    <w:rsid w:val="007D5E38"/>
    <w:rsid w:val="007D60CC"/>
    <w:rsid w:val="007E5DCC"/>
    <w:rsid w:val="008047DA"/>
    <w:rsid w:val="008302F7"/>
    <w:rsid w:val="008541AA"/>
    <w:rsid w:val="008617CC"/>
    <w:rsid w:val="00867C6E"/>
    <w:rsid w:val="00881623"/>
    <w:rsid w:val="00882B28"/>
    <w:rsid w:val="008A5FAD"/>
    <w:rsid w:val="008B357B"/>
    <w:rsid w:val="008C075F"/>
    <w:rsid w:val="008E6AB5"/>
    <w:rsid w:val="0090426D"/>
    <w:rsid w:val="00914B22"/>
    <w:rsid w:val="009357DA"/>
    <w:rsid w:val="00941F27"/>
    <w:rsid w:val="009E2185"/>
    <w:rsid w:val="00A145DF"/>
    <w:rsid w:val="00A17756"/>
    <w:rsid w:val="00A313EC"/>
    <w:rsid w:val="00A31CD8"/>
    <w:rsid w:val="00A378A2"/>
    <w:rsid w:val="00A53578"/>
    <w:rsid w:val="00A60AA3"/>
    <w:rsid w:val="00A71891"/>
    <w:rsid w:val="00A775ED"/>
    <w:rsid w:val="00A82B67"/>
    <w:rsid w:val="00A84E43"/>
    <w:rsid w:val="00AE2BF2"/>
    <w:rsid w:val="00AE7399"/>
    <w:rsid w:val="00AE73B6"/>
    <w:rsid w:val="00AF1D19"/>
    <w:rsid w:val="00B06EDE"/>
    <w:rsid w:val="00B07EBA"/>
    <w:rsid w:val="00B2371B"/>
    <w:rsid w:val="00B421DC"/>
    <w:rsid w:val="00B44037"/>
    <w:rsid w:val="00B50849"/>
    <w:rsid w:val="00B64A32"/>
    <w:rsid w:val="00B70C6B"/>
    <w:rsid w:val="00BA7B72"/>
    <w:rsid w:val="00BB2DF8"/>
    <w:rsid w:val="00BB5F5B"/>
    <w:rsid w:val="00BB7FD9"/>
    <w:rsid w:val="00BC1F6A"/>
    <w:rsid w:val="00BC2DFC"/>
    <w:rsid w:val="00BD5C97"/>
    <w:rsid w:val="00BF6D4D"/>
    <w:rsid w:val="00C1415B"/>
    <w:rsid w:val="00C24D70"/>
    <w:rsid w:val="00C2692F"/>
    <w:rsid w:val="00C36E30"/>
    <w:rsid w:val="00C4165C"/>
    <w:rsid w:val="00C42120"/>
    <w:rsid w:val="00C47A73"/>
    <w:rsid w:val="00C80EA4"/>
    <w:rsid w:val="00C82227"/>
    <w:rsid w:val="00C90000"/>
    <w:rsid w:val="00C9736B"/>
    <w:rsid w:val="00CE5558"/>
    <w:rsid w:val="00CF21DC"/>
    <w:rsid w:val="00D43745"/>
    <w:rsid w:val="00D524C6"/>
    <w:rsid w:val="00D55DFB"/>
    <w:rsid w:val="00D75C95"/>
    <w:rsid w:val="00D96EB1"/>
    <w:rsid w:val="00DB3281"/>
    <w:rsid w:val="00DC3C32"/>
    <w:rsid w:val="00DD2FB8"/>
    <w:rsid w:val="00DF2C15"/>
    <w:rsid w:val="00E17936"/>
    <w:rsid w:val="00E62D20"/>
    <w:rsid w:val="00E67CDE"/>
    <w:rsid w:val="00E743B4"/>
    <w:rsid w:val="00E7743C"/>
    <w:rsid w:val="00E87EFA"/>
    <w:rsid w:val="00EA3FC6"/>
    <w:rsid w:val="00EB0DAA"/>
    <w:rsid w:val="00EB6DD1"/>
    <w:rsid w:val="00EC3283"/>
    <w:rsid w:val="00F04DB1"/>
    <w:rsid w:val="00F14ED3"/>
    <w:rsid w:val="00F25B40"/>
    <w:rsid w:val="00F5665A"/>
    <w:rsid w:val="00F63535"/>
    <w:rsid w:val="00F67521"/>
    <w:rsid w:val="00F720A8"/>
    <w:rsid w:val="00F77F6E"/>
    <w:rsid w:val="00F923C1"/>
    <w:rsid w:val="00FA2DE9"/>
    <w:rsid w:val="00FD6960"/>
    <w:rsid w:val="00FF1F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805219-D784-4AB1-895B-AD4E9D98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82B28"/>
    <w:pPr>
      <w:bidi/>
    </w:pPr>
    <w:rPr>
      <w:rFonts w:cs="Narkisim"/>
      <w:sz w:val="22"/>
      <w:szCs w:val="22"/>
      <w:lang w:eastAsia="he-IL"/>
    </w:rPr>
  </w:style>
  <w:style w:type="paragraph" w:styleId="1">
    <w:name w:val="heading 1"/>
    <w:basedOn w:val="a"/>
    <w:next w:val="a"/>
    <w:link w:val="10"/>
    <w:qFormat/>
    <w:rsid w:val="00882B28"/>
    <w:pPr>
      <w:keepNext/>
      <w:tabs>
        <w:tab w:val="right" w:pos="9469"/>
      </w:tabs>
      <w:jc w:val="both"/>
      <w:outlineLvl w:val="0"/>
    </w:pPr>
    <w:rPr>
      <w:rFonts w:cs="David"/>
      <w:b/>
      <w:bCs/>
      <w:szCs w:val="28"/>
    </w:rPr>
  </w:style>
  <w:style w:type="character" w:default="1" w:styleId="a0">
    <w:name w:val="Default Paragraph Font"/>
    <w:uiPriority w:val="1"/>
    <w:semiHidden/>
    <w:unhideWhenUsed/>
    <w:rsid w:val="00882B2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82B28"/>
  </w:style>
  <w:style w:type="paragraph" w:styleId="a3">
    <w:name w:val="footnote text"/>
    <w:basedOn w:val="a"/>
    <w:link w:val="a4"/>
    <w:rsid w:val="00882B28"/>
    <w:pPr>
      <w:ind w:left="170" w:hanging="170"/>
      <w:jc w:val="both"/>
    </w:pPr>
    <w:rPr>
      <w:sz w:val="20"/>
      <w:szCs w:val="20"/>
    </w:rPr>
  </w:style>
  <w:style w:type="character" w:styleId="a5">
    <w:name w:val="footnote reference"/>
    <w:semiHidden/>
    <w:rsid w:val="00882B28"/>
    <w:rPr>
      <w:vertAlign w:val="superscript"/>
    </w:rPr>
  </w:style>
  <w:style w:type="paragraph" w:styleId="a6">
    <w:name w:val="header"/>
    <w:basedOn w:val="a"/>
    <w:link w:val="a7"/>
    <w:rsid w:val="00882B28"/>
    <w:pPr>
      <w:tabs>
        <w:tab w:val="center" w:pos="4153"/>
        <w:tab w:val="right" w:pos="8306"/>
      </w:tabs>
    </w:pPr>
  </w:style>
  <w:style w:type="paragraph" w:styleId="a8">
    <w:name w:val="footer"/>
    <w:basedOn w:val="a"/>
    <w:link w:val="a9"/>
    <w:rsid w:val="00882B28"/>
    <w:pPr>
      <w:tabs>
        <w:tab w:val="center" w:pos="4153"/>
        <w:tab w:val="right" w:pos="8306"/>
      </w:tabs>
    </w:pPr>
  </w:style>
  <w:style w:type="paragraph" w:customStyle="1" w:styleId="aa">
    <w:name w:val="כותרת"/>
    <w:basedOn w:val="a"/>
    <w:rsid w:val="00882B28"/>
    <w:pPr>
      <w:spacing w:before="240" w:line="320" w:lineRule="atLeast"/>
      <w:jc w:val="center"/>
    </w:pPr>
    <w:rPr>
      <w:rFonts w:cs="David"/>
      <w:b/>
      <w:bCs/>
      <w:spacing w:val="20"/>
      <w:szCs w:val="32"/>
    </w:rPr>
  </w:style>
  <w:style w:type="paragraph" w:customStyle="1" w:styleId="ab">
    <w:name w:val="כותרת קטע"/>
    <w:basedOn w:val="a"/>
    <w:link w:val="Char"/>
    <w:rsid w:val="00882B28"/>
    <w:pPr>
      <w:spacing w:before="240" w:line="300" w:lineRule="atLeast"/>
    </w:pPr>
    <w:rPr>
      <w:rFonts w:cs="Arial"/>
      <w:b/>
      <w:bCs/>
      <w:szCs w:val="24"/>
    </w:rPr>
  </w:style>
  <w:style w:type="paragraph" w:customStyle="1" w:styleId="ac">
    <w:name w:val="מקור"/>
    <w:basedOn w:val="a"/>
    <w:rsid w:val="00882B28"/>
    <w:pPr>
      <w:spacing w:line="320" w:lineRule="atLeast"/>
      <w:jc w:val="both"/>
    </w:pPr>
    <w:rPr>
      <w:rFonts w:cs="David"/>
      <w:szCs w:val="24"/>
    </w:rPr>
  </w:style>
  <w:style w:type="paragraph" w:customStyle="1" w:styleId="ad">
    <w:name w:val="מחלקי המים"/>
    <w:basedOn w:val="a"/>
    <w:rsid w:val="00882B28"/>
    <w:pPr>
      <w:spacing w:line="320" w:lineRule="atLeast"/>
      <w:jc w:val="both"/>
    </w:pPr>
    <w:rPr>
      <w:b/>
      <w:bCs/>
      <w:szCs w:val="24"/>
    </w:rPr>
  </w:style>
  <w:style w:type="character" w:styleId="Hyperlink">
    <w:name w:val="Hyperlink"/>
    <w:rsid w:val="00882B28"/>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882B28"/>
    <w:rPr>
      <w:rFonts w:ascii="Tahoma" w:hAnsi="Tahoma" w:cs="Tahoma"/>
      <w:sz w:val="16"/>
      <w:szCs w:val="16"/>
    </w:rPr>
  </w:style>
  <w:style w:type="character" w:styleId="af1">
    <w:name w:val="page number"/>
    <w:basedOn w:val="a0"/>
    <w:rsid w:val="00C9736B"/>
  </w:style>
  <w:style w:type="character" w:customStyle="1" w:styleId="a4">
    <w:name w:val="טקסט הערת שוליים תו"/>
    <w:link w:val="a3"/>
    <w:rsid w:val="00882B28"/>
    <w:rPr>
      <w:rFonts w:cs="Narkisim"/>
      <w:lang w:eastAsia="he-IL"/>
    </w:rPr>
  </w:style>
  <w:style w:type="character" w:customStyle="1" w:styleId="10">
    <w:name w:val="כותרת 1 תו"/>
    <w:link w:val="1"/>
    <w:rsid w:val="00882B28"/>
    <w:rPr>
      <w:rFonts w:cs="David"/>
      <w:b/>
      <w:bCs/>
      <w:sz w:val="22"/>
      <w:szCs w:val="28"/>
      <w:lang w:eastAsia="he-IL"/>
    </w:rPr>
  </w:style>
  <w:style w:type="character" w:customStyle="1" w:styleId="a7">
    <w:name w:val="כותרת עליונה תו"/>
    <w:link w:val="a6"/>
    <w:rsid w:val="00882B28"/>
    <w:rPr>
      <w:rFonts w:cs="Narkisim"/>
      <w:sz w:val="22"/>
      <w:szCs w:val="22"/>
      <w:lang w:eastAsia="he-IL"/>
    </w:rPr>
  </w:style>
  <w:style w:type="character" w:customStyle="1" w:styleId="a9">
    <w:name w:val="כותרת תחתונה תו"/>
    <w:link w:val="a8"/>
    <w:rsid w:val="00882B28"/>
    <w:rPr>
      <w:rFonts w:cs="Narkisim"/>
      <w:sz w:val="22"/>
      <w:szCs w:val="22"/>
      <w:lang w:eastAsia="he-IL"/>
    </w:rPr>
  </w:style>
  <w:style w:type="character" w:customStyle="1" w:styleId="Char">
    <w:name w:val="כותרת קטע Char"/>
    <w:link w:val="ab"/>
    <w:rsid w:val="00C42120"/>
    <w:rPr>
      <w:rFonts w:cs="Arial"/>
      <w:b/>
      <w:bCs/>
      <w:sz w:val="22"/>
      <w:szCs w:val="24"/>
      <w:lang w:eastAsia="he-IL"/>
    </w:rPr>
  </w:style>
  <w:style w:type="character" w:customStyle="1" w:styleId="af0">
    <w:name w:val="טקסט בלונים תו"/>
    <w:link w:val="af"/>
    <w:uiPriority w:val="99"/>
    <w:semiHidden/>
    <w:rsid w:val="00882B2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94%D7%AA%D7%A2%D7%9C%D7%9E%D7%AA-%D7%A4%D7%A2%D7%9E%D7%99%D7%9D-%D7%A9%D7%90%D7%AA%D7%94-%D7%9E%D7%AA%D7%A2%D7%9C%D7%9D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yim.org.il/?parasha=%D7%91%D7%A9%D7%91%D7%99%D7%9C-%D7%9E%D7%99-%D7%A0%D7%92%D7%9C%D7%94-%D7%94%D7%A7%D7%91%D7%94-%D7%91%D7%9E%D7%A6%D7%A8%D7%99%D7%9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C%D7%99-%D7%95%D7%9C%D7%9B%D7%9D-%D7%94%D7%99%D7%90-%D7%94%D7%92%D7%90%D7%95%D7%9C%D7%94"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0%D7%94-%D7%90%D7%A0%D7%9B%D7%99-%D7%A9%D7%95%D7%9C%D7%97-%D7%9E%D7%9C%D7%90%D7%9A-%D7%9C%D7%A4%D7%A0%D7%99%D7%9A" TargetMode="External"/><Relationship Id="rId3" Type="http://schemas.openxmlformats.org/officeDocument/2006/relationships/hyperlink" Target="https://www.mayim.org.il/?holiday=%D7%94%D7%97%D7%95%D7%93%D7%A9-%D7%94%D7%96%D7%94-%D7%9C%D7%9B%D7%9D" TargetMode="External"/><Relationship Id="rId7" Type="http://schemas.openxmlformats.org/officeDocument/2006/relationships/hyperlink" Target="http://www.mayim.org.il/27_Bo/pdf/Bo_60-66.pdf" TargetMode="External"/><Relationship Id="rId2" Type="http://schemas.openxmlformats.org/officeDocument/2006/relationships/hyperlink" Target="http://www.mayim.org.il/?parasha=%D7%9C%D7%97%D7%9C%D7%95%D7%A7-%D7%9B%D7%91%D7%95%D7%93-%D7%9C%D7%9E%D7%9C%D7%9B%D7%95%D7%AA" TargetMode="External"/><Relationship Id="rId1" Type="http://schemas.openxmlformats.org/officeDocument/2006/relationships/hyperlink" Target="http://www.mayim.org.il/?holiday=%D7%94%D7%97%D7%95%D7%93%D7%A9-%D7%94%D7%96%D7%94-%D7%9C%D7%9B%D7%9D" TargetMode="External"/><Relationship Id="rId6" Type="http://schemas.openxmlformats.org/officeDocument/2006/relationships/hyperlink" Target="http://www.mayim.org.il/?parasha=%D7%95%D7%94%D7%AA%D7%A2%D7%9C%D7%9E%D7%AA-%D7%A4%D7%A2%D7%9E%D7%99%D7%9D-%D7%A9%D7%90%D7%AA%D7%94-%D7%9E%D7%AA%D7%A2%D7%9C%D7%9D1" TargetMode="External"/><Relationship Id="rId5" Type="http://schemas.openxmlformats.org/officeDocument/2006/relationships/hyperlink" Target="http://www.mayim.org.il/?parasha=%D7%90%D7%9C-%D7%AA%D7%99%D7%A8%D7%90-%D7%9E%D7%A8%D7%93%D7%94-%D7%9E%D7%A6%D7%A8%D7%99%D7%9E%D7%94" TargetMode="External"/><Relationship Id="rId4" Type="http://schemas.openxmlformats.org/officeDocument/2006/relationships/hyperlink" Target="http://www.mayim.org.il/?parasha=%D7%9E%D7%A9%D7%9B%D7%95-%D7%95%D7%A7%D7%97%D7%95-%D7%9C%D7%9B%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1295</Words>
  <Characters>6479</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בחצי הלילה</vt:lpstr>
      <vt:lpstr>ויהי בחצי הלילה</vt:lpstr>
    </vt:vector>
  </TitlesOfParts>
  <Company>Microsoft</Company>
  <LinksUpToDate>false</LinksUpToDate>
  <CharactersWithSpaces>7759</CharactersWithSpaces>
  <SharedDoc>false</SharedDoc>
  <HLinks>
    <vt:vector size="66" baseType="variant">
      <vt:variant>
        <vt:i4>7340073</vt:i4>
      </vt:variant>
      <vt:variant>
        <vt:i4>6</vt:i4>
      </vt:variant>
      <vt:variant>
        <vt:i4>0</vt:i4>
      </vt:variant>
      <vt:variant>
        <vt:i4>5</vt:i4>
      </vt:variant>
      <vt:variant>
        <vt:lpwstr>http://www.mayim.org.il/?parasha=%D7%95%D7%94%D7%AA%D7%A2%D7%9C%D7%9E%D7%AA-%D7%A4%D7%A2%D7%9E%D7%99%D7%9D-%D7%A9%D7%90%D7%AA%D7%94-%D7%9E%D7%AA%D7%A2%D7%9C%D7%9D1</vt:lpwstr>
      </vt:variant>
      <vt:variant>
        <vt:lpwstr/>
      </vt:variant>
      <vt:variant>
        <vt:i4>8192096</vt:i4>
      </vt:variant>
      <vt:variant>
        <vt:i4>3</vt:i4>
      </vt:variant>
      <vt:variant>
        <vt:i4>0</vt:i4>
      </vt:variant>
      <vt:variant>
        <vt:i4>5</vt:i4>
      </vt:variant>
      <vt:variant>
        <vt:lpwstr>http://www.mayim.org.il/?parasha=%D7%91%D7%A9%D7%91%D7%99%D7%9C-%D7%9E%D7%99-%D7%A0%D7%92%D7%9C%D7%94-%D7%94%D7%A7%D7%91%D7%94-%D7%91%D7%9E%D7%A6%D7%A8%D7%99%D7%9D</vt:lpwstr>
      </vt:variant>
      <vt:variant>
        <vt:lpwstr/>
      </vt:variant>
      <vt:variant>
        <vt:i4>2293799</vt:i4>
      </vt:variant>
      <vt:variant>
        <vt:i4>0</vt:i4>
      </vt:variant>
      <vt:variant>
        <vt:i4>0</vt:i4>
      </vt:variant>
      <vt:variant>
        <vt:i4>5</vt:i4>
      </vt:variant>
      <vt:variant>
        <vt:lpwstr>http://www.mayim.org.il/?parasha=%D7%9C%D7%99-%D7%95%D7%9C%D7%9B%D7%9D-%D7%94%D7%99%D7%90-%D7%94%D7%92%D7%90%D7%95%D7%9C%D7%94</vt:lpwstr>
      </vt:variant>
      <vt:variant>
        <vt:lpwstr/>
      </vt:variant>
      <vt:variant>
        <vt:i4>3866731</vt:i4>
      </vt:variant>
      <vt:variant>
        <vt:i4>21</vt:i4>
      </vt:variant>
      <vt:variant>
        <vt:i4>0</vt:i4>
      </vt:variant>
      <vt:variant>
        <vt:i4>5</vt:i4>
      </vt:variant>
      <vt:variant>
        <vt:lpwstr>https://www.mayim.org.il/?parasha=%D7%94%D7%A0%D7%94-%D7%90%D7%A0%D7%9B%D7%99-%D7%A9%D7%95%D7%9C%D7%97-%D7%9E%D7%9C%D7%90%D7%9A-%D7%9C%D7%A4%D7%A0%D7%99%D7%9A</vt:lpwstr>
      </vt:variant>
      <vt:variant>
        <vt:lpwstr/>
      </vt:variant>
      <vt:variant>
        <vt:i4>7929891</vt:i4>
      </vt:variant>
      <vt:variant>
        <vt:i4>18</vt:i4>
      </vt:variant>
      <vt:variant>
        <vt:i4>0</vt:i4>
      </vt:variant>
      <vt:variant>
        <vt:i4>5</vt:i4>
      </vt:variant>
      <vt:variant>
        <vt:lpwstr>http://www.mayim.org.il/27_Bo/pdf/Bo_60-66.pdf</vt:lpwstr>
      </vt:variant>
      <vt:variant>
        <vt:lpwstr/>
      </vt:variant>
      <vt:variant>
        <vt:i4>7340073</vt:i4>
      </vt:variant>
      <vt:variant>
        <vt:i4>15</vt:i4>
      </vt:variant>
      <vt:variant>
        <vt:i4>0</vt:i4>
      </vt:variant>
      <vt:variant>
        <vt:i4>5</vt:i4>
      </vt:variant>
      <vt:variant>
        <vt:lpwstr>http://www.mayim.org.il/?parasha=%D7%95%D7%94%D7%AA%D7%A2%D7%9C%D7%9E%D7%AA-%D7%A4%D7%A2%D7%9E%D7%99%D7%9D-%D7%A9%D7%90%D7%AA%D7%94-%D7%9E%D7%AA%D7%A2%D7%9C%D7%9D1</vt:lpwstr>
      </vt:variant>
      <vt:variant>
        <vt:lpwstr/>
      </vt:variant>
      <vt:variant>
        <vt:i4>458760</vt:i4>
      </vt:variant>
      <vt:variant>
        <vt:i4>12</vt:i4>
      </vt:variant>
      <vt:variant>
        <vt:i4>0</vt:i4>
      </vt:variant>
      <vt:variant>
        <vt:i4>5</vt:i4>
      </vt:variant>
      <vt:variant>
        <vt:lpwstr>http://www.mayim.org.il/?parasha=%D7%90%D7%9C-%D7%AA%D7%99%D7%A8%D7%90-%D7%9E%D7%A8%D7%93%D7%94-%D7%9E%D7%A6%D7%A8%D7%99%D7%9E%D7%94</vt:lpwstr>
      </vt:variant>
      <vt:variant>
        <vt:lpwstr/>
      </vt:variant>
      <vt:variant>
        <vt:i4>6488182</vt:i4>
      </vt:variant>
      <vt:variant>
        <vt:i4>9</vt:i4>
      </vt:variant>
      <vt:variant>
        <vt:i4>0</vt:i4>
      </vt:variant>
      <vt:variant>
        <vt:i4>5</vt:i4>
      </vt:variant>
      <vt:variant>
        <vt:lpwstr>http://www.mayim.org.il/?parasha=%D7%9E%D7%A9%D7%9B%D7%95-%D7%95%D7%A7%D7%97%D7%95-%D7%9C%D7%9B%D7%9D1</vt:lpwstr>
      </vt:variant>
      <vt:variant>
        <vt:lpwstr/>
      </vt:variant>
      <vt:variant>
        <vt:i4>6553708</vt:i4>
      </vt:variant>
      <vt:variant>
        <vt:i4>6</vt:i4>
      </vt:variant>
      <vt:variant>
        <vt:i4>0</vt:i4>
      </vt:variant>
      <vt:variant>
        <vt:i4>5</vt:i4>
      </vt:variant>
      <vt:variant>
        <vt:lpwstr>https://www.mayim.org.il/?holiday=%D7%94%D7%97%D7%95%D7%93%D7%A9-%D7%94%D7%96%D7%94-%D7%9C%D7%9B%D7%9D</vt:lpwstr>
      </vt:variant>
      <vt:variant>
        <vt:lpwstr/>
      </vt:variant>
      <vt:variant>
        <vt:i4>6225991</vt:i4>
      </vt:variant>
      <vt:variant>
        <vt:i4>3</vt:i4>
      </vt:variant>
      <vt:variant>
        <vt:i4>0</vt:i4>
      </vt:variant>
      <vt:variant>
        <vt:i4>5</vt:i4>
      </vt:variant>
      <vt:variant>
        <vt:lpwstr>http://www.mayim.org.il/?parasha=%D7%9C%D7%97%D7%9C%D7%95%D7%A7-%D7%9B%D7%91%D7%95%D7%93-%D7%9C%D7%9E%D7%9C%D7%9B%D7%95%D7%AA</vt:lpwstr>
      </vt:variant>
      <vt:variant>
        <vt:lpwstr/>
      </vt:variant>
      <vt:variant>
        <vt:i4>458776</vt:i4>
      </vt:variant>
      <vt:variant>
        <vt:i4>0</vt:i4>
      </vt:variant>
      <vt:variant>
        <vt:i4>0</vt:i4>
      </vt:variant>
      <vt:variant>
        <vt:i4>5</vt:i4>
      </vt:variant>
      <vt:variant>
        <vt:lpwstr>http://www.mayim.org.il/?holiday=%D7%94%D7%97%D7%95%D7%93%D7%A9-%D7%94%D7%96%D7%94-%D7%9C%D7%9B%D7%9D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מה לכהן בבית הקברות</dc:title>
  <dc:subject>בא</dc:subject>
  <dc:creator>Asher Yuval</dc:creator>
  <cp:keywords/>
  <cp:lastModifiedBy>שמעון אפק</cp:lastModifiedBy>
  <cp:revision>3</cp:revision>
  <cp:lastPrinted>2018-02-18T12:41:00Z</cp:lastPrinted>
  <dcterms:created xsi:type="dcterms:W3CDTF">2018-02-18T12:40:00Z</dcterms:created>
  <dcterms:modified xsi:type="dcterms:W3CDTF">2018-02-18T12:41:00Z</dcterms:modified>
</cp:coreProperties>
</file>