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809D6" w:rsidRDefault="00F809D6" w:rsidP="001D4CBB">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נטלתי ספר בראשית וקראתי בו</w:t>
      </w:r>
      <w:r>
        <w:rPr>
          <w:rtl/>
        </w:rPr>
        <w:fldChar w:fldCharType="end"/>
      </w:r>
    </w:p>
    <w:p w:rsidR="001D4CBB" w:rsidRPr="001D4CBB" w:rsidRDefault="001D4CBB" w:rsidP="0095336A">
      <w:pPr>
        <w:pStyle w:val="ac"/>
        <w:spacing w:before="240" w:line="280" w:lineRule="atLeast"/>
        <w:rPr>
          <w:rFonts w:cs="Narkisim"/>
          <w:szCs w:val="22"/>
          <w:rtl/>
        </w:rPr>
      </w:pPr>
      <w:r w:rsidRPr="001D4CBB">
        <w:rPr>
          <w:rFonts w:cs="Narkisim" w:hint="cs"/>
          <w:b/>
          <w:bCs/>
          <w:szCs w:val="22"/>
          <w:rtl/>
        </w:rPr>
        <w:t>מים ראשונים:</w:t>
      </w:r>
      <w:r w:rsidRPr="001D4CBB">
        <w:rPr>
          <w:rFonts w:cs="Narkisim" w:hint="cs"/>
          <w:szCs w:val="22"/>
          <w:rtl/>
        </w:rPr>
        <w:t xml:space="preserve"> שאלנו </w:t>
      </w:r>
      <w:r w:rsidR="0095336A">
        <w:rPr>
          <w:rFonts w:cs="Narkisim" w:hint="cs"/>
          <w:szCs w:val="22"/>
          <w:rtl/>
        </w:rPr>
        <w:t xml:space="preserve">את </w:t>
      </w:r>
      <w:r w:rsidRPr="001D4CBB">
        <w:rPr>
          <w:rFonts w:cs="Narkisim" w:hint="cs"/>
          <w:szCs w:val="22"/>
          <w:rtl/>
        </w:rPr>
        <w:t xml:space="preserve">כותרת הדף ממדרש </w:t>
      </w:r>
      <w:r w:rsidRPr="001D4CBB">
        <w:rPr>
          <w:rFonts w:cs="Narkisim"/>
          <w:szCs w:val="22"/>
          <w:rtl/>
        </w:rPr>
        <w:t xml:space="preserve">שמות רבה </w:t>
      </w:r>
      <w:r w:rsidRPr="001D4CBB">
        <w:rPr>
          <w:rFonts w:cs="Narkisim" w:hint="cs"/>
          <w:szCs w:val="22"/>
          <w:rtl/>
        </w:rPr>
        <w:t>ה כב (</w:t>
      </w:r>
      <w:r w:rsidRPr="001D4CBB">
        <w:rPr>
          <w:rFonts w:cs="Narkisim"/>
          <w:szCs w:val="22"/>
          <w:rtl/>
        </w:rPr>
        <w:t xml:space="preserve">סוף פרשת שמות) שם </w:t>
      </w:r>
      <w:r w:rsidRPr="001D4CBB">
        <w:rPr>
          <w:rFonts w:cs="Narkisim" w:hint="cs"/>
          <w:szCs w:val="22"/>
          <w:rtl/>
        </w:rPr>
        <w:t xml:space="preserve">עומד משה, בראשית שליחותו (בתחילת ספר שמות) ומשקיף על ספר בראשית מנקודת מבט של הבנים הסובלים בגין מעשה האבות. ראה מדרש נפלא זה בדברינו </w:t>
      </w:r>
      <w:hyperlink r:id="rId6" w:history="1">
        <w:r w:rsidRPr="001D4CBB">
          <w:rPr>
            <w:rStyle w:val="Hyperlink"/>
            <w:rFonts w:cs="Narkisim" w:hint="cs"/>
            <w:szCs w:val="22"/>
            <w:rtl/>
          </w:rPr>
          <w:t>אותם הנתונים תחת הבניין</w:t>
        </w:r>
      </w:hyperlink>
      <w:r w:rsidRPr="001D4CBB">
        <w:rPr>
          <w:rFonts w:cs="Narkisim" w:hint="cs"/>
          <w:szCs w:val="22"/>
          <w:rtl/>
        </w:rPr>
        <w:t xml:space="preserve"> בפרשת שמות. אך אנחנו עדיין נמצאים בעיצומו של ספר בראשית וגם ההקשר הענייני שם שונה מההקשר שלנו. ואע"פ כן, נטלנו אמירה זו לפרשת השבוע ו</w:t>
      </w:r>
      <w:r w:rsidRPr="001D4CBB">
        <w:rPr>
          <w:rFonts w:cs="Narkisim"/>
          <w:szCs w:val="22"/>
          <w:rtl/>
        </w:rPr>
        <w:t>כוונתנו תתברר בהמשך</w:t>
      </w:r>
      <w:r w:rsidRPr="001D4CBB">
        <w:rPr>
          <w:rFonts w:cs="Narkisim" w:hint="cs"/>
          <w:szCs w:val="22"/>
          <w:rtl/>
        </w:rPr>
        <w:t>. והדרשן שממנו שאלנו וודאי לא יתנגד</w:t>
      </w:r>
      <w:r w:rsidR="0095336A">
        <w:rPr>
          <w:rFonts w:cs="Narkisim" w:hint="cs"/>
          <w:szCs w:val="22"/>
          <w:rtl/>
        </w:rPr>
        <w:t xml:space="preserve"> להשאלה זו</w:t>
      </w:r>
      <w:r w:rsidRPr="001D4CBB">
        <w:rPr>
          <w:rFonts w:cs="Narkisim"/>
          <w:szCs w:val="22"/>
          <w:rtl/>
        </w:rPr>
        <w:t>.</w:t>
      </w:r>
    </w:p>
    <w:p w:rsidR="00F809D6" w:rsidRDefault="00F809D6">
      <w:pPr>
        <w:pStyle w:val="ab"/>
        <w:rPr>
          <w:rtl/>
        </w:rPr>
      </w:pPr>
      <w:r>
        <w:rPr>
          <w:rtl/>
        </w:rPr>
        <w:t>בראשית רבה פרשה פז סימן ו</w:t>
      </w:r>
      <w:r>
        <w:rPr>
          <w:rFonts w:hint="cs"/>
          <w:rtl/>
        </w:rPr>
        <w:t xml:space="preserve"> -</w:t>
      </w:r>
      <w:r>
        <w:rPr>
          <w:rtl/>
        </w:rPr>
        <w:t xml:space="preserve"> "ויהי כדברה אל יוסף"</w:t>
      </w:r>
    </w:p>
    <w:p w:rsidR="00F809D6" w:rsidRDefault="00F809D6">
      <w:pPr>
        <w:pStyle w:val="ac"/>
        <w:rPr>
          <w:rFonts w:hint="cs"/>
          <w:rtl/>
        </w:rPr>
      </w:pPr>
      <w:r>
        <w:rPr>
          <w:rtl/>
        </w:rPr>
        <w:t>מטרונה שאלה את ר' יוסי, אמרה לו: אפשר יוסף בן שבע עשרה שנה היה עומד בכל חומו והיה עושה הדבר הזה? הוציא לפניה ספר בראשית והתחיל קורא לפניה מעשה ראובן ובלהה, מעשה יהודה ותמר. אמר לה: מה אם אלו שהם גדולים וברשות אביהן לא כיסה עליהם הכתוב, זה שהוא קטן וברשות עצמו על אחת כמה וכמה.</w:t>
      </w:r>
      <w:r>
        <w:rPr>
          <w:rStyle w:val="a5"/>
          <w:rtl/>
        </w:rPr>
        <w:footnoteReference w:id="1"/>
      </w:r>
    </w:p>
    <w:p w:rsidR="00F809D6" w:rsidRDefault="00F809D6">
      <w:pPr>
        <w:spacing w:before="240" w:line="320" w:lineRule="atLeast"/>
        <w:rPr>
          <w:rFonts w:cs="Arial"/>
          <w:b/>
          <w:bCs/>
          <w:szCs w:val="24"/>
          <w:rtl/>
        </w:rPr>
      </w:pPr>
      <w:r>
        <w:rPr>
          <w:rFonts w:cs="Arial"/>
          <w:b/>
          <w:bCs/>
          <w:szCs w:val="24"/>
          <w:rtl/>
        </w:rPr>
        <w:t>בראשית רבה (אלבק) פרשה צז "יהודה אתה יודוך אחיך"</w:t>
      </w:r>
    </w:p>
    <w:p w:rsidR="00F809D6" w:rsidRDefault="00F809D6">
      <w:pPr>
        <w:spacing w:line="320" w:lineRule="atLeast"/>
        <w:jc w:val="both"/>
        <w:rPr>
          <w:rFonts w:cs="David" w:hint="cs"/>
          <w:szCs w:val="24"/>
          <w:rtl/>
        </w:rPr>
      </w:pPr>
      <w:r>
        <w:rPr>
          <w:rFonts w:cs="David"/>
          <w:szCs w:val="24"/>
          <w:rtl/>
        </w:rPr>
        <w:t>"מכסה פשעיו לא יצליח ומודה ועוזב ירוחם" (משלי כח יג) - זה יהודה הצדיק שבייש עצמו במעשה תמר. ואף ראובן לא הודה במעשיו אלא מכוחו של יהודה. כיון שראה ראובן את יהודה שהודה, עמד הוא והודה כל מעשיו. ולפי שגרם יהודה לראובן לעשות תשובה, לפיכך סמכו משה רבנו לו,</w:t>
      </w:r>
      <w:r>
        <w:rPr>
          <w:rStyle w:val="a5"/>
          <w:rFonts w:cs="David"/>
          <w:szCs w:val="24"/>
          <w:rtl/>
        </w:rPr>
        <w:footnoteReference w:id="2"/>
      </w:r>
      <w:r>
        <w:rPr>
          <w:rFonts w:cs="David"/>
          <w:szCs w:val="24"/>
          <w:rtl/>
        </w:rPr>
        <w:t xml:space="preserve"> שנאמר: "יחי ראובן ואל ימות" וכתוב אחריו "וזאת ליהודה ויאמר" - על שניהם הוא אומר: "אשר חכמים יגידו ולא כחדו מאבותם"</w:t>
      </w:r>
      <w:r>
        <w:rPr>
          <w:rFonts w:cs="David" w:hint="cs"/>
          <w:szCs w:val="24"/>
          <w:rtl/>
        </w:rPr>
        <w:t xml:space="preserve"> (איוב טו יח)</w:t>
      </w:r>
      <w:r>
        <w:rPr>
          <w:rFonts w:cs="David"/>
          <w:szCs w:val="24"/>
          <w:rtl/>
        </w:rPr>
        <w:t>.</w:t>
      </w:r>
      <w:r>
        <w:rPr>
          <w:rStyle w:val="a5"/>
          <w:rFonts w:cs="David"/>
          <w:szCs w:val="24"/>
          <w:rtl/>
        </w:rPr>
        <w:footnoteReference w:id="3"/>
      </w:r>
    </w:p>
    <w:p w:rsidR="006544B8" w:rsidRPr="006544B8" w:rsidRDefault="006544B8" w:rsidP="006544B8">
      <w:pPr>
        <w:pStyle w:val="ab"/>
        <w:rPr>
          <w:rtl/>
        </w:rPr>
      </w:pPr>
      <w:r w:rsidRPr="006544B8">
        <w:rPr>
          <w:rtl/>
        </w:rPr>
        <w:t xml:space="preserve">מצודת דוד איוב פרק טו פסוק יח </w:t>
      </w:r>
    </w:p>
    <w:p w:rsidR="006544B8" w:rsidRDefault="00D7482A" w:rsidP="00D7482A">
      <w:pPr>
        <w:spacing w:line="320" w:lineRule="atLeast"/>
        <w:jc w:val="both"/>
        <w:rPr>
          <w:rFonts w:cs="David" w:hint="cs"/>
          <w:szCs w:val="24"/>
          <w:rtl/>
        </w:rPr>
      </w:pPr>
      <w:r w:rsidRPr="00D7482A">
        <w:rPr>
          <w:rFonts w:cs="David"/>
          <w:szCs w:val="24"/>
          <w:rtl/>
        </w:rPr>
        <w:t xml:space="preserve">אֲשֶׁר־חֲכָמִים יַגִּידוּ וְלֹא כִחֲדוּ מֵאֲבוֹתָם </w:t>
      </w:r>
      <w:r w:rsidR="006544B8" w:rsidRPr="006544B8">
        <w:rPr>
          <w:rFonts w:cs="David"/>
          <w:szCs w:val="24"/>
          <w:rtl/>
        </w:rPr>
        <w:t>- מוסב למעלה לומר אספר לך מה שראיתי בחוש הדבר אשר יגידו החכמים ולא מנעו מלספר מה שקבלו מאבותם</w:t>
      </w:r>
      <w:r w:rsidR="006544B8">
        <w:rPr>
          <w:rFonts w:cs="David" w:hint="cs"/>
          <w:szCs w:val="24"/>
          <w:rtl/>
        </w:rPr>
        <w:t>.</w:t>
      </w:r>
      <w:r w:rsidR="00CA5663">
        <w:rPr>
          <w:rStyle w:val="a5"/>
          <w:rFonts w:cs="David"/>
          <w:szCs w:val="24"/>
          <w:rtl/>
        </w:rPr>
        <w:footnoteReference w:id="4"/>
      </w:r>
    </w:p>
    <w:p w:rsidR="00F809D6" w:rsidRDefault="00F809D6">
      <w:pPr>
        <w:pStyle w:val="ab"/>
        <w:rPr>
          <w:sz w:val="20"/>
          <w:rtl/>
          <w:lang w:val="he-IL"/>
        </w:rPr>
      </w:pPr>
      <w:r>
        <w:rPr>
          <w:rFonts w:hint="cs"/>
          <w:rtl/>
          <w:lang w:val="he-IL"/>
        </w:rPr>
        <w:t xml:space="preserve">מסכת סוטה דף ז עמוד ב </w:t>
      </w:r>
    </w:p>
    <w:p w:rsidR="00F809D6" w:rsidRDefault="00F809D6" w:rsidP="00503F16">
      <w:pPr>
        <w:pStyle w:val="ac"/>
        <w:rPr>
          <w:sz w:val="20"/>
          <w:rtl/>
          <w:lang w:val="he-IL"/>
        </w:rPr>
      </w:pPr>
      <w:r>
        <w:rPr>
          <w:rFonts w:hint="cs"/>
          <w:rtl/>
          <w:lang w:val="he-IL"/>
        </w:rPr>
        <w:t>תנו רבנן: אומר לפניה (לפני הסוטה) דברים של הגדה ומעשים שאירעו בכתובים הראשונים, כגון: "אשר חכמים יגידו ולא כחדו מאבותם". יהודה הודה ולא בוש, מה היה סופו? נחל חיי העולם הבא;</w:t>
      </w:r>
      <w:r w:rsidR="00CA004C">
        <w:rPr>
          <w:rStyle w:val="a5"/>
          <w:rtl/>
          <w:lang w:val="he-IL"/>
        </w:rPr>
        <w:footnoteReference w:id="5"/>
      </w:r>
      <w:r>
        <w:rPr>
          <w:rFonts w:hint="cs"/>
          <w:rtl/>
          <w:lang w:val="he-IL"/>
        </w:rPr>
        <w:t xml:space="preserve"> ראובן הודה ולא בוש, מה היה סופו? נחל חיי העולם הבא.</w:t>
      </w:r>
      <w:r w:rsidR="00503F16">
        <w:rPr>
          <w:rStyle w:val="a5"/>
          <w:rtl/>
          <w:lang w:val="he-IL"/>
        </w:rPr>
        <w:footnoteReference w:id="6"/>
      </w:r>
      <w:r w:rsidR="00503F16">
        <w:rPr>
          <w:rFonts w:hint="cs"/>
          <w:rtl/>
          <w:lang w:val="he-IL"/>
        </w:rPr>
        <w:t xml:space="preserve"> </w:t>
      </w:r>
      <w:r>
        <w:rPr>
          <w:rFonts w:hint="cs"/>
          <w:rtl/>
          <w:lang w:val="he-IL"/>
        </w:rPr>
        <w:t xml:space="preserve">ומה שכרן? מה שכרן? כדקא אמרינן! אלא מה שכרן בעולם </w:t>
      </w:r>
      <w:r>
        <w:rPr>
          <w:rFonts w:hint="cs"/>
          <w:rtl/>
          <w:lang w:val="he-IL"/>
        </w:rPr>
        <w:lastRenderedPageBreak/>
        <w:t>הזה? - "להם לבדם נתנה הארץ ולא עבר זר בתוכם" (איוב טו יט).</w:t>
      </w:r>
      <w:r w:rsidR="00503F16">
        <w:rPr>
          <w:rStyle w:val="a5"/>
          <w:rtl/>
          <w:lang w:val="he-IL"/>
        </w:rPr>
        <w:footnoteReference w:id="7"/>
      </w:r>
      <w:r>
        <w:rPr>
          <w:rFonts w:hint="cs"/>
          <w:rtl/>
          <w:lang w:val="he-IL"/>
        </w:rPr>
        <w:t xml:space="preserve"> ... בשלמא יהודה דאודי </w:t>
      </w:r>
      <w:r>
        <w:rPr>
          <w:rtl/>
          <w:lang w:val="he-IL"/>
        </w:rPr>
        <w:t>–</w:t>
      </w:r>
      <w:r>
        <w:rPr>
          <w:rFonts w:hint="cs"/>
          <w:rtl/>
          <w:lang w:val="he-IL"/>
        </w:rPr>
        <w:t xml:space="preserve"> כי היכי דלא תישרף תמר. אלא ראובן למה ליה לאודי? והאמר רב ששת: חציף עלי מאן דמפריט חטאיה! </w:t>
      </w:r>
      <w:r>
        <w:rPr>
          <w:rtl/>
          <w:lang w:val="he-IL"/>
        </w:rPr>
        <w:t>–</w:t>
      </w:r>
      <w:r>
        <w:rPr>
          <w:rFonts w:hint="cs"/>
          <w:rtl/>
          <w:lang w:val="he-IL"/>
        </w:rPr>
        <w:t xml:space="preserve"> כי היכי דלא ליחשדו אחוהי.</w:t>
      </w:r>
      <w:r>
        <w:rPr>
          <w:rStyle w:val="a5"/>
          <w:rtl/>
          <w:lang w:val="he-IL"/>
        </w:rPr>
        <w:footnoteReference w:id="8"/>
      </w:r>
    </w:p>
    <w:p w:rsidR="00F809D6" w:rsidRDefault="00F809D6">
      <w:pPr>
        <w:pStyle w:val="ab"/>
        <w:rPr>
          <w:sz w:val="20"/>
          <w:rtl/>
          <w:lang w:val="he-IL"/>
        </w:rPr>
      </w:pPr>
      <w:r>
        <w:rPr>
          <w:rFonts w:hint="cs"/>
          <w:rtl/>
          <w:lang w:val="he-IL"/>
        </w:rPr>
        <w:t xml:space="preserve">מסכת מגילה פרק ד משנה י </w:t>
      </w:r>
    </w:p>
    <w:p w:rsidR="00F809D6" w:rsidRDefault="00F809D6" w:rsidP="000958D8">
      <w:pPr>
        <w:pStyle w:val="ac"/>
        <w:rPr>
          <w:sz w:val="20"/>
          <w:rtl/>
          <w:lang w:val="he-IL"/>
        </w:rPr>
      </w:pPr>
      <w:r>
        <w:rPr>
          <w:rFonts w:hint="cs"/>
          <w:rtl/>
          <w:lang w:val="he-IL"/>
        </w:rPr>
        <w:t>מעשה ראובן נקרא ולא מיתרגם</w:t>
      </w:r>
      <w:r w:rsidR="00AE2F2E">
        <w:rPr>
          <w:rFonts w:hint="cs"/>
          <w:rtl/>
          <w:lang w:val="he-IL"/>
        </w:rPr>
        <w:t>,</w:t>
      </w:r>
      <w:r>
        <w:rPr>
          <w:rFonts w:hint="cs"/>
          <w:rtl/>
          <w:lang w:val="he-IL"/>
        </w:rPr>
        <w:t xml:space="preserve"> מעשה תמר נקרא ומיתרגם</w:t>
      </w:r>
      <w:r w:rsidR="00AE2F2E">
        <w:rPr>
          <w:rFonts w:hint="cs"/>
          <w:rtl/>
          <w:lang w:val="he-IL"/>
        </w:rPr>
        <w:t>,</w:t>
      </w:r>
      <w:r w:rsidR="000958D8">
        <w:rPr>
          <w:rStyle w:val="a5"/>
          <w:rtl/>
          <w:lang w:val="he-IL"/>
        </w:rPr>
        <w:footnoteReference w:id="9"/>
      </w:r>
      <w:r w:rsidR="000958D8">
        <w:rPr>
          <w:rFonts w:hint="cs"/>
          <w:rtl/>
          <w:lang w:val="he-IL"/>
        </w:rPr>
        <w:t xml:space="preserve"> </w:t>
      </w:r>
      <w:r>
        <w:rPr>
          <w:rFonts w:hint="cs"/>
          <w:rtl/>
          <w:lang w:val="he-IL"/>
        </w:rPr>
        <w:t>מעשה עגל הראשון נקרא ומיתרגם</w:t>
      </w:r>
      <w:r w:rsidR="00AE2F2E">
        <w:rPr>
          <w:rFonts w:hint="cs"/>
          <w:rtl/>
          <w:lang w:val="he-IL"/>
        </w:rPr>
        <w:t>,</w:t>
      </w:r>
      <w:r>
        <w:rPr>
          <w:rFonts w:hint="cs"/>
          <w:rtl/>
          <w:lang w:val="he-IL"/>
        </w:rPr>
        <w:t xml:space="preserve"> והשני נקרא ולא מיתרגם</w:t>
      </w:r>
      <w:r w:rsidR="00AE2F2E">
        <w:rPr>
          <w:rFonts w:hint="cs"/>
          <w:rtl/>
          <w:lang w:val="he-IL"/>
        </w:rPr>
        <w:t>.</w:t>
      </w:r>
      <w:r w:rsidR="000958D8">
        <w:rPr>
          <w:rFonts w:hint="cs"/>
          <w:rtl/>
          <w:lang w:val="he-IL"/>
        </w:rPr>
        <w:t xml:space="preserve"> </w:t>
      </w:r>
      <w:r>
        <w:rPr>
          <w:rFonts w:hint="cs"/>
          <w:rtl/>
          <w:lang w:val="he-IL"/>
        </w:rPr>
        <w:t>ברכת כהנים</w:t>
      </w:r>
      <w:r w:rsidR="00AE2F2E">
        <w:rPr>
          <w:rFonts w:hint="cs"/>
          <w:rtl/>
          <w:lang w:val="he-IL"/>
        </w:rPr>
        <w:t>,</w:t>
      </w:r>
      <w:r>
        <w:rPr>
          <w:rFonts w:hint="cs"/>
          <w:rtl/>
          <w:lang w:val="he-IL"/>
        </w:rPr>
        <w:t xml:space="preserve"> מעשה דוד ואמנון</w:t>
      </w:r>
      <w:r w:rsidR="00AE2F2E">
        <w:rPr>
          <w:rFonts w:hint="cs"/>
          <w:rtl/>
          <w:lang w:val="he-IL"/>
        </w:rPr>
        <w:t>,</w:t>
      </w:r>
      <w:r>
        <w:rPr>
          <w:rFonts w:hint="cs"/>
          <w:rtl/>
          <w:lang w:val="he-IL"/>
        </w:rPr>
        <w:t xml:space="preserve"> לא נקראין ולא מיתרגמין.</w:t>
      </w:r>
      <w:r w:rsidR="000958D8">
        <w:rPr>
          <w:rStyle w:val="a5"/>
          <w:rtl/>
          <w:lang w:val="he-IL"/>
        </w:rPr>
        <w:footnoteReference w:id="10"/>
      </w:r>
      <w:r w:rsidR="000958D8">
        <w:rPr>
          <w:rFonts w:hint="cs"/>
          <w:rtl/>
          <w:lang w:val="he-IL"/>
        </w:rPr>
        <w:t xml:space="preserve"> </w:t>
      </w:r>
      <w:r>
        <w:rPr>
          <w:rFonts w:hint="cs"/>
          <w:rtl/>
          <w:lang w:val="he-IL"/>
        </w:rPr>
        <w:t xml:space="preserve">  </w:t>
      </w:r>
    </w:p>
    <w:p w:rsidR="00F809D6" w:rsidRDefault="00F809D6">
      <w:pPr>
        <w:pStyle w:val="ab"/>
        <w:rPr>
          <w:rFonts w:hint="cs"/>
          <w:rtl/>
        </w:rPr>
      </w:pPr>
      <w:r>
        <w:rPr>
          <w:rFonts w:hint="cs"/>
          <w:rtl/>
        </w:rPr>
        <w:t>בראשית רבה ע יט</w:t>
      </w:r>
    </w:p>
    <w:p w:rsidR="00F809D6" w:rsidRDefault="00F809D6">
      <w:pPr>
        <w:pStyle w:val="ac"/>
        <w:rPr>
          <w:rFonts w:hint="cs"/>
          <w:rtl/>
        </w:rPr>
      </w:pPr>
      <w:r>
        <w:rPr>
          <w:rtl/>
        </w:rPr>
        <w:t>כל אותו הלילה היה קורא לה רחל והיא עונה. "ויהי בבוקר והנה היא לאה...". אמר לה: מה? רמאית בת רמאי! אמרה לו: ויש סופר שאין לו תלמידים?</w:t>
      </w:r>
      <w:r>
        <w:rPr>
          <w:rStyle w:val="a5"/>
          <w:rtl/>
        </w:rPr>
        <w:footnoteReference w:id="11"/>
      </w:r>
      <w:r>
        <w:rPr>
          <w:rtl/>
        </w:rPr>
        <w:t xml:space="preserve"> לא כך היה אביך קורא לך עשו ואתה ענית לו..."</w:t>
      </w:r>
      <w:r>
        <w:rPr>
          <w:rFonts w:hint="cs"/>
          <w:rtl/>
        </w:rPr>
        <w:t>.</w:t>
      </w:r>
      <w:r>
        <w:rPr>
          <w:rStyle w:val="a5"/>
          <w:rtl/>
        </w:rPr>
        <w:footnoteReference w:id="12"/>
      </w:r>
    </w:p>
    <w:p w:rsidR="00F809D6" w:rsidRDefault="00F809D6">
      <w:pPr>
        <w:pStyle w:val="ab"/>
        <w:rPr>
          <w:sz w:val="20"/>
          <w:rtl/>
          <w:lang w:val="he-IL"/>
        </w:rPr>
      </w:pPr>
      <w:r>
        <w:rPr>
          <w:rFonts w:hint="cs"/>
          <w:rtl/>
          <w:lang w:val="he-IL"/>
        </w:rPr>
        <w:t xml:space="preserve">פסיקתא רבתי (איש שלום) פרשה מב ד"ה דבר אחר וה' </w:t>
      </w:r>
    </w:p>
    <w:p w:rsidR="00F809D6" w:rsidRDefault="00F809D6">
      <w:pPr>
        <w:pStyle w:val="ac"/>
        <w:rPr>
          <w:sz w:val="20"/>
          <w:rtl/>
          <w:lang w:val="he-IL"/>
        </w:rPr>
      </w:pPr>
      <w:r>
        <w:rPr>
          <w:rFonts w:hint="cs"/>
          <w:rtl/>
          <w:lang w:val="he-IL"/>
        </w:rPr>
        <w:t xml:space="preserve">"הגוי גם צדיק תהרוג" (בראשית כ ד) </w:t>
      </w:r>
      <w:r>
        <w:rPr>
          <w:rtl/>
          <w:lang w:val="he-IL"/>
        </w:rPr>
        <w:t>–</w:t>
      </w:r>
      <w:r>
        <w:rPr>
          <w:rFonts w:hint="cs"/>
          <w:rtl/>
          <w:lang w:val="he-IL"/>
        </w:rPr>
        <w:t xml:space="preserve"> אמר: אם גוי תהרוג, גם צדיק תהרוג. אם הורג אתה לאבימלך, הרוג אף לאברהם. למה? א"ר ברכיה הכהן ברבי: אמר: שאלתי אותו מה היא? אשתך? אמר: אחותי היא. חזרתי ושאלתי אותה: האישתו את? אומרת: לאו, אלא אחותו אני. אף על פי כן, שאלתי לבני ביתו ואמרו: אחותו היא ... אמר לו הקב"ה: "גם אנכי ידעתי כי בת</w:t>
      </w:r>
      <w:r w:rsidR="00503F16">
        <w:rPr>
          <w:rFonts w:hint="cs"/>
          <w:rtl/>
          <w:lang w:val="he-IL"/>
        </w:rPr>
        <w:t>ו</w:t>
      </w:r>
      <w:r>
        <w:rPr>
          <w:rFonts w:hint="cs"/>
          <w:rtl/>
          <w:lang w:val="he-IL"/>
        </w:rPr>
        <w:t>ם לבבך עשית זאת".</w:t>
      </w:r>
      <w:r>
        <w:rPr>
          <w:rStyle w:val="a5"/>
          <w:rtl/>
          <w:lang w:val="he-IL"/>
        </w:rPr>
        <w:footnoteReference w:id="13"/>
      </w:r>
    </w:p>
    <w:p w:rsidR="00F809D6" w:rsidRDefault="00F809D6">
      <w:pPr>
        <w:pStyle w:val="ab"/>
        <w:rPr>
          <w:sz w:val="20"/>
          <w:rtl/>
          <w:lang w:val="he-IL"/>
        </w:rPr>
      </w:pPr>
      <w:r>
        <w:rPr>
          <w:rFonts w:hint="cs"/>
          <w:rtl/>
          <w:lang w:val="he-IL"/>
        </w:rPr>
        <w:lastRenderedPageBreak/>
        <w:t xml:space="preserve">שכל טוב (בובר) בראשית פרק כו </w:t>
      </w:r>
    </w:p>
    <w:p w:rsidR="00F809D6" w:rsidRDefault="00F809D6">
      <w:pPr>
        <w:pStyle w:val="ac"/>
        <w:rPr>
          <w:rFonts w:hint="cs"/>
          <w:sz w:val="20"/>
          <w:rtl/>
          <w:lang w:val="he-IL"/>
        </w:rPr>
      </w:pPr>
      <w:r>
        <w:rPr>
          <w:rFonts w:hint="cs"/>
          <w:rtl/>
          <w:lang w:val="he-IL"/>
        </w:rPr>
        <w:t xml:space="preserve">"ויקרא אבימלך ליצחק ויאמר אך הנה אשתך היא". "אך" - לשון מיעוט, כלומר מיעטת עצמך מדוברי אמת. "הנה" </w:t>
      </w:r>
      <w:r>
        <w:rPr>
          <w:rtl/>
          <w:lang w:val="he-IL"/>
        </w:rPr>
        <w:t>–</w:t>
      </w:r>
      <w:r>
        <w:rPr>
          <w:rFonts w:hint="cs"/>
          <w:rtl/>
          <w:lang w:val="he-IL"/>
        </w:rPr>
        <w:t xml:space="preserve"> כלומר, הנה נמצא מתוך מעשיך שאשתך היא "ואיך אמרת אחותי היא"?</w:t>
      </w:r>
      <w:r>
        <w:rPr>
          <w:rStyle w:val="a5"/>
          <w:rtl/>
          <w:lang w:val="he-IL"/>
        </w:rPr>
        <w:footnoteReference w:id="14"/>
      </w:r>
      <w:r>
        <w:rPr>
          <w:rFonts w:hint="cs"/>
          <w:rtl/>
          <w:lang w:val="he-IL"/>
        </w:rPr>
        <w:t xml:space="preserve">  </w:t>
      </w:r>
    </w:p>
    <w:p w:rsidR="00300551" w:rsidRDefault="00300551" w:rsidP="00300551">
      <w:pPr>
        <w:pStyle w:val="ab"/>
        <w:rPr>
          <w:rtl/>
          <w:lang w:eastAsia="en-US"/>
        </w:rPr>
      </w:pPr>
      <w:r>
        <w:rPr>
          <w:rtl/>
          <w:lang w:eastAsia="en-US"/>
        </w:rPr>
        <w:t xml:space="preserve">רד"ק בראשית פרק טז </w:t>
      </w:r>
      <w:r>
        <w:rPr>
          <w:rFonts w:hint="cs"/>
          <w:rtl/>
          <w:lang w:eastAsia="en-US"/>
        </w:rPr>
        <w:t>פסוק ו</w:t>
      </w:r>
    </w:p>
    <w:p w:rsidR="00300551" w:rsidRDefault="00300551" w:rsidP="00300551">
      <w:pPr>
        <w:pStyle w:val="ac"/>
        <w:rPr>
          <w:rFonts w:hint="cs"/>
          <w:rtl/>
          <w:lang w:eastAsia="en-US"/>
        </w:rPr>
      </w:pPr>
      <w:r>
        <w:rPr>
          <w:rtl/>
          <w:lang w:eastAsia="en-US"/>
        </w:rPr>
        <w:t>ותענה שרי - עשתה עמה יותר מדאי ועבדה בה בפרך, אפשר שהיתה מכה אותה ומקללת אותה ולא היתה יכולה לסבול וברחה מפניה. ולא נהגה שרה בזה למדת מוסר ולא למדת חסידות</w:t>
      </w:r>
      <w:r>
        <w:rPr>
          <w:rFonts w:hint="cs"/>
          <w:rtl/>
          <w:lang w:eastAsia="en-US"/>
        </w:rPr>
        <w:t>.</w:t>
      </w:r>
      <w:r>
        <w:rPr>
          <w:rtl/>
          <w:lang w:eastAsia="en-US"/>
        </w:rPr>
        <w:t xml:space="preserve"> לא מוסר</w:t>
      </w:r>
      <w:r>
        <w:rPr>
          <w:rFonts w:hint="cs"/>
          <w:rtl/>
          <w:lang w:eastAsia="en-US"/>
        </w:rPr>
        <w:t>,</w:t>
      </w:r>
      <w:r>
        <w:rPr>
          <w:rtl/>
          <w:lang w:eastAsia="en-US"/>
        </w:rPr>
        <w:t xml:space="preserve"> כי אף על פי שאברהם מוחל לה על כבודו, ואמר לה "עשי לה הטוב בעיניך"</w:t>
      </w:r>
      <w:r>
        <w:rPr>
          <w:rFonts w:hint="cs"/>
          <w:rtl/>
          <w:lang w:eastAsia="en-US"/>
        </w:rPr>
        <w:t>,</w:t>
      </w:r>
      <w:r>
        <w:rPr>
          <w:rtl/>
          <w:lang w:eastAsia="en-US"/>
        </w:rPr>
        <w:t xml:space="preserve"> היה ראוי לה למשוך את ידה לכבודו ולא לענותה</w:t>
      </w:r>
      <w:r>
        <w:rPr>
          <w:rFonts w:hint="cs"/>
          <w:rtl/>
          <w:lang w:eastAsia="en-US"/>
        </w:rPr>
        <w:t>.</w:t>
      </w:r>
      <w:r>
        <w:rPr>
          <w:rtl/>
          <w:lang w:eastAsia="en-US"/>
        </w:rPr>
        <w:t xml:space="preserve"> ולא מדת חסידות ונפש טובה</w:t>
      </w:r>
      <w:r>
        <w:rPr>
          <w:rFonts w:hint="cs"/>
          <w:rtl/>
          <w:lang w:eastAsia="en-US"/>
        </w:rPr>
        <w:t>,</w:t>
      </w:r>
      <w:r>
        <w:rPr>
          <w:rtl/>
          <w:lang w:eastAsia="en-US"/>
        </w:rPr>
        <w:t xml:space="preserve"> כי אין ראויה לאדם לעשות כל יכ</w:t>
      </w:r>
      <w:r>
        <w:rPr>
          <w:rFonts w:hint="cs"/>
          <w:rtl/>
          <w:lang w:eastAsia="en-US"/>
        </w:rPr>
        <w:t>ו</w:t>
      </w:r>
      <w:r>
        <w:rPr>
          <w:rtl/>
          <w:lang w:eastAsia="en-US"/>
        </w:rPr>
        <w:t>לתו במה שתחת ידו</w:t>
      </w:r>
      <w:r>
        <w:rPr>
          <w:rFonts w:hint="cs"/>
          <w:rtl/>
          <w:lang w:eastAsia="en-US"/>
        </w:rPr>
        <w:t>.</w:t>
      </w:r>
      <w:r>
        <w:rPr>
          <w:rStyle w:val="a5"/>
          <w:rtl/>
          <w:lang w:eastAsia="en-US"/>
        </w:rPr>
        <w:footnoteReference w:id="15"/>
      </w:r>
      <w:r>
        <w:rPr>
          <w:rtl/>
          <w:lang w:eastAsia="en-US"/>
        </w:rPr>
        <w:t xml:space="preserve"> ואמר החכם מה נאוה המחילה בעת היכולת</w:t>
      </w:r>
      <w:r>
        <w:rPr>
          <w:rFonts w:hint="cs"/>
          <w:rtl/>
          <w:lang w:eastAsia="en-US"/>
        </w:rPr>
        <w:t>.</w:t>
      </w:r>
      <w:r>
        <w:rPr>
          <w:rtl/>
          <w:lang w:eastAsia="en-US"/>
        </w:rPr>
        <w:t xml:space="preserve"> ומה שעשתה שרי לא היה טוב בעיני האל, כמו שאמר המלאך אל הגר "כי שמע ה' אל עניך" והשיב לה ברכה תחת עניה. ואברם לא מנע שרי מלענותה, אף על פי שהיה רע בעיניו, משום שלום בית. וכן זה הספור נכתוב בתורה לקנות אדם ממנו המדות טובות ולהרחיק הרעות</w:t>
      </w:r>
      <w:r>
        <w:rPr>
          <w:rFonts w:hint="cs"/>
          <w:rtl/>
          <w:lang w:eastAsia="en-US"/>
        </w:rPr>
        <w:t>.</w:t>
      </w:r>
      <w:r w:rsidR="00E72EF4">
        <w:rPr>
          <w:rStyle w:val="a5"/>
          <w:rtl/>
          <w:lang w:eastAsia="en-US"/>
        </w:rPr>
        <w:footnoteReference w:id="16"/>
      </w:r>
    </w:p>
    <w:p w:rsidR="00B86C20" w:rsidRPr="000F30FD" w:rsidRDefault="00B86C20" w:rsidP="00B86C20">
      <w:pPr>
        <w:pStyle w:val="ab"/>
        <w:rPr>
          <w:rtl/>
          <w:lang w:eastAsia="en-US"/>
        </w:rPr>
      </w:pPr>
      <w:r w:rsidRPr="000F30FD">
        <w:rPr>
          <w:rFonts w:hint="eastAsia"/>
          <w:rtl/>
          <w:lang w:eastAsia="en-US"/>
        </w:rPr>
        <w:t>רמב</w:t>
      </w:r>
      <w:r w:rsidRPr="000F30FD">
        <w:rPr>
          <w:rtl/>
          <w:lang w:eastAsia="en-US"/>
        </w:rPr>
        <w:t>"</w:t>
      </w:r>
      <w:r w:rsidRPr="000F30FD">
        <w:rPr>
          <w:rFonts w:hint="eastAsia"/>
          <w:rtl/>
          <w:lang w:eastAsia="en-US"/>
        </w:rPr>
        <w:t>ן</w:t>
      </w:r>
      <w:r w:rsidRPr="000F30FD">
        <w:rPr>
          <w:rtl/>
          <w:lang w:eastAsia="en-US"/>
        </w:rPr>
        <w:t xml:space="preserve"> </w:t>
      </w:r>
      <w:r w:rsidRPr="000F30FD">
        <w:rPr>
          <w:rFonts w:hint="eastAsia"/>
          <w:rtl/>
          <w:lang w:eastAsia="en-US"/>
        </w:rPr>
        <w:t>בראשית</w:t>
      </w:r>
      <w:r w:rsidRPr="000F30FD">
        <w:rPr>
          <w:rtl/>
          <w:lang w:eastAsia="en-US"/>
        </w:rPr>
        <w:t xml:space="preserve"> </w:t>
      </w:r>
      <w:r w:rsidRPr="000F30FD">
        <w:rPr>
          <w:rFonts w:hint="eastAsia"/>
          <w:rtl/>
          <w:lang w:eastAsia="en-US"/>
        </w:rPr>
        <w:t>פרק</w:t>
      </w:r>
      <w:r w:rsidRPr="000F30FD">
        <w:rPr>
          <w:rtl/>
          <w:lang w:eastAsia="en-US"/>
        </w:rPr>
        <w:t xml:space="preserve"> </w:t>
      </w:r>
      <w:r w:rsidRPr="000F30FD">
        <w:rPr>
          <w:rFonts w:hint="eastAsia"/>
          <w:rtl/>
          <w:lang w:eastAsia="en-US"/>
        </w:rPr>
        <w:t>מב</w:t>
      </w:r>
      <w:r w:rsidRPr="000F30FD">
        <w:rPr>
          <w:rtl/>
          <w:lang w:eastAsia="en-US"/>
        </w:rPr>
        <w:t xml:space="preserve"> </w:t>
      </w:r>
      <w:r w:rsidRPr="000F30FD">
        <w:rPr>
          <w:rFonts w:hint="eastAsia"/>
          <w:rtl/>
          <w:lang w:eastAsia="en-US"/>
        </w:rPr>
        <w:t>פסוק</w:t>
      </w:r>
      <w:r w:rsidRPr="000F30FD">
        <w:rPr>
          <w:rtl/>
          <w:lang w:eastAsia="en-US"/>
        </w:rPr>
        <w:t xml:space="preserve"> </w:t>
      </w:r>
      <w:r w:rsidRPr="000F30FD">
        <w:rPr>
          <w:rFonts w:hint="eastAsia"/>
          <w:rtl/>
          <w:lang w:eastAsia="en-US"/>
        </w:rPr>
        <w:t>כא</w:t>
      </w:r>
      <w:r w:rsidRPr="00B86C20">
        <w:rPr>
          <w:rFonts w:hint="cs"/>
          <w:rtl/>
          <w:lang w:val="he-IL"/>
        </w:rPr>
        <w:t xml:space="preserve"> </w:t>
      </w:r>
      <w:r>
        <w:rPr>
          <w:rFonts w:hint="cs"/>
          <w:rtl/>
          <w:lang w:val="he-IL"/>
        </w:rPr>
        <w:t>- אבל אשמים אנחנו</w:t>
      </w:r>
    </w:p>
    <w:p w:rsidR="00B86C20" w:rsidRDefault="00B86C20" w:rsidP="00B86C20">
      <w:pPr>
        <w:pStyle w:val="ac"/>
        <w:rPr>
          <w:rFonts w:hint="cs"/>
          <w:rtl/>
          <w:lang w:eastAsia="en-US"/>
        </w:rPr>
      </w:pPr>
      <w:r w:rsidRPr="000F30FD">
        <w:rPr>
          <w:rFonts w:hint="eastAsia"/>
          <w:rtl/>
          <w:lang w:eastAsia="en-US"/>
        </w:rPr>
        <w:t>אשר</w:t>
      </w:r>
      <w:r w:rsidRPr="000F30FD">
        <w:rPr>
          <w:rtl/>
          <w:lang w:eastAsia="en-US"/>
        </w:rPr>
        <w:t xml:space="preserve"> </w:t>
      </w:r>
      <w:r w:rsidRPr="000F30FD">
        <w:rPr>
          <w:rFonts w:hint="eastAsia"/>
          <w:rtl/>
          <w:lang w:eastAsia="en-US"/>
        </w:rPr>
        <w:t>ראינו</w:t>
      </w:r>
      <w:r w:rsidRPr="000F30FD">
        <w:rPr>
          <w:rtl/>
          <w:lang w:eastAsia="en-US"/>
        </w:rPr>
        <w:t xml:space="preserve"> </w:t>
      </w:r>
      <w:r w:rsidRPr="000F30FD">
        <w:rPr>
          <w:rFonts w:hint="eastAsia"/>
          <w:rtl/>
          <w:lang w:eastAsia="en-US"/>
        </w:rPr>
        <w:t>צרת</w:t>
      </w:r>
      <w:r w:rsidRPr="000F30FD">
        <w:rPr>
          <w:rtl/>
          <w:lang w:eastAsia="en-US"/>
        </w:rPr>
        <w:t xml:space="preserve"> </w:t>
      </w:r>
      <w:r w:rsidRPr="000F30FD">
        <w:rPr>
          <w:rFonts w:hint="eastAsia"/>
          <w:rtl/>
          <w:lang w:eastAsia="en-US"/>
        </w:rPr>
        <w:t>נפשו</w:t>
      </w:r>
      <w:r w:rsidRPr="000F30FD">
        <w:rPr>
          <w:rtl/>
          <w:lang w:eastAsia="en-US"/>
        </w:rPr>
        <w:t xml:space="preserve"> </w:t>
      </w:r>
      <w:r w:rsidRPr="000F30FD">
        <w:rPr>
          <w:rFonts w:hint="eastAsia"/>
          <w:rtl/>
          <w:lang w:eastAsia="en-US"/>
        </w:rPr>
        <w:t>בהתחננו</w:t>
      </w:r>
      <w:r w:rsidRPr="000F30FD">
        <w:rPr>
          <w:rtl/>
          <w:lang w:eastAsia="en-US"/>
        </w:rPr>
        <w:t xml:space="preserve"> </w:t>
      </w:r>
      <w:r w:rsidRPr="000F30FD">
        <w:rPr>
          <w:rFonts w:hint="eastAsia"/>
          <w:rtl/>
          <w:lang w:eastAsia="en-US"/>
        </w:rPr>
        <w:t>אלינו</w:t>
      </w:r>
      <w:r w:rsidRPr="000F30FD">
        <w:rPr>
          <w:rtl/>
          <w:lang w:eastAsia="en-US"/>
        </w:rPr>
        <w:t xml:space="preserve"> - </w:t>
      </w:r>
      <w:r w:rsidRPr="000F30FD">
        <w:rPr>
          <w:rFonts w:hint="eastAsia"/>
          <w:rtl/>
          <w:lang w:eastAsia="en-US"/>
        </w:rPr>
        <w:t>חשבו</w:t>
      </w:r>
      <w:r w:rsidRPr="000F30FD">
        <w:rPr>
          <w:rtl/>
          <w:lang w:eastAsia="en-US"/>
        </w:rPr>
        <w:t xml:space="preserve"> </w:t>
      </w:r>
      <w:r w:rsidRPr="000F30FD">
        <w:rPr>
          <w:rFonts w:hint="eastAsia"/>
          <w:rtl/>
          <w:lang w:eastAsia="en-US"/>
        </w:rPr>
        <w:t>להם</w:t>
      </w:r>
      <w:r w:rsidRPr="000F30FD">
        <w:rPr>
          <w:rtl/>
          <w:lang w:eastAsia="en-US"/>
        </w:rPr>
        <w:t xml:space="preserve"> </w:t>
      </w:r>
      <w:r w:rsidRPr="000F30FD">
        <w:rPr>
          <w:rFonts w:hint="eastAsia"/>
          <w:rtl/>
          <w:lang w:eastAsia="en-US"/>
        </w:rPr>
        <w:t>האכזריות</w:t>
      </w:r>
      <w:r w:rsidRPr="000F30FD">
        <w:rPr>
          <w:rtl/>
          <w:lang w:eastAsia="en-US"/>
        </w:rPr>
        <w:t xml:space="preserve"> </w:t>
      </w:r>
      <w:r w:rsidRPr="000F30FD">
        <w:rPr>
          <w:rFonts w:hint="eastAsia"/>
          <w:rtl/>
          <w:lang w:eastAsia="en-US"/>
        </w:rPr>
        <w:t>לעונש</w:t>
      </w:r>
      <w:r w:rsidRPr="000F30FD">
        <w:rPr>
          <w:rtl/>
          <w:lang w:eastAsia="en-US"/>
        </w:rPr>
        <w:t xml:space="preserve"> </w:t>
      </w:r>
      <w:r w:rsidRPr="000F30FD">
        <w:rPr>
          <w:rFonts w:hint="eastAsia"/>
          <w:rtl/>
          <w:lang w:eastAsia="en-US"/>
        </w:rPr>
        <w:t>גדול</w:t>
      </w:r>
      <w:r w:rsidRPr="000F30FD">
        <w:rPr>
          <w:rtl/>
          <w:lang w:eastAsia="en-US"/>
        </w:rPr>
        <w:t xml:space="preserve"> </w:t>
      </w:r>
      <w:r w:rsidRPr="000F30FD">
        <w:rPr>
          <w:rFonts w:hint="eastAsia"/>
          <w:rtl/>
          <w:lang w:eastAsia="en-US"/>
        </w:rPr>
        <w:t>יותר</w:t>
      </w:r>
      <w:r w:rsidRPr="000F30FD">
        <w:rPr>
          <w:rtl/>
          <w:lang w:eastAsia="en-US"/>
        </w:rPr>
        <w:t xml:space="preserve"> </w:t>
      </w:r>
      <w:r w:rsidRPr="000F30FD">
        <w:rPr>
          <w:rFonts w:hint="eastAsia"/>
          <w:rtl/>
          <w:lang w:eastAsia="en-US"/>
        </w:rPr>
        <w:t>מן</w:t>
      </w:r>
      <w:r w:rsidRPr="000F30FD">
        <w:rPr>
          <w:rtl/>
          <w:lang w:eastAsia="en-US"/>
        </w:rPr>
        <w:t xml:space="preserve"> </w:t>
      </w:r>
      <w:r w:rsidRPr="000F30FD">
        <w:rPr>
          <w:rFonts w:hint="eastAsia"/>
          <w:rtl/>
          <w:lang w:eastAsia="en-US"/>
        </w:rPr>
        <w:t>המכירה</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היה</w:t>
      </w:r>
      <w:r w:rsidRPr="000F30FD">
        <w:rPr>
          <w:rtl/>
          <w:lang w:eastAsia="en-US"/>
        </w:rPr>
        <w:t xml:space="preserve"> </w:t>
      </w:r>
      <w:r w:rsidRPr="000F30FD">
        <w:rPr>
          <w:rFonts w:hint="eastAsia"/>
          <w:rtl/>
          <w:lang w:eastAsia="en-US"/>
        </w:rPr>
        <w:t>אחיהם</w:t>
      </w:r>
      <w:r w:rsidRPr="000F30FD">
        <w:rPr>
          <w:rtl/>
          <w:lang w:eastAsia="en-US"/>
        </w:rPr>
        <w:t xml:space="preserve"> </w:t>
      </w:r>
      <w:r w:rsidRPr="000F30FD">
        <w:rPr>
          <w:rFonts w:hint="eastAsia"/>
          <w:rtl/>
          <w:lang w:eastAsia="en-US"/>
        </w:rPr>
        <w:t>בשרם</w:t>
      </w:r>
      <w:r w:rsidRPr="000F30FD">
        <w:rPr>
          <w:rtl/>
          <w:lang w:eastAsia="en-US"/>
        </w:rPr>
        <w:t xml:space="preserve"> </w:t>
      </w:r>
      <w:r w:rsidRPr="000F30FD">
        <w:rPr>
          <w:rFonts w:hint="eastAsia"/>
          <w:rtl/>
          <w:lang w:eastAsia="en-US"/>
        </w:rPr>
        <w:t>מתחנן</w:t>
      </w:r>
      <w:r w:rsidRPr="000F30FD">
        <w:rPr>
          <w:rtl/>
          <w:lang w:eastAsia="en-US"/>
        </w:rPr>
        <w:t xml:space="preserve"> </w:t>
      </w:r>
      <w:r w:rsidRPr="000F30FD">
        <w:rPr>
          <w:rFonts w:hint="eastAsia"/>
          <w:rtl/>
          <w:lang w:eastAsia="en-US"/>
        </w:rPr>
        <w:t>ומתנפל</w:t>
      </w:r>
      <w:r w:rsidRPr="000F30FD">
        <w:rPr>
          <w:rtl/>
          <w:lang w:eastAsia="en-US"/>
        </w:rPr>
        <w:t xml:space="preserve"> </w:t>
      </w:r>
      <w:r w:rsidRPr="000F30FD">
        <w:rPr>
          <w:rFonts w:hint="eastAsia"/>
          <w:rtl/>
          <w:lang w:eastAsia="en-US"/>
        </w:rPr>
        <w:t>לפניהם</w:t>
      </w:r>
      <w:r w:rsidRPr="000F30FD">
        <w:rPr>
          <w:rtl/>
          <w:lang w:eastAsia="en-US"/>
        </w:rPr>
        <w:t xml:space="preserve"> </w:t>
      </w:r>
      <w:r w:rsidRPr="000F30FD">
        <w:rPr>
          <w:rFonts w:hint="eastAsia"/>
          <w:rtl/>
          <w:lang w:eastAsia="en-US"/>
        </w:rPr>
        <w:t>ולא</w:t>
      </w:r>
      <w:r w:rsidRPr="000F30FD">
        <w:rPr>
          <w:rtl/>
          <w:lang w:eastAsia="en-US"/>
        </w:rPr>
        <w:t xml:space="preserve"> </w:t>
      </w:r>
      <w:r w:rsidRPr="000F30FD">
        <w:rPr>
          <w:rFonts w:hint="eastAsia"/>
          <w:rtl/>
          <w:lang w:eastAsia="en-US"/>
        </w:rPr>
        <w:t>ירחמו</w:t>
      </w:r>
      <w:r w:rsidRPr="000F30FD">
        <w:rPr>
          <w:rFonts w:hint="cs"/>
          <w:rtl/>
          <w:lang w:eastAsia="en-US"/>
        </w:rPr>
        <w:t>.</w:t>
      </w:r>
      <w:r w:rsidRPr="000F30FD">
        <w:rPr>
          <w:rtl/>
          <w:lang w:eastAsia="en-US"/>
        </w:rPr>
        <w:t xml:space="preserve"> </w:t>
      </w:r>
      <w:r w:rsidRPr="000F30FD">
        <w:rPr>
          <w:rFonts w:hint="eastAsia"/>
          <w:rtl/>
          <w:lang w:eastAsia="en-US"/>
        </w:rPr>
        <w:t>והכתוב</w:t>
      </w:r>
      <w:r w:rsidRPr="000F30FD">
        <w:rPr>
          <w:rtl/>
          <w:lang w:eastAsia="en-US"/>
        </w:rPr>
        <w:t xml:space="preserve"> </w:t>
      </w:r>
      <w:r w:rsidRPr="000F30FD">
        <w:rPr>
          <w:rFonts w:hint="eastAsia"/>
          <w:rtl/>
          <w:lang w:eastAsia="en-US"/>
        </w:rPr>
        <w:t>לא</w:t>
      </w:r>
      <w:r w:rsidRPr="000F30FD">
        <w:rPr>
          <w:rtl/>
          <w:lang w:eastAsia="en-US"/>
        </w:rPr>
        <w:t xml:space="preserve"> </w:t>
      </w:r>
      <w:r w:rsidRPr="000F30FD">
        <w:rPr>
          <w:rFonts w:hint="eastAsia"/>
          <w:rtl/>
          <w:lang w:eastAsia="en-US"/>
        </w:rPr>
        <w:t>סיפר</w:t>
      </w:r>
      <w:r w:rsidRPr="000F30FD">
        <w:rPr>
          <w:rtl/>
          <w:lang w:eastAsia="en-US"/>
        </w:rPr>
        <w:t xml:space="preserve"> </w:t>
      </w:r>
      <w:r w:rsidRPr="000F30FD">
        <w:rPr>
          <w:rFonts w:hint="eastAsia"/>
          <w:rtl/>
          <w:lang w:eastAsia="en-US"/>
        </w:rPr>
        <w:t>זה</w:t>
      </w:r>
      <w:r w:rsidRPr="000F30FD">
        <w:rPr>
          <w:rtl/>
          <w:lang w:eastAsia="en-US"/>
        </w:rPr>
        <w:t xml:space="preserve"> </w:t>
      </w:r>
      <w:r w:rsidRPr="000F30FD">
        <w:rPr>
          <w:rFonts w:hint="eastAsia"/>
          <w:rtl/>
          <w:lang w:eastAsia="en-US"/>
        </w:rPr>
        <w:t>שם</w:t>
      </w:r>
      <w:r w:rsidRPr="000F30FD">
        <w:rPr>
          <w:rtl/>
          <w:lang w:eastAsia="en-US"/>
        </w:rPr>
        <w:t xml:space="preserve">, </w:t>
      </w:r>
      <w:r w:rsidRPr="000F30FD">
        <w:rPr>
          <w:rFonts w:hint="eastAsia"/>
          <w:rtl/>
          <w:lang w:eastAsia="en-US"/>
        </w:rPr>
        <w:t>או</w:t>
      </w:r>
      <w:r w:rsidRPr="000F30FD">
        <w:rPr>
          <w:rtl/>
          <w:lang w:eastAsia="en-US"/>
        </w:rPr>
        <w:t xml:space="preserve"> </w:t>
      </w:r>
      <w:r w:rsidRPr="000F30FD">
        <w:rPr>
          <w:rFonts w:hint="eastAsia"/>
          <w:rtl/>
          <w:lang w:eastAsia="en-US"/>
        </w:rPr>
        <w:t>מפני</w:t>
      </w:r>
      <w:r w:rsidRPr="000F30FD">
        <w:rPr>
          <w:rtl/>
          <w:lang w:eastAsia="en-US"/>
        </w:rPr>
        <w:t xml:space="preserve"> </w:t>
      </w:r>
      <w:r w:rsidRPr="000F30FD">
        <w:rPr>
          <w:rFonts w:hint="eastAsia"/>
          <w:rtl/>
          <w:lang w:eastAsia="en-US"/>
        </w:rPr>
        <w:t>שהדבר</w:t>
      </w:r>
      <w:r w:rsidRPr="000F30FD">
        <w:rPr>
          <w:rtl/>
          <w:lang w:eastAsia="en-US"/>
        </w:rPr>
        <w:t xml:space="preserve"> </w:t>
      </w:r>
      <w:r w:rsidRPr="000F30FD">
        <w:rPr>
          <w:rFonts w:hint="eastAsia"/>
          <w:rtl/>
          <w:lang w:eastAsia="en-US"/>
        </w:rPr>
        <w:t>ידוע</w:t>
      </w:r>
      <w:r w:rsidRPr="000F30FD">
        <w:rPr>
          <w:rtl/>
          <w:lang w:eastAsia="en-US"/>
        </w:rPr>
        <w:t xml:space="preserve"> </w:t>
      </w:r>
      <w:r w:rsidRPr="000F30FD">
        <w:rPr>
          <w:rFonts w:hint="eastAsia"/>
          <w:rtl/>
          <w:lang w:eastAsia="en-US"/>
        </w:rPr>
        <w:t>בטבע</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יתחנן</w:t>
      </w:r>
      <w:r w:rsidRPr="000F30FD">
        <w:rPr>
          <w:rtl/>
          <w:lang w:eastAsia="en-US"/>
        </w:rPr>
        <w:t xml:space="preserve"> </w:t>
      </w:r>
      <w:r w:rsidRPr="000F30FD">
        <w:rPr>
          <w:rFonts w:hint="eastAsia"/>
          <w:rtl/>
          <w:lang w:eastAsia="en-US"/>
        </w:rPr>
        <w:t>אדם</w:t>
      </w:r>
      <w:r w:rsidRPr="000F30FD">
        <w:rPr>
          <w:rtl/>
          <w:lang w:eastAsia="en-US"/>
        </w:rPr>
        <w:t xml:space="preserve"> </w:t>
      </w:r>
      <w:r w:rsidRPr="000F30FD">
        <w:rPr>
          <w:rFonts w:hint="eastAsia"/>
          <w:rtl/>
          <w:lang w:eastAsia="en-US"/>
        </w:rPr>
        <w:t>לאחיו</w:t>
      </w:r>
      <w:r w:rsidRPr="000F30FD">
        <w:rPr>
          <w:rtl/>
          <w:lang w:eastAsia="en-US"/>
        </w:rPr>
        <w:t xml:space="preserve"> </w:t>
      </w:r>
      <w:r w:rsidRPr="000F30FD">
        <w:rPr>
          <w:rFonts w:hint="eastAsia"/>
          <w:rtl/>
          <w:lang w:eastAsia="en-US"/>
        </w:rPr>
        <w:t>בבואו</w:t>
      </w:r>
      <w:r w:rsidRPr="000F30FD">
        <w:rPr>
          <w:rtl/>
          <w:lang w:eastAsia="en-US"/>
        </w:rPr>
        <w:t xml:space="preserve"> </w:t>
      </w:r>
      <w:r w:rsidRPr="000F30FD">
        <w:rPr>
          <w:rFonts w:hint="eastAsia"/>
          <w:rtl/>
          <w:lang w:eastAsia="en-US"/>
        </w:rPr>
        <w:t>לידם</w:t>
      </w:r>
      <w:r w:rsidRPr="000F30FD">
        <w:rPr>
          <w:rtl/>
          <w:lang w:eastAsia="en-US"/>
        </w:rPr>
        <w:t xml:space="preserve"> </w:t>
      </w:r>
      <w:r w:rsidRPr="000F30FD">
        <w:rPr>
          <w:rFonts w:hint="eastAsia"/>
          <w:rtl/>
          <w:lang w:eastAsia="en-US"/>
        </w:rPr>
        <w:t>להרע</w:t>
      </w:r>
      <w:r w:rsidRPr="000F30FD">
        <w:rPr>
          <w:rtl/>
          <w:lang w:eastAsia="en-US"/>
        </w:rPr>
        <w:t xml:space="preserve"> </w:t>
      </w:r>
      <w:r w:rsidRPr="000F30FD">
        <w:rPr>
          <w:rFonts w:hint="eastAsia"/>
          <w:rtl/>
          <w:lang w:eastAsia="en-US"/>
        </w:rPr>
        <w:t>לו</w:t>
      </w:r>
      <w:r w:rsidRPr="000F30FD">
        <w:rPr>
          <w:rtl/>
          <w:lang w:eastAsia="en-US"/>
        </w:rPr>
        <w:t xml:space="preserve"> </w:t>
      </w:r>
      <w:r w:rsidRPr="000F30FD">
        <w:rPr>
          <w:rFonts w:hint="eastAsia"/>
          <w:rtl/>
          <w:lang w:eastAsia="en-US"/>
        </w:rPr>
        <w:t>וישביעם</w:t>
      </w:r>
      <w:r w:rsidRPr="000F30FD">
        <w:rPr>
          <w:rtl/>
          <w:lang w:eastAsia="en-US"/>
        </w:rPr>
        <w:t xml:space="preserve"> </w:t>
      </w:r>
      <w:r w:rsidRPr="000F30FD">
        <w:rPr>
          <w:rFonts w:hint="eastAsia"/>
          <w:rtl/>
          <w:lang w:eastAsia="en-US"/>
        </w:rPr>
        <w:t>בחיי</w:t>
      </w:r>
      <w:r w:rsidRPr="000F30FD">
        <w:rPr>
          <w:rtl/>
          <w:lang w:eastAsia="en-US"/>
        </w:rPr>
        <w:t xml:space="preserve"> </w:t>
      </w:r>
      <w:r w:rsidRPr="000F30FD">
        <w:rPr>
          <w:rFonts w:hint="eastAsia"/>
          <w:rtl/>
          <w:lang w:eastAsia="en-US"/>
        </w:rPr>
        <w:t>אביהם</w:t>
      </w:r>
      <w:r w:rsidRPr="000F30FD">
        <w:rPr>
          <w:rtl/>
          <w:lang w:eastAsia="en-US"/>
        </w:rPr>
        <w:t xml:space="preserve"> </w:t>
      </w:r>
      <w:r w:rsidRPr="000F30FD">
        <w:rPr>
          <w:rFonts w:hint="eastAsia"/>
          <w:rtl/>
          <w:lang w:eastAsia="en-US"/>
        </w:rPr>
        <w:t>ויעשה</w:t>
      </w:r>
      <w:r w:rsidRPr="000F30FD">
        <w:rPr>
          <w:rtl/>
          <w:lang w:eastAsia="en-US"/>
        </w:rPr>
        <w:t xml:space="preserve"> </w:t>
      </w:r>
      <w:r w:rsidRPr="000F30FD">
        <w:rPr>
          <w:rFonts w:hint="eastAsia"/>
          <w:rtl/>
          <w:lang w:eastAsia="en-US"/>
        </w:rPr>
        <w:t>כל</w:t>
      </w:r>
      <w:r w:rsidRPr="000F30FD">
        <w:rPr>
          <w:rtl/>
          <w:lang w:eastAsia="en-US"/>
        </w:rPr>
        <w:t xml:space="preserve"> </w:t>
      </w:r>
      <w:r w:rsidRPr="000F30FD">
        <w:rPr>
          <w:rFonts w:hint="eastAsia"/>
          <w:rtl/>
          <w:lang w:eastAsia="en-US"/>
        </w:rPr>
        <w:t>אשר</w:t>
      </w:r>
      <w:r w:rsidRPr="000F30FD">
        <w:rPr>
          <w:rtl/>
          <w:lang w:eastAsia="en-US"/>
        </w:rPr>
        <w:t xml:space="preserve"> </w:t>
      </w:r>
      <w:r w:rsidRPr="000F30FD">
        <w:rPr>
          <w:rFonts w:hint="eastAsia"/>
          <w:rtl/>
          <w:lang w:eastAsia="en-US"/>
        </w:rPr>
        <w:t>יוכל</w:t>
      </w:r>
      <w:r w:rsidRPr="000F30FD">
        <w:rPr>
          <w:rtl/>
          <w:lang w:eastAsia="en-US"/>
        </w:rPr>
        <w:t xml:space="preserve"> </w:t>
      </w:r>
      <w:r w:rsidRPr="000F30FD">
        <w:rPr>
          <w:rFonts w:hint="eastAsia"/>
          <w:rtl/>
          <w:lang w:eastAsia="en-US"/>
        </w:rPr>
        <w:t>להציל</w:t>
      </w:r>
      <w:r w:rsidRPr="000F30FD">
        <w:rPr>
          <w:rtl/>
          <w:lang w:eastAsia="en-US"/>
        </w:rPr>
        <w:t xml:space="preserve"> </w:t>
      </w:r>
      <w:r w:rsidRPr="000F30FD">
        <w:rPr>
          <w:rFonts w:hint="eastAsia"/>
          <w:rtl/>
          <w:lang w:eastAsia="en-US"/>
        </w:rPr>
        <w:t>נפשו</w:t>
      </w:r>
      <w:r w:rsidRPr="000F30FD">
        <w:rPr>
          <w:rtl/>
          <w:lang w:eastAsia="en-US"/>
        </w:rPr>
        <w:t xml:space="preserve"> </w:t>
      </w:r>
      <w:r w:rsidRPr="000F30FD">
        <w:rPr>
          <w:rFonts w:hint="eastAsia"/>
          <w:rtl/>
          <w:lang w:eastAsia="en-US"/>
        </w:rPr>
        <w:t>ממות</w:t>
      </w:r>
      <w:r w:rsidRPr="000F30FD">
        <w:rPr>
          <w:rtl/>
          <w:lang w:eastAsia="en-US"/>
        </w:rPr>
        <w:t xml:space="preserve">, </w:t>
      </w:r>
      <w:r w:rsidRPr="000F30FD">
        <w:rPr>
          <w:rFonts w:hint="eastAsia"/>
          <w:rtl/>
          <w:lang w:eastAsia="en-US"/>
        </w:rPr>
        <w:t>או</w:t>
      </w:r>
      <w:r w:rsidRPr="000F30FD">
        <w:rPr>
          <w:rtl/>
          <w:lang w:eastAsia="en-US"/>
        </w:rPr>
        <w:t xml:space="preserve"> </w:t>
      </w:r>
      <w:r w:rsidRPr="000F30FD">
        <w:rPr>
          <w:rFonts w:hint="eastAsia"/>
          <w:rtl/>
          <w:lang w:eastAsia="en-US"/>
        </w:rPr>
        <w:t>שירצה</w:t>
      </w:r>
      <w:r w:rsidRPr="000F30FD">
        <w:rPr>
          <w:rtl/>
          <w:lang w:eastAsia="en-US"/>
        </w:rPr>
        <w:t xml:space="preserve"> </w:t>
      </w:r>
      <w:r w:rsidRPr="000F30FD">
        <w:rPr>
          <w:rFonts w:hint="eastAsia"/>
          <w:rtl/>
          <w:lang w:eastAsia="en-US"/>
        </w:rPr>
        <w:t>הכתוב</w:t>
      </w:r>
      <w:r w:rsidRPr="000F30FD">
        <w:rPr>
          <w:rtl/>
          <w:lang w:eastAsia="en-US"/>
        </w:rPr>
        <w:t xml:space="preserve"> </w:t>
      </w:r>
      <w:r w:rsidRPr="000F30FD">
        <w:rPr>
          <w:rFonts w:hint="eastAsia"/>
          <w:rtl/>
          <w:lang w:eastAsia="en-US"/>
        </w:rPr>
        <w:t>לקצר</w:t>
      </w:r>
      <w:r w:rsidRPr="000F30FD">
        <w:rPr>
          <w:rtl/>
          <w:lang w:eastAsia="en-US"/>
        </w:rPr>
        <w:t xml:space="preserve"> </w:t>
      </w:r>
      <w:r w:rsidRPr="000F30FD">
        <w:rPr>
          <w:rFonts w:hint="eastAsia"/>
          <w:rtl/>
          <w:lang w:eastAsia="en-US"/>
        </w:rPr>
        <w:t>בסורחנם</w:t>
      </w:r>
      <w:r w:rsidRPr="000F30FD">
        <w:rPr>
          <w:rFonts w:hint="cs"/>
          <w:rtl/>
          <w:lang w:eastAsia="en-US"/>
        </w:rPr>
        <w:t>.</w:t>
      </w:r>
      <w:r w:rsidRPr="000F30FD">
        <w:rPr>
          <w:rtl/>
          <w:lang w:eastAsia="en-US"/>
        </w:rPr>
        <w:t xml:space="preserve"> </w:t>
      </w:r>
      <w:r w:rsidRPr="000F30FD">
        <w:rPr>
          <w:rFonts w:hint="eastAsia"/>
          <w:rtl/>
          <w:lang w:eastAsia="en-US"/>
        </w:rPr>
        <w:t>או</w:t>
      </w:r>
      <w:r w:rsidRPr="000F30FD">
        <w:rPr>
          <w:rtl/>
          <w:lang w:eastAsia="en-US"/>
        </w:rPr>
        <w:t xml:space="preserve"> </w:t>
      </w:r>
      <w:r w:rsidRPr="000F30FD">
        <w:rPr>
          <w:rFonts w:hint="eastAsia"/>
          <w:rtl/>
          <w:lang w:eastAsia="en-US"/>
        </w:rPr>
        <w:t>מדרך</w:t>
      </w:r>
      <w:r w:rsidRPr="000F30FD">
        <w:rPr>
          <w:rtl/>
          <w:lang w:eastAsia="en-US"/>
        </w:rPr>
        <w:t xml:space="preserve"> </w:t>
      </w:r>
      <w:r w:rsidRPr="000F30FD">
        <w:rPr>
          <w:rFonts w:hint="eastAsia"/>
          <w:rtl/>
          <w:lang w:eastAsia="en-US"/>
        </w:rPr>
        <w:t>הכתובים</w:t>
      </w:r>
      <w:r w:rsidRPr="000F30FD">
        <w:rPr>
          <w:rtl/>
          <w:lang w:eastAsia="en-US"/>
        </w:rPr>
        <w:t xml:space="preserve"> </w:t>
      </w:r>
      <w:r w:rsidRPr="000F30FD">
        <w:rPr>
          <w:rFonts w:hint="eastAsia"/>
          <w:rtl/>
          <w:lang w:eastAsia="en-US"/>
        </w:rPr>
        <w:t>שמקצרים</w:t>
      </w:r>
      <w:r w:rsidRPr="000F30FD">
        <w:rPr>
          <w:rtl/>
          <w:lang w:eastAsia="en-US"/>
        </w:rPr>
        <w:t xml:space="preserve"> </w:t>
      </w:r>
      <w:r w:rsidRPr="000F30FD">
        <w:rPr>
          <w:rFonts w:hint="eastAsia"/>
          <w:rtl/>
          <w:lang w:eastAsia="en-US"/>
        </w:rPr>
        <w:t>במקום</w:t>
      </w:r>
      <w:r w:rsidRPr="000F30FD">
        <w:rPr>
          <w:rtl/>
          <w:lang w:eastAsia="en-US"/>
        </w:rPr>
        <w:t xml:space="preserve"> </w:t>
      </w:r>
      <w:r w:rsidRPr="000F30FD">
        <w:rPr>
          <w:rFonts w:hint="eastAsia"/>
          <w:rtl/>
          <w:lang w:eastAsia="en-US"/>
        </w:rPr>
        <w:t>אחד</w:t>
      </w:r>
      <w:r w:rsidRPr="000F30FD">
        <w:rPr>
          <w:rtl/>
          <w:lang w:eastAsia="en-US"/>
        </w:rPr>
        <w:t xml:space="preserve"> </w:t>
      </w:r>
      <w:r w:rsidRPr="000F30FD">
        <w:rPr>
          <w:rFonts w:hint="eastAsia"/>
          <w:rtl/>
          <w:lang w:eastAsia="en-US"/>
        </w:rPr>
        <w:t>ומאריכים</w:t>
      </w:r>
      <w:r w:rsidRPr="000F30FD">
        <w:rPr>
          <w:rtl/>
          <w:lang w:eastAsia="en-US"/>
        </w:rPr>
        <w:t xml:space="preserve"> </w:t>
      </w:r>
      <w:r w:rsidRPr="000F30FD">
        <w:rPr>
          <w:rFonts w:hint="eastAsia"/>
          <w:rtl/>
          <w:lang w:eastAsia="en-US"/>
        </w:rPr>
        <w:t>בו</w:t>
      </w:r>
      <w:r w:rsidRPr="000F30FD">
        <w:rPr>
          <w:rtl/>
          <w:lang w:eastAsia="en-US"/>
        </w:rPr>
        <w:t xml:space="preserve"> </w:t>
      </w:r>
      <w:r w:rsidRPr="000F30FD">
        <w:rPr>
          <w:rFonts w:hint="eastAsia"/>
          <w:rtl/>
          <w:lang w:eastAsia="en-US"/>
        </w:rPr>
        <w:t>במקום</w:t>
      </w:r>
      <w:r w:rsidRPr="000F30FD">
        <w:rPr>
          <w:rtl/>
          <w:lang w:eastAsia="en-US"/>
        </w:rPr>
        <w:t xml:space="preserve"> </w:t>
      </w:r>
      <w:r w:rsidRPr="000F30FD">
        <w:rPr>
          <w:rFonts w:hint="eastAsia"/>
          <w:rtl/>
          <w:lang w:eastAsia="en-US"/>
        </w:rPr>
        <w:t>אחר</w:t>
      </w:r>
      <w:r w:rsidRPr="000F30FD">
        <w:rPr>
          <w:rFonts w:hint="cs"/>
          <w:rtl/>
          <w:lang w:eastAsia="en-US"/>
        </w:rPr>
        <w:t>.</w:t>
      </w:r>
      <w:r w:rsidR="00DB7C35">
        <w:rPr>
          <w:rStyle w:val="a5"/>
          <w:rtl/>
          <w:lang w:eastAsia="en-US"/>
        </w:rPr>
        <w:footnoteReference w:id="17"/>
      </w:r>
    </w:p>
    <w:p w:rsidR="00F809D6" w:rsidRDefault="00F809D6">
      <w:pPr>
        <w:spacing w:before="240" w:line="320" w:lineRule="atLeast"/>
        <w:rPr>
          <w:rFonts w:cs="Arial"/>
          <w:b/>
          <w:bCs/>
          <w:szCs w:val="24"/>
          <w:rtl/>
        </w:rPr>
      </w:pPr>
      <w:r>
        <w:rPr>
          <w:rFonts w:cs="Arial"/>
          <w:b/>
          <w:bCs/>
          <w:szCs w:val="24"/>
          <w:rtl/>
        </w:rPr>
        <w:t xml:space="preserve">פסיקתא רבתי (איש שלום) פרשה מה ד"ה </w:t>
      </w:r>
      <w:smartTag w:uri="urn:schemas-microsoft-com:office:smarttags" w:element="PersonName">
        <w:smartTagPr>
          <w:attr w:name="ProductID" w:val="אשרי אדם"/>
        </w:smartTagPr>
        <w:r>
          <w:rPr>
            <w:rFonts w:cs="Arial"/>
            <w:b/>
            <w:bCs/>
            <w:szCs w:val="24"/>
            <w:rtl/>
          </w:rPr>
          <w:t>אשרי אדם</w:t>
        </w:r>
      </w:smartTag>
      <w:r>
        <w:rPr>
          <w:rFonts w:cs="Arial"/>
          <w:b/>
          <w:bCs/>
          <w:szCs w:val="24"/>
          <w:rtl/>
        </w:rPr>
        <w:t xml:space="preserve"> לא</w:t>
      </w:r>
    </w:p>
    <w:p w:rsidR="00F809D6" w:rsidRDefault="00F809D6" w:rsidP="00290965">
      <w:pPr>
        <w:pStyle w:val="ac"/>
        <w:rPr>
          <w:rFonts w:hint="cs"/>
          <w:rtl/>
        </w:rPr>
      </w:pPr>
      <w:r>
        <w:rPr>
          <w:rtl/>
        </w:rPr>
        <w:t>אמר הכתוב: "מכסה פשעיו לא יצליח ומודה ועוזב ירוחם"</w:t>
      </w:r>
      <w:r w:rsidR="005633ED">
        <w:rPr>
          <w:rFonts w:hint="cs"/>
          <w:rtl/>
        </w:rPr>
        <w:t xml:space="preserve"> (משלי כחי ג)</w:t>
      </w:r>
      <w:r>
        <w:rPr>
          <w:rtl/>
        </w:rPr>
        <w:t>. כיון שישראל פורטים את עונותיהם ומתוודים לפני הקב</w:t>
      </w:r>
      <w:r>
        <w:rPr>
          <w:rFonts w:hint="cs"/>
          <w:rtl/>
        </w:rPr>
        <w:t>"</w:t>
      </w:r>
      <w:r>
        <w:rPr>
          <w:rtl/>
        </w:rPr>
        <w:t>ה - סולח להם ועובר על פשעיהם</w:t>
      </w:r>
      <w:r>
        <w:rPr>
          <w:rFonts w:hint="cs"/>
          <w:rtl/>
        </w:rPr>
        <w:t>,</w:t>
      </w:r>
      <w:r>
        <w:rPr>
          <w:rtl/>
        </w:rPr>
        <w:t xml:space="preserve"> שנאמר</w:t>
      </w:r>
      <w:r>
        <w:rPr>
          <w:rFonts w:hint="cs"/>
          <w:rtl/>
        </w:rPr>
        <w:t>: "</w:t>
      </w:r>
      <w:r>
        <w:rPr>
          <w:rtl/>
        </w:rPr>
        <w:t>כי ביום הזה יכפר עליכם לטהר אתכם מכל חטאתיכם לפני ה' תטהרו</w:t>
      </w:r>
      <w:r>
        <w:rPr>
          <w:rFonts w:hint="cs"/>
          <w:rtl/>
        </w:rPr>
        <w:t>"</w:t>
      </w:r>
      <w:r w:rsidR="005633ED">
        <w:rPr>
          <w:rFonts w:hint="cs"/>
          <w:rtl/>
        </w:rPr>
        <w:t xml:space="preserve"> (ויקרא טז ל)</w:t>
      </w:r>
      <w:r>
        <w:rPr>
          <w:rFonts w:hint="cs"/>
          <w:rtl/>
        </w:rPr>
        <w:t>.</w:t>
      </w:r>
      <w:r w:rsidR="00290965">
        <w:rPr>
          <w:rStyle w:val="a5"/>
          <w:rtl/>
        </w:rPr>
        <w:footnoteReference w:id="18"/>
      </w:r>
    </w:p>
    <w:p w:rsidR="00290965" w:rsidRDefault="00290965" w:rsidP="00290965">
      <w:pPr>
        <w:pStyle w:val="ab"/>
        <w:rPr>
          <w:rFonts w:hint="cs"/>
          <w:rtl/>
        </w:rPr>
      </w:pPr>
      <w:r>
        <w:rPr>
          <w:rtl/>
        </w:rPr>
        <w:lastRenderedPageBreak/>
        <w:t>עבודה זרה דף כה ע"א</w:t>
      </w:r>
    </w:p>
    <w:p w:rsidR="00290965" w:rsidRDefault="00290965" w:rsidP="00290965">
      <w:pPr>
        <w:pStyle w:val="ac"/>
        <w:rPr>
          <w:rFonts w:hint="cs"/>
          <w:rtl/>
        </w:rPr>
      </w:pPr>
      <w:r>
        <w:rPr>
          <w:rtl/>
        </w:rPr>
        <w:t xml:space="preserve">"הנה כתובה על ספר הישר" (שמואל ב א יח)  - מאי ספר הישר? אמר ר' חייא בר אבא אמר ר' יוחנן: זה ספר </w:t>
      </w:r>
      <w:smartTag w:uri="urn:schemas-microsoft-com:office:smarttags" w:element="PersonName">
        <w:smartTagPr>
          <w:attr w:name="ProductID" w:val="אברהם יצחק"/>
        </w:smartTagPr>
        <w:r>
          <w:rPr>
            <w:rtl/>
          </w:rPr>
          <w:t>אברהם יצחק</w:t>
        </w:r>
      </w:smartTag>
      <w:r>
        <w:rPr>
          <w:rtl/>
        </w:rPr>
        <w:t xml:space="preserve"> ויעקב שנקראו ישרים</w:t>
      </w:r>
      <w:r>
        <w:rPr>
          <w:rFonts w:hint="cs"/>
          <w:rtl/>
        </w:rPr>
        <w:t>.</w:t>
      </w:r>
      <w:r>
        <w:rPr>
          <w:rStyle w:val="a5"/>
          <w:rtl/>
        </w:rPr>
        <w:footnoteReference w:id="19"/>
      </w:r>
    </w:p>
    <w:p w:rsidR="00290965" w:rsidRDefault="00290965" w:rsidP="00290965">
      <w:pPr>
        <w:pStyle w:val="ac"/>
        <w:rPr>
          <w:rFonts w:hint="cs"/>
          <w:rtl/>
        </w:rPr>
      </w:pPr>
      <w:r w:rsidRPr="00153033">
        <w:rPr>
          <w:rFonts w:hint="eastAsia"/>
          <w:rtl/>
          <w:lang w:eastAsia="en-US"/>
        </w:rPr>
        <w:t>ר</w:t>
      </w:r>
      <w:r w:rsidRPr="00153033">
        <w:rPr>
          <w:rFonts w:hint="cs"/>
          <w:rtl/>
          <w:lang w:eastAsia="en-US"/>
        </w:rPr>
        <w:t>בי אלעזר א</w:t>
      </w:r>
      <w:r w:rsidRPr="00153033">
        <w:rPr>
          <w:rFonts w:hint="eastAsia"/>
          <w:rtl/>
          <w:lang w:eastAsia="en-US"/>
        </w:rPr>
        <w:t>ומר</w:t>
      </w:r>
      <w:r w:rsidRPr="00153033">
        <w:rPr>
          <w:rtl/>
          <w:lang w:eastAsia="en-US"/>
        </w:rPr>
        <w:t xml:space="preserve">: </w:t>
      </w:r>
      <w:r w:rsidRPr="00153033">
        <w:rPr>
          <w:rFonts w:hint="eastAsia"/>
          <w:rtl/>
          <w:lang w:eastAsia="en-US"/>
        </w:rPr>
        <w:t>זה</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משנה</w:t>
      </w:r>
      <w:r w:rsidRPr="00153033">
        <w:rPr>
          <w:rtl/>
          <w:lang w:eastAsia="en-US"/>
        </w:rPr>
        <w:t xml:space="preserve"> </w:t>
      </w:r>
      <w:r w:rsidRPr="00153033">
        <w:rPr>
          <w:rFonts w:hint="eastAsia"/>
          <w:rtl/>
          <w:lang w:eastAsia="en-US"/>
        </w:rPr>
        <w:t>תורה</w:t>
      </w:r>
      <w:r w:rsidRPr="00153033">
        <w:rPr>
          <w:rtl/>
          <w:lang w:eastAsia="en-US"/>
        </w:rPr>
        <w:t xml:space="preserve">, </w:t>
      </w:r>
      <w:r w:rsidRPr="00153033">
        <w:rPr>
          <w:rFonts w:hint="eastAsia"/>
          <w:rtl/>
          <w:lang w:eastAsia="en-US"/>
        </w:rPr>
        <w:t>ואמאי</w:t>
      </w:r>
      <w:r w:rsidRPr="00153033">
        <w:rPr>
          <w:rtl/>
          <w:lang w:eastAsia="en-US"/>
        </w:rPr>
        <w:t xml:space="preserve"> </w:t>
      </w:r>
      <w:r w:rsidRPr="00153033">
        <w:rPr>
          <w:rFonts w:hint="eastAsia"/>
          <w:rtl/>
          <w:lang w:eastAsia="en-US"/>
        </w:rPr>
        <w:t>קרו</w:t>
      </w:r>
      <w:r w:rsidRPr="00153033">
        <w:rPr>
          <w:rtl/>
          <w:lang w:eastAsia="en-US"/>
        </w:rPr>
        <w:t xml:space="preserve"> </w:t>
      </w:r>
      <w:r w:rsidRPr="00153033">
        <w:rPr>
          <w:rFonts w:hint="eastAsia"/>
          <w:rtl/>
          <w:lang w:eastAsia="en-US"/>
        </w:rPr>
        <w:t>ליה</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דכתיב</w:t>
      </w:r>
      <w:r w:rsidRPr="00153033">
        <w:rPr>
          <w:rtl/>
          <w:lang w:eastAsia="en-US"/>
        </w:rPr>
        <w:t xml:space="preserve">: </w:t>
      </w:r>
      <w:r w:rsidRPr="00153033">
        <w:rPr>
          <w:rFonts w:hint="cs"/>
          <w:rtl/>
          <w:lang w:eastAsia="en-US"/>
        </w:rPr>
        <w:t>"</w:t>
      </w:r>
      <w:r w:rsidRPr="00153033">
        <w:rPr>
          <w:rFonts w:hint="eastAsia"/>
          <w:rtl/>
          <w:lang w:eastAsia="en-US"/>
        </w:rPr>
        <w:t>ועשית</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והטוב</w:t>
      </w:r>
      <w:r w:rsidRPr="00153033">
        <w:rPr>
          <w:rtl/>
          <w:lang w:eastAsia="en-US"/>
        </w:rPr>
        <w:t xml:space="preserve"> </w:t>
      </w:r>
      <w:r w:rsidRPr="00153033">
        <w:rPr>
          <w:rFonts w:hint="eastAsia"/>
          <w:rtl/>
          <w:lang w:eastAsia="en-US"/>
        </w:rPr>
        <w:t>בעיני</w:t>
      </w:r>
      <w:r w:rsidRPr="00153033">
        <w:rPr>
          <w:rtl/>
          <w:lang w:eastAsia="en-US"/>
        </w:rPr>
        <w:t xml:space="preserve"> </w:t>
      </w:r>
      <w:r w:rsidRPr="00153033">
        <w:rPr>
          <w:rFonts w:hint="eastAsia"/>
          <w:rtl/>
          <w:lang w:eastAsia="en-US"/>
        </w:rPr>
        <w:t>ה</w:t>
      </w:r>
      <w:r w:rsidRPr="00153033">
        <w:rPr>
          <w:rtl/>
          <w:lang w:eastAsia="en-US"/>
        </w:rPr>
        <w:t>'</w:t>
      </w:r>
      <w:r w:rsidRPr="00153033">
        <w:rPr>
          <w:rFonts w:hint="cs"/>
          <w:rtl/>
          <w:lang w:eastAsia="en-US"/>
        </w:rPr>
        <w:t xml:space="preserve"> " (</w:t>
      </w:r>
      <w:r w:rsidRPr="00153033">
        <w:rPr>
          <w:rFonts w:hint="eastAsia"/>
          <w:rtl/>
          <w:lang w:eastAsia="en-US"/>
        </w:rPr>
        <w:t>דברים</w:t>
      </w:r>
      <w:r w:rsidRPr="00153033">
        <w:rPr>
          <w:rtl/>
          <w:lang w:eastAsia="en-US"/>
        </w:rPr>
        <w:t xml:space="preserve"> </w:t>
      </w:r>
      <w:r w:rsidRPr="00153033">
        <w:rPr>
          <w:rFonts w:hint="eastAsia"/>
          <w:rtl/>
          <w:lang w:eastAsia="en-US"/>
        </w:rPr>
        <w:t>ו</w:t>
      </w:r>
      <w:r w:rsidRPr="00153033">
        <w:rPr>
          <w:rFonts w:hint="cs"/>
          <w:rtl/>
          <w:lang w:eastAsia="en-US"/>
        </w:rPr>
        <w:t xml:space="preserve"> יח)</w:t>
      </w:r>
      <w:r w:rsidRPr="00153033">
        <w:rPr>
          <w:rtl/>
          <w:lang w:eastAsia="en-US"/>
        </w:rPr>
        <w:t>.</w:t>
      </w:r>
      <w:r w:rsidRPr="00153033">
        <w:rPr>
          <w:rStyle w:val="a5"/>
          <w:rtl/>
          <w:lang w:eastAsia="en-US"/>
        </w:rPr>
        <w:footnoteReference w:id="20"/>
      </w:r>
    </w:p>
    <w:p w:rsidR="00CA004C" w:rsidRDefault="00CA004C" w:rsidP="00CA004C">
      <w:pPr>
        <w:pStyle w:val="ab"/>
        <w:rPr>
          <w:rtl/>
        </w:rPr>
      </w:pPr>
      <w:r>
        <w:rPr>
          <w:rtl/>
        </w:rPr>
        <w:t xml:space="preserve">רמב"ם הלכות אבל פרק יד </w:t>
      </w:r>
      <w:r>
        <w:rPr>
          <w:rFonts w:hint="cs"/>
          <w:rtl/>
        </w:rPr>
        <w:t>הלכות א-ג</w:t>
      </w:r>
    </w:p>
    <w:p w:rsidR="00CA004C" w:rsidRDefault="00CA004C" w:rsidP="00194976">
      <w:pPr>
        <w:pStyle w:val="ac"/>
        <w:rPr>
          <w:rtl/>
        </w:rPr>
      </w:pPr>
      <w:r>
        <w:rPr>
          <w:rtl/>
        </w:rPr>
        <w:t>מצות עשה של דבריהם לבקר חולים, ולנחם אבלים, ולהוציא המת, ולהכניס הכלה, וללוות האורחים, ולהתעסק בכל צרכי הקבורה</w:t>
      </w:r>
      <w:r>
        <w:rPr>
          <w:rFonts w:hint="cs"/>
          <w:rtl/>
        </w:rPr>
        <w:t xml:space="preserve"> ... </w:t>
      </w:r>
      <w:r>
        <w:rPr>
          <w:rtl/>
        </w:rPr>
        <w:t>וכן לשמח הכלה והחתן, ולסעדם בכל צרכיהם</w:t>
      </w:r>
      <w:r w:rsidR="00194976">
        <w:rPr>
          <w:rFonts w:hint="cs"/>
          <w:rtl/>
        </w:rPr>
        <w:t>.</w:t>
      </w:r>
      <w:r>
        <w:rPr>
          <w:rtl/>
        </w:rPr>
        <w:t xml:space="preserve"> ואלו הן גמילות חסדים שבגופו שאין להם שיעור</w:t>
      </w:r>
      <w:r w:rsidR="00194976">
        <w:rPr>
          <w:rFonts w:hint="cs"/>
          <w:rtl/>
        </w:rPr>
        <w:t>.</w:t>
      </w:r>
      <w:r>
        <w:rPr>
          <w:rtl/>
        </w:rPr>
        <w:t xml:space="preserve"> אף על פי שכל מצות אלו מדבריהם</w:t>
      </w:r>
      <w:r w:rsidR="00194976">
        <w:rPr>
          <w:rFonts w:hint="cs"/>
          <w:rtl/>
        </w:rPr>
        <w:t>,</w:t>
      </w:r>
      <w:r>
        <w:rPr>
          <w:rtl/>
        </w:rPr>
        <w:t xml:space="preserve"> הרי הן בכלל ואהבת לרעך כמוך</w:t>
      </w:r>
      <w:r w:rsidR="00194976">
        <w:rPr>
          <w:rFonts w:hint="cs"/>
          <w:rtl/>
        </w:rPr>
        <w:t>.</w:t>
      </w:r>
      <w:r>
        <w:rPr>
          <w:rtl/>
        </w:rPr>
        <w:t xml:space="preserve"> כל הדברים שאתה רוצה שיעשו אותם לך אחרים, עשה אתה אותן לאחיך בתורה ובמצות.</w:t>
      </w:r>
      <w:r w:rsidR="00194976">
        <w:rPr>
          <w:rStyle w:val="a5"/>
          <w:rtl/>
        </w:rPr>
        <w:footnoteReference w:id="21"/>
      </w:r>
      <w:r>
        <w:rPr>
          <w:rtl/>
        </w:rPr>
        <w:t xml:space="preserve"> </w:t>
      </w:r>
    </w:p>
    <w:p w:rsidR="00CA004C" w:rsidRDefault="00CA004C" w:rsidP="005E205F">
      <w:pPr>
        <w:pStyle w:val="ac"/>
        <w:rPr>
          <w:rtl/>
        </w:rPr>
      </w:pPr>
      <w:r>
        <w:rPr>
          <w:rtl/>
        </w:rPr>
        <w:t>שכר הלויה מרובה מן הכל, והוא הח</w:t>
      </w:r>
      <w:r w:rsidR="002C788A">
        <w:rPr>
          <w:rFonts w:hint="cs"/>
          <w:rtl/>
        </w:rPr>
        <w:t>ו</w:t>
      </w:r>
      <w:r>
        <w:rPr>
          <w:rtl/>
        </w:rPr>
        <w:t>ק שחקקו אברהם אבינו ודרך החסד שנהג בה, מאכיל עוברי דרכים ומשקה אותן ומלוה אותן</w:t>
      </w:r>
      <w:r w:rsidR="005E205F">
        <w:rPr>
          <w:rFonts w:hint="cs"/>
          <w:rtl/>
        </w:rPr>
        <w:t>.</w:t>
      </w:r>
      <w:r>
        <w:rPr>
          <w:rtl/>
        </w:rPr>
        <w:t xml:space="preserve"> וגדולה הכנסת אורחים מהקבלת פני שכינה, שנאמר</w:t>
      </w:r>
      <w:r w:rsidR="00104711">
        <w:rPr>
          <w:rFonts w:hint="cs"/>
          <w:rtl/>
        </w:rPr>
        <w:t>:</w:t>
      </w:r>
      <w:r>
        <w:rPr>
          <w:rtl/>
        </w:rPr>
        <w:t xml:space="preserve"> </w:t>
      </w:r>
      <w:r w:rsidR="00104711">
        <w:rPr>
          <w:rFonts w:hint="cs"/>
          <w:rtl/>
        </w:rPr>
        <w:t>"</w:t>
      </w:r>
      <w:r>
        <w:rPr>
          <w:rtl/>
        </w:rPr>
        <w:t>וירא והנה שלשה אנשים</w:t>
      </w:r>
      <w:r w:rsidR="00104711">
        <w:rPr>
          <w:rFonts w:hint="cs"/>
          <w:rtl/>
        </w:rPr>
        <w:t>"</w:t>
      </w:r>
      <w:r>
        <w:rPr>
          <w:rtl/>
        </w:rPr>
        <w:t>, ולוויים יותר מהכנסתן, אמרו חכמים</w:t>
      </w:r>
      <w:r w:rsidR="00104711">
        <w:rPr>
          <w:rFonts w:hint="cs"/>
          <w:rtl/>
        </w:rPr>
        <w:t>:</w:t>
      </w:r>
      <w:r>
        <w:rPr>
          <w:rtl/>
        </w:rPr>
        <w:t xml:space="preserve"> כל שאינו מלוה כאילו שופך דמים.</w:t>
      </w:r>
      <w:r w:rsidR="00104711">
        <w:rPr>
          <w:rStyle w:val="a5"/>
          <w:rtl/>
        </w:rPr>
        <w:footnoteReference w:id="22"/>
      </w:r>
      <w:r>
        <w:rPr>
          <w:rtl/>
        </w:rPr>
        <w:t xml:space="preserve"> </w:t>
      </w:r>
    </w:p>
    <w:p w:rsidR="00CA004C" w:rsidRDefault="00CA004C" w:rsidP="00CA004C">
      <w:pPr>
        <w:pStyle w:val="ac"/>
        <w:rPr>
          <w:rFonts w:hint="cs"/>
          <w:rtl/>
        </w:rPr>
      </w:pPr>
      <w:r>
        <w:rPr>
          <w:rtl/>
        </w:rPr>
        <w:t>כופין ללוייה כדרך שכופין לצדקה, ובית דין היו מתקנין שלוחין ללוות אדם העובר ממקום למקום, ואם נתעצלו בדבר זה מעלה עליהם כאילו שפכו דמים</w:t>
      </w:r>
      <w:r w:rsidR="00A17028">
        <w:rPr>
          <w:rFonts w:hint="cs"/>
          <w:rtl/>
        </w:rPr>
        <w:t>.</w:t>
      </w:r>
      <w:r w:rsidR="00EB3102">
        <w:rPr>
          <w:rStyle w:val="a5"/>
          <w:rtl/>
        </w:rPr>
        <w:footnoteReference w:id="23"/>
      </w:r>
    </w:p>
    <w:p w:rsidR="00837EA1" w:rsidRDefault="00837EA1" w:rsidP="00837EA1">
      <w:pPr>
        <w:pStyle w:val="ab"/>
        <w:rPr>
          <w:rtl/>
        </w:rPr>
      </w:pPr>
      <w:r>
        <w:rPr>
          <w:rtl/>
        </w:rPr>
        <w:t xml:space="preserve">אליהו רבה (איש שלום) פרשה כג </w:t>
      </w:r>
    </w:p>
    <w:p w:rsidR="00CA004C" w:rsidRDefault="00837EA1" w:rsidP="00837EA1">
      <w:pPr>
        <w:pStyle w:val="ac"/>
        <w:rPr>
          <w:rFonts w:hint="cs"/>
          <w:rtl/>
        </w:rPr>
      </w:pPr>
      <w:r>
        <w:rPr>
          <w:rFonts w:hint="cs"/>
          <w:rtl/>
        </w:rPr>
        <w:t>"</w:t>
      </w:r>
      <w:r>
        <w:rPr>
          <w:rtl/>
        </w:rPr>
        <w:t>וידבר אלהים את כל הדברים האלה לאמר</w:t>
      </w:r>
      <w:r>
        <w:rPr>
          <w:rFonts w:hint="cs"/>
          <w:rtl/>
        </w:rPr>
        <w:t xml:space="preserve">: </w:t>
      </w:r>
      <w:r>
        <w:rPr>
          <w:rtl/>
        </w:rPr>
        <w:t>אנכי ה' אלהיך וגו'</w:t>
      </w:r>
      <w:r>
        <w:rPr>
          <w:rFonts w:hint="cs"/>
          <w:rtl/>
        </w:rPr>
        <w:t xml:space="preserve"> " - </w:t>
      </w:r>
      <w:r>
        <w:rPr>
          <w:rtl/>
        </w:rPr>
        <w:t xml:space="preserve">ברוך המקום ברוך הוא שבחר בהן בישראל מכל באי העולם ומכל מעשה ידיו שברא בעולם, וקנה אותן </w:t>
      </w:r>
      <w:r>
        <w:rPr>
          <w:rFonts w:hint="cs"/>
          <w:rtl/>
        </w:rPr>
        <w:t>קניין</w:t>
      </w:r>
      <w:r>
        <w:rPr>
          <w:rtl/>
        </w:rPr>
        <w:t xml:space="preserve"> גמור, בנים ועבדים לשמו</w:t>
      </w:r>
      <w:r>
        <w:rPr>
          <w:rFonts w:hint="cs"/>
          <w:rtl/>
        </w:rPr>
        <w:t xml:space="preserve"> ...</w:t>
      </w:r>
      <w:r>
        <w:rPr>
          <w:rtl/>
        </w:rPr>
        <w:t xml:space="preserve"> באהבה שאהב אותן ובשמחתו ששמח בהן מדבר עמהן</w:t>
      </w:r>
      <w:r>
        <w:rPr>
          <w:rFonts w:hint="cs"/>
          <w:rtl/>
        </w:rPr>
        <w:t xml:space="preserve"> (</w:t>
      </w:r>
      <w:r>
        <w:rPr>
          <w:rtl/>
        </w:rPr>
        <w:t>פעמים מדבר עם הרבים, פעמים מדבר עם היחיד</w:t>
      </w:r>
      <w:r>
        <w:rPr>
          <w:rFonts w:hint="cs"/>
          <w:rtl/>
        </w:rPr>
        <w:t>) ...</w:t>
      </w:r>
      <w:r>
        <w:rPr>
          <w:rtl/>
        </w:rPr>
        <w:t xml:space="preserve"> </w:t>
      </w:r>
      <w:r>
        <w:rPr>
          <w:rtl/>
        </w:rPr>
        <w:lastRenderedPageBreak/>
        <w:t>לפיכך יהיו אומרים כל אחד ואחד</w:t>
      </w:r>
      <w:r>
        <w:rPr>
          <w:rFonts w:hint="cs"/>
          <w:rtl/>
        </w:rPr>
        <w:t>:</w:t>
      </w:r>
      <w:r>
        <w:rPr>
          <w:rtl/>
        </w:rPr>
        <w:t xml:space="preserve"> מתי יגיעו מעשיי למעשה אברהם יצחק ויעקב, שלא קנו העולם הזה והעולם הבא</w:t>
      </w:r>
      <w:r>
        <w:rPr>
          <w:rFonts w:hint="cs"/>
          <w:rtl/>
        </w:rPr>
        <w:t>,</w:t>
      </w:r>
      <w:r>
        <w:rPr>
          <w:rtl/>
        </w:rPr>
        <w:t xml:space="preserve"> אלא בשביל מעשיהם הטובים ותלמוד תורה.</w:t>
      </w:r>
      <w:r w:rsidR="00D85EC7">
        <w:rPr>
          <w:rStyle w:val="a5"/>
          <w:rtl/>
        </w:rPr>
        <w:footnoteReference w:id="24"/>
      </w:r>
    </w:p>
    <w:p w:rsidR="00EB3102" w:rsidRDefault="00EB3102" w:rsidP="00D85EC7">
      <w:pPr>
        <w:pStyle w:val="a3"/>
        <w:rPr>
          <w:rFonts w:hint="cs"/>
          <w:rtl/>
        </w:rPr>
      </w:pPr>
    </w:p>
    <w:p w:rsidR="00F809D6" w:rsidRDefault="00F809D6" w:rsidP="00047666">
      <w:pPr>
        <w:pStyle w:val="ad"/>
        <w:spacing w:before="120"/>
        <w:rPr>
          <w:rFonts w:hint="cs"/>
          <w:rtl/>
        </w:rPr>
      </w:pPr>
      <w:r>
        <w:rPr>
          <w:rtl/>
        </w:rPr>
        <w:t>שבת שלום</w:t>
      </w:r>
      <w:r>
        <w:rPr>
          <w:rFonts w:hint="cs"/>
          <w:rtl/>
        </w:rPr>
        <w:t xml:space="preserve">  </w:t>
      </w:r>
    </w:p>
    <w:p w:rsidR="00F809D6" w:rsidRDefault="00F809D6">
      <w:pPr>
        <w:pStyle w:val="ad"/>
        <w:rPr>
          <w:rFonts w:hint="cs"/>
          <w:rtl/>
        </w:rPr>
      </w:pPr>
      <w:r>
        <w:rPr>
          <w:rtl/>
        </w:rPr>
        <w:t>מחלקי המים</w:t>
      </w:r>
    </w:p>
    <w:p w:rsidR="00FC1DDC" w:rsidRPr="00FC1DDC" w:rsidRDefault="00FC1DDC" w:rsidP="009C3B33">
      <w:pPr>
        <w:pStyle w:val="ad"/>
        <w:spacing w:before="120" w:line="300" w:lineRule="atLeast"/>
        <w:rPr>
          <w:rFonts w:hint="cs"/>
          <w:b w:val="0"/>
          <w:bCs w:val="0"/>
          <w:szCs w:val="22"/>
          <w:rtl/>
        </w:rPr>
      </w:pPr>
      <w:r w:rsidRPr="00BE32E2">
        <w:rPr>
          <w:rFonts w:hint="cs"/>
          <w:szCs w:val="22"/>
          <w:rtl/>
        </w:rPr>
        <w:t>מים אחרונים:</w:t>
      </w:r>
      <w:r>
        <w:rPr>
          <w:rFonts w:hint="cs"/>
          <w:b w:val="0"/>
          <w:bCs w:val="0"/>
          <w:szCs w:val="22"/>
          <w:rtl/>
        </w:rPr>
        <w:t xml:space="preserve"> פתחנו בתפר שבין ספר בראשית וספר שמות, בין תקופת האבות ותקופתו של משה, ואפשר לסיים בו</w:t>
      </w:r>
      <w:r w:rsidR="009C3B33">
        <w:rPr>
          <w:rFonts w:hint="cs"/>
          <w:b w:val="0"/>
          <w:bCs w:val="0"/>
          <w:szCs w:val="22"/>
          <w:rtl/>
        </w:rPr>
        <w:t>.</w:t>
      </w:r>
      <w:r>
        <w:rPr>
          <w:rFonts w:hint="cs"/>
          <w:b w:val="0"/>
          <w:bCs w:val="0"/>
          <w:szCs w:val="22"/>
          <w:rtl/>
        </w:rPr>
        <w:t xml:space="preserve"> תפר זה</w:t>
      </w:r>
      <w:r w:rsidR="009C3B33">
        <w:rPr>
          <w:rFonts w:hint="cs"/>
          <w:b w:val="0"/>
          <w:bCs w:val="0"/>
          <w:szCs w:val="22"/>
          <w:rtl/>
        </w:rPr>
        <w:t xml:space="preserve">, </w:t>
      </w:r>
      <w:r>
        <w:rPr>
          <w:rFonts w:hint="cs"/>
          <w:b w:val="0"/>
          <w:bCs w:val="0"/>
          <w:szCs w:val="22"/>
          <w:rtl/>
        </w:rPr>
        <w:t xml:space="preserve">מציג, לדעת פרשנים רבים, את הפער בין תקופה של אין ניסים, או ניסים נסתרים </w:t>
      </w:r>
      <w:r>
        <w:rPr>
          <w:b w:val="0"/>
          <w:bCs w:val="0"/>
          <w:szCs w:val="22"/>
          <w:rtl/>
        </w:rPr>
        <w:t>–</w:t>
      </w:r>
      <w:r>
        <w:rPr>
          <w:rFonts w:hint="cs"/>
          <w:b w:val="0"/>
          <w:bCs w:val="0"/>
          <w:szCs w:val="22"/>
          <w:rtl/>
        </w:rPr>
        <w:t xml:space="preserve"> תקופת האבות, ובין תקופה שמשופעת בניסים גלויים, קטנים וגדולים </w:t>
      </w:r>
      <w:r>
        <w:rPr>
          <w:b w:val="0"/>
          <w:bCs w:val="0"/>
          <w:szCs w:val="22"/>
          <w:rtl/>
        </w:rPr>
        <w:t>–</w:t>
      </w:r>
      <w:r>
        <w:rPr>
          <w:rFonts w:hint="cs"/>
          <w:b w:val="0"/>
          <w:bCs w:val="0"/>
          <w:szCs w:val="22"/>
          <w:rtl/>
        </w:rPr>
        <w:t xml:space="preserve"> תקופת משה. ראה דברי רבינו בחיי על הפסוק: "ושמי </w:t>
      </w:r>
      <w:r w:rsidR="009C3B33">
        <w:rPr>
          <w:rFonts w:hint="cs"/>
          <w:b w:val="0"/>
          <w:bCs w:val="0"/>
          <w:szCs w:val="22"/>
          <w:rtl/>
        </w:rPr>
        <w:t xml:space="preserve">ה' </w:t>
      </w:r>
      <w:r>
        <w:rPr>
          <w:rFonts w:hint="cs"/>
          <w:b w:val="0"/>
          <w:bCs w:val="0"/>
          <w:szCs w:val="22"/>
          <w:rtl/>
        </w:rPr>
        <w:t xml:space="preserve">לא נודעתי להם" </w:t>
      </w:r>
      <w:r>
        <w:rPr>
          <w:b w:val="0"/>
          <w:bCs w:val="0"/>
          <w:szCs w:val="22"/>
          <w:rtl/>
        </w:rPr>
        <w:t>–</w:t>
      </w:r>
      <w:r>
        <w:rPr>
          <w:rFonts w:hint="cs"/>
          <w:b w:val="0"/>
          <w:bCs w:val="0"/>
          <w:szCs w:val="22"/>
          <w:rtl/>
        </w:rPr>
        <w:t xml:space="preserve"> פסוק בו הקב"ה מסמל למשה את ההבדל בינו ובין האבות </w:t>
      </w:r>
      <w:r>
        <w:rPr>
          <w:b w:val="0"/>
          <w:bCs w:val="0"/>
          <w:szCs w:val="22"/>
          <w:rtl/>
        </w:rPr>
        <w:t>–</w:t>
      </w:r>
      <w:r>
        <w:rPr>
          <w:rFonts w:hint="cs"/>
          <w:b w:val="0"/>
          <w:bCs w:val="0"/>
          <w:szCs w:val="22"/>
          <w:rtl/>
        </w:rPr>
        <w:t xml:space="preserve"> " ...</w:t>
      </w:r>
      <w:r w:rsidRPr="00FC1DDC">
        <w:rPr>
          <w:b w:val="0"/>
          <w:bCs w:val="0"/>
          <w:szCs w:val="22"/>
          <w:rtl/>
        </w:rPr>
        <w:t>אבל בשמי המיוחד שבו נהיה כל הווה לא נודעתי להם לבר</w:t>
      </w:r>
      <w:r>
        <w:rPr>
          <w:rFonts w:hint="cs"/>
          <w:b w:val="0"/>
          <w:bCs w:val="0"/>
          <w:szCs w:val="22"/>
          <w:rtl/>
        </w:rPr>
        <w:t>ו</w:t>
      </w:r>
      <w:r w:rsidRPr="00FC1DDC">
        <w:rPr>
          <w:b w:val="0"/>
          <w:bCs w:val="0"/>
          <w:szCs w:val="22"/>
          <w:rtl/>
        </w:rPr>
        <w:t>א להם חדשות בנסים מפורסמים בשנוי הטבע</w:t>
      </w:r>
      <w:r>
        <w:rPr>
          <w:rFonts w:hint="cs"/>
          <w:b w:val="0"/>
          <w:bCs w:val="0"/>
          <w:szCs w:val="22"/>
          <w:rtl/>
        </w:rPr>
        <w:t>" (ואברבנאל בתחילת פרשת וארא חולק ואומר: "</w:t>
      </w:r>
      <w:r w:rsidRPr="00FC1DDC">
        <w:rPr>
          <w:b w:val="0"/>
          <w:bCs w:val="0"/>
          <w:szCs w:val="22"/>
          <w:rtl/>
        </w:rPr>
        <w:t>אין לפר</w:t>
      </w:r>
      <w:r>
        <w:rPr>
          <w:rFonts w:hint="cs"/>
          <w:b w:val="0"/>
          <w:bCs w:val="0"/>
          <w:szCs w:val="22"/>
          <w:rtl/>
        </w:rPr>
        <w:t>ש</w:t>
      </w:r>
      <w:r w:rsidRPr="00FC1DDC">
        <w:rPr>
          <w:b w:val="0"/>
          <w:bCs w:val="0"/>
          <w:szCs w:val="22"/>
          <w:rtl/>
        </w:rPr>
        <w:t xml:space="preserve"> ושמי ה' לא נודעתי להם על ענין הנסים שלא נעשו לאבות ונעשו למ</w:t>
      </w:r>
      <w:r>
        <w:rPr>
          <w:rFonts w:hint="cs"/>
          <w:b w:val="0"/>
          <w:bCs w:val="0"/>
          <w:szCs w:val="22"/>
          <w:rtl/>
        </w:rPr>
        <w:t>שה ...</w:t>
      </w:r>
      <w:r w:rsidRPr="00FC1DDC">
        <w:rPr>
          <w:b w:val="0"/>
          <w:bCs w:val="0"/>
          <w:szCs w:val="22"/>
          <w:rtl/>
        </w:rPr>
        <w:t xml:space="preserve"> כדברי קצת המפרשים</w:t>
      </w:r>
      <w:r>
        <w:rPr>
          <w:rFonts w:hint="cs"/>
          <w:b w:val="0"/>
          <w:bCs w:val="0"/>
          <w:szCs w:val="22"/>
          <w:rtl/>
        </w:rPr>
        <w:t>,</w:t>
      </w:r>
      <w:r w:rsidRPr="00FC1DDC">
        <w:rPr>
          <w:b w:val="0"/>
          <w:bCs w:val="0"/>
          <w:szCs w:val="22"/>
          <w:rtl/>
        </w:rPr>
        <w:t xml:space="preserve"> שהרי כבר נעשו נסים רבים לאבות</w:t>
      </w:r>
      <w:r>
        <w:rPr>
          <w:rFonts w:hint="cs"/>
          <w:b w:val="0"/>
          <w:bCs w:val="0"/>
          <w:szCs w:val="22"/>
          <w:rtl/>
        </w:rPr>
        <w:t xml:space="preserve"> וכו' "). האבות חיו את החיים הגלויים והטבעיים</w:t>
      </w:r>
      <w:r w:rsidR="00D914D8">
        <w:rPr>
          <w:rFonts w:hint="cs"/>
          <w:b w:val="0"/>
          <w:bCs w:val="0"/>
          <w:szCs w:val="22"/>
          <w:rtl/>
        </w:rPr>
        <w:t xml:space="preserve"> (לא כולל כמובן את דיבור ה' אליהם, דיבור לו זכו גם אבימלך, לבן ועוד). בלי ניסים.</w:t>
      </w:r>
    </w:p>
    <w:sectPr w:rsidR="00FC1DDC" w:rsidRPr="00FC1DDC" w:rsidSect="00BE32E2">
      <w:headerReference w:type="default" r:id="rId7"/>
      <w:footerReference w:type="default" r:id="rId8"/>
      <w:headerReference w:type="first" r:id="rId9"/>
      <w:endnotePr>
        <w:numFmt w:val="lowerLetter"/>
      </w:endnotePr>
      <w:pgSz w:w="11907" w:h="16840" w:code="9"/>
      <w:pgMar w:top="1474"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820" w:rsidRDefault="009F0820">
      <w:r>
        <w:separator/>
      </w:r>
    </w:p>
  </w:endnote>
  <w:endnote w:type="continuationSeparator" w:id="0">
    <w:p w:rsidR="009F0820" w:rsidRDefault="009F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11F" w:rsidRPr="00F8747C" w:rsidRDefault="004C211F" w:rsidP="004C211F">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EA5AC0">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EA5AC0">
      <w:rPr>
        <w:rStyle w:val="ae"/>
        <w:noProof/>
        <w:rtl/>
      </w:rPr>
      <w:t>5</w:t>
    </w:r>
    <w:r w:rsidRPr="00F8747C">
      <w:rPr>
        <w:rStyle w:val="ae"/>
      </w:rPr>
      <w:fldChar w:fldCharType="end"/>
    </w:r>
  </w:p>
  <w:p w:rsidR="004C211F" w:rsidRDefault="004C21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820" w:rsidRDefault="009F0820">
      <w:r>
        <w:separator/>
      </w:r>
    </w:p>
  </w:footnote>
  <w:footnote w:type="continuationSeparator" w:id="0">
    <w:p w:rsidR="009F0820" w:rsidRDefault="009F0820">
      <w:r>
        <w:continuationSeparator/>
      </w:r>
    </w:p>
  </w:footnote>
  <w:footnote w:id="1">
    <w:p w:rsidR="00F809D6" w:rsidRDefault="00F809D6" w:rsidP="00047666">
      <w:pPr>
        <w:pStyle w:val="a3"/>
        <w:rPr>
          <w:rFonts w:hint="cs"/>
          <w:rtl/>
        </w:rPr>
      </w:pPr>
      <w:r>
        <w:rPr>
          <w:rStyle w:val="a5"/>
        </w:rPr>
        <w:footnoteRef/>
      </w:r>
      <w:r>
        <w:t xml:space="preserve"> </w:t>
      </w:r>
      <w:r>
        <w:rPr>
          <w:rFonts w:hint="cs"/>
          <w:rtl/>
        </w:rPr>
        <w:t xml:space="preserve"> </w:t>
      </w:r>
      <w:r>
        <w:rPr>
          <w:rtl/>
        </w:rPr>
        <w:t>מדרש זה הוא מוטו עיקרי בכל לימודנו ותפיסתנו את ספר בראשית</w:t>
      </w:r>
      <w:r w:rsidR="00A86FBB">
        <w:rPr>
          <w:rFonts w:hint="cs"/>
          <w:rtl/>
        </w:rPr>
        <w:t xml:space="preserve"> (ומענה למבקרי המקרא)</w:t>
      </w:r>
      <w:r>
        <w:rPr>
          <w:rtl/>
        </w:rPr>
        <w:t>. "מעשה אבות סימן לבנים" בדברים היפים והנכונים ו</w:t>
      </w:r>
      <w:r>
        <w:rPr>
          <w:rFonts w:hint="cs"/>
          <w:rtl/>
        </w:rPr>
        <w:t xml:space="preserve">גם באלה שיפים פחות, שכן: </w:t>
      </w:r>
      <w:r>
        <w:rPr>
          <w:rtl/>
        </w:rPr>
        <w:t>"מכסה פשעיו לא יצליח" ו"אין צדיק בארץ אשר יעשה טוב ולא יחטא". גם זה מעשה אבות וגם זה סימן לבנים</w:t>
      </w:r>
      <w:r w:rsidR="00047666">
        <w:rPr>
          <w:rFonts w:hint="cs"/>
          <w:rtl/>
        </w:rPr>
        <w:t xml:space="preserve">. </w:t>
      </w:r>
      <w:r w:rsidR="00A86FBB">
        <w:rPr>
          <w:rFonts w:hint="cs"/>
          <w:rtl/>
        </w:rPr>
        <w:t>אם אתה מאמי</w:t>
      </w:r>
      <w:r w:rsidR="00503F16">
        <w:rPr>
          <w:rFonts w:hint="cs"/>
          <w:rtl/>
        </w:rPr>
        <w:t>ן</w:t>
      </w:r>
      <w:r w:rsidR="00A86FBB">
        <w:rPr>
          <w:rFonts w:hint="cs"/>
          <w:rtl/>
        </w:rPr>
        <w:t xml:space="preserve"> לדברים הלא נאים שבתורה, תאמין גם לדברים הנאים</w:t>
      </w:r>
      <w:r>
        <w:rPr>
          <w:rtl/>
        </w:rPr>
        <w:t>. ומן הראוי לציין שזו גישה דרשנית ופרשנית אחת. יש גם גישה נגדית של כן לכסות - "אשרי נשוי פשע כסוי חטאה" אומר דוד</w:t>
      </w:r>
      <w:r>
        <w:rPr>
          <w:rFonts w:hint="cs"/>
          <w:rtl/>
        </w:rPr>
        <w:t xml:space="preserve"> (תהלים לב א)</w:t>
      </w:r>
      <w:r>
        <w:rPr>
          <w:rtl/>
        </w:rPr>
        <w:t>.</w:t>
      </w:r>
      <w:r>
        <w:rPr>
          <w:rFonts w:hint="cs"/>
          <w:rtl/>
        </w:rPr>
        <w:t xml:space="preserve"> ראה דברינו </w:t>
      </w:r>
      <w:hyperlink r:id="rId1" w:history="1">
        <w:r w:rsidRPr="001E21BE">
          <w:rPr>
            <w:rStyle w:val="Hyperlink"/>
            <w:rFonts w:hint="cs"/>
            <w:rtl/>
          </w:rPr>
          <w:t>ייכתב עווני</w:t>
        </w:r>
      </w:hyperlink>
      <w:r>
        <w:rPr>
          <w:rFonts w:hint="cs"/>
          <w:rtl/>
        </w:rPr>
        <w:t xml:space="preserve"> בפרשת חוקת </w:t>
      </w:r>
      <w:r>
        <w:rPr>
          <w:rtl/>
        </w:rPr>
        <w:t>–</w:t>
      </w:r>
      <w:r>
        <w:rPr>
          <w:rFonts w:hint="cs"/>
          <w:rtl/>
        </w:rPr>
        <w:t xml:space="preserve"> מחלוקת משה ודוד (ותהלים כנגד משלי?)</w:t>
      </w:r>
      <w:r w:rsidR="00E452D2">
        <w:rPr>
          <w:rFonts w:hint="cs"/>
          <w:rtl/>
        </w:rPr>
        <w:t xml:space="preserve">, וכמו כן דברינו </w:t>
      </w:r>
      <w:hyperlink r:id="rId2" w:history="1">
        <w:r w:rsidR="00E452D2" w:rsidRPr="00E452D2">
          <w:rPr>
            <w:rStyle w:val="Hyperlink"/>
            <w:rFonts w:hint="cs"/>
            <w:rtl/>
          </w:rPr>
          <w:t>כיסוי החטא או גילויו</w:t>
        </w:r>
      </w:hyperlink>
      <w:r w:rsidR="00E452D2">
        <w:rPr>
          <w:rFonts w:hint="cs"/>
          <w:rtl/>
        </w:rPr>
        <w:t xml:space="preserve"> ביום הכיפורים</w:t>
      </w:r>
      <w:r>
        <w:rPr>
          <w:rFonts w:hint="cs"/>
          <w:rtl/>
        </w:rPr>
        <w:t>.</w:t>
      </w:r>
    </w:p>
  </w:footnote>
  <w:footnote w:id="2">
    <w:p w:rsidR="00F809D6" w:rsidRDefault="00F809D6">
      <w:pPr>
        <w:pStyle w:val="a3"/>
        <w:rPr>
          <w:rFonts w:hint="cs"/>
          <w:rtl/>
        </w:rPr>
      </w:pPr>
      <w:r>
        <w:rPr>
          <w:rStyle w:val="a5"/>
        </w:rPr>
        <w:footnoteRef/>
      </w:r>
      <w:r>
        <w:t xml:space="preserve"> </w:t>
      </w:r>
      <w:r>
        <w:rPr>
          <w:rFonts w:hint="cs"/>
          <w:rtl/>
        </w:rPr>
        <w:t xml:space="preserve"> </w:t>
      </w:r>
      <w:r>
        <w:rPr>
          <w:rtl/>
        </w:rPr>
        <w:t>הסמיך את שני הפסוקים "יחי ראובן" "וזאת ליהודה", כמו שהמדרש ממשיך ומסביר.</w:t>
      </w:r>
      <w:r>
        <w:rPr>
          <w:rFonts w:hint="cs"/>
          <w:rtl/>
        </w:rPr>
        <w:t xml:space="preserve"> ראה דברים לג ו-ז. ועדיין ראובן ראשון. </w:t>
      </w:r>
    </w:p>
  </w:footnote>
  <w:footnote w:id="3">
    <w:p w:rsidR="00F809D6" w:rsidRDefault="00F809D6" w:rsidP="00BE32E2">
      <w:pPr>
        <w:pStyle w:val="a3"/>
        <w:rPr>
          <w:rFonts w:hint="cs"/>
          <w:rtl/>
        </w:rPr>
      </w:pPr>
      <w:r>
        <w:rPr>
          <w:rStyle w:val="a5"/>
        </w:rPr>
        <w:footnoteRef/>
      </w:r>
      <w:r>
        <w:t xml:space="preserve"> </w:t>
      </w:r>
      <w:r>
        <w:rPr>
          <w:rFonts w:hint="cs"/>
          <w:rtl/>
        </w:rPr>
        <w:t xml:space="preserve"> </w:t>
      </w:r>
      <w:r>
        <w:rPr>
          <w:rtl/>
        </w:rPr>
        <w:t xml:space="preserve">פסוק זה מאיוב טו יח הוא בסיס מרכזי למוטו שלנו. ראה מצודת דוד וכן דעת מקרא על פסוק זה. חכמי המסורת והמדרש לא החביאו את מעשי </w:t>
      </w:r>
      <w:r>
        <w:rPr>
          <w:rFonts w:hint="cs"/>
          <w:rtl/>
        </w:rPr>
        <w:t>ה</w:t>
      </w:r>
      <w:r>
        <w:rPr>
          <w:rtl/>
        </w:rPr>
        <w:t>אבות והעבירו אותו לדורות הבאים בלי כחל ושרק. לפעמים אף הוסיפו והעצימו את חטאי ה</w:t>
      </w:r>
      <w:r>
        <w:rPr>
          <w:rFonts w:hint="cs"/>
          <w:rtl/>
        </w:rPr>
        <w:t>דורות הקודמים</w:t>
      </w:r>
      <w:r w:rsidR="007E7307">
        <w:rPr>
          <w:rFonts w:hint="cs"/>
          <w:rtl/>
        </w:rPr>
        <w:t xml:space="preserve"> (העצמה זו, מעבר למה שכתוב במקרא, היא נושא שיש עוד לחקור אותו)</w:t>
      </w:r>
      <w:r>
        <w:rPr>
          <w:rFonts w:hint="cs"/>
          <w:rtl/>
        </w:rPr>
        <w:t xml:space="preserve">. </w:t>
      </w:r>
      <w:r>
        <w:rPr>
          <w:rtl/>
        </w:rPr>
        <w:t xml:space="preserve">ראה כל המדרשים על "וירד יהודה", למשל, </w:t>
      </w:r>
      <w:r>
        <w:rPr>
          <w:rFonts w:hint="cs"/>
          <w:rtl/>
        </w:rPr>
        <w:t>ב</w:t>
      </w:r>
      <w:r>
        <w:rPr>
          <w:rtl/>
        </w:rPr>
        <w:t>בראשית רבה פרשה פה</w:t>
      </w:r>
      <w:r w:rsidR="00047666">
        <w:rPr>
          <w:rFonts w:hint="cs"/>
          <w:rtl/>
        </w:rPr>
        <w:t xml:space="preserve">, על 'חטאי יעקב' מעבר למה שבתורה </w:t>
      </w:r>
      <w:r w:rsidR="00BE32E2">
        <w:rPr>
          <w:rFonts w:hint="cs"/>
          <w:rtl/>
        </w:rPr>
        <w:t xml:space="preserve">שנראה להלן </w:t>
      </w:r>
      <w:r w:rsidR="00047666">
        <w:rPr>
          <w:rFonts w:hint="cs"/>
          <w:rtl/>
        </w:rPr>
        <w:t>ועוד</w:t>
      </w:r>
      <w:r>
        <w:rPr>
          <w:rtl/>
        </w:rPr>
        <w:t>. ו</w:t>
      </w:r>
      <w:r>
        <w:rPr>
          <w:rFonts w:hint="cs"/>
          <w:rtl/>
        </w:rPr>
        <w:t>כבר ה</w:t>
      </w:r>
      <w:r w:rsidR="00A86FBB">
        <w:rPr>
          <w:rFonts w:hint="cs"/>
          <w:rtl/>
        </w:rPr>
        <w:t xml:space="preserve">רחבנו </w:t>
      </w:r>
      <w:hyperlink r:id="rId3" w:history="1">
        <w:r w:rsidRPr="00A86FBB">
          <w:rPr>
            <w:rStyle w:val="Hyperlink"/>
            <w:rFonts w:hint="cs"/>
            <w:rtl/>
          </w:rPr>
          <w:t>ב</w:t>
        </w:r>
        <w:r w:rsidRPr="00A86FBB">
          <w:rPr>
            <w:rStyle w:val="Hyperlink"/>
            <w:rtl/>
          </w:rPr>
          <w:t>מעשה יהודה ותמר</w:t>
        </w:r>
      </w:hyperlink>
      <w:r>
        <w:rPr>
          <w:rFonts w:hint="cs"/>
          <w:rtl/>
        </w:rPr>
        <w:t xml:space="preserve"> בפרשה זו (וישב) בשנ</w:t>
      </w:r>
      <w:r w:rsidR="00A86FBB">
        <w:rPr>
          <w:rFonts w:hint="cs"/>
          <w:rtl/>
        </w:rPr>
        <w:t>ה האחרת</w:t>
      </w:r>
      <w:r>
        <w:rPr>
          <w:rtl/>
        </w:rPr>
        <w:t>.</w:t>
      </w:r>
    </w:p>
  </w:footnote>
  <w:footnote w:id="4">
    <w:p w:rsidR="00CA5663" w:rsidRDefault="00CA5663" w:rsidP="00104E45">
      <w:pPr>
        <w:pStyle w:val="a3"/>
        <w:rPr>
          <w:rFonts w:hint="cs"/>
          <w:rtl/>
        </w:rPr>
      </w:pPr>
      <w:r>
        <w:rPr>
          <w:rStyle w:val="a5"/>
        </w:rPr>
        <w:footnoteRef/>
      </w:r>
      <w:r>
        <w:rPr>
          <w:rtl/>
        </w:rPr>
        <w:t xml:space="preserve"> </w:t>
      </w:r>
      <w:r>
        <w:rPr>
          <w:rFonts w:hint="cs"/>
          <w:rtl/>
        </w:rPr>
        <w:t xml:space="preserve">נתעכב לרגע על הפסוק באיוב המשמש כאמור מוטיב לנושא שלנו. לפי הדרשות וגם הפשט, אולי צריך היה לקרוא בפסוק: "אשר לא </w:t>
      </w:r>
      <w:r w:rsidR="0051431C">
        <w:rPr>
          <w:rFonts w:hint="cs"/>
          <w:rtl/>
        </w:rPr>
        <w:t xml:space="preserve">כחדו </w:t>
      </w:r>
      <w:r>
        <w:rPr>
          <w:rFonts w:hint="cs"/>
          <w:rtl/>
        </w:rPr>
        <w:t xml:space="preserve">מבניהם". הפתרון שמציע מצודת דוד הוא: לא מנעו או נמנעו מלספר (לבנים) את מה שקבלו מהאבות. ראה בדרך זו גם פירוש דעת מקרא על הפסוק: "ולא כחדו מאבותם </w:t>
      </w:r>
      <w:r>
        <w:rPr>
          <w:rtl/>
        </w:rPr>
        <w:t>–</w:t>
      </w:r>
      <w:r>
        <w:rPr>
          <w:rFonts w:hint="cs"/>
          <w:rtl/>
        </w:rPr>
        <w:t xml:space="preserve"> מקרא קצר, ושיעורו: יגידו ולא כחדו את אשר שמעו מאבותם, כמו: </w:t>
      </w:r>
      <w:r>
        <w:rPr>
          <w:rtl/>
        </w:rPr>
        <w:t>אֲשֶׁר שָׁמַעְנוּ וַנֵּדָעֵם וַאֲבוֹתֵינוּ סִפְּרוּ־לָנוּ</w:t>
      </w:r>
      <w:r>
        <w:rPr>
          <w:rFonts w:hint="cs"/>
          <w:rtl/>
        </w:rPr>
        <w:t>:</w:t>
      </w:r>
      <w:r>
        <w:rPr>
          <w:rtl/>
        </w:rPr>
        <w:t xml:space="preserve"> לֹא נְכַחֵד מִבְּנֵיהֶם</w:t>
      </w:r>
      <w:r>
        <w:rPr>
          <w:rFonts w:hint="cs"/>
          <w:rtl/>
        </w:rPr>
        <w:t xml:space="preserve"> וכו' (</w:t>
      </w:r>
      <w:r>
        <w:rPr>
          <w:rtl/>
        </w:rPr>
        <w:t>תהלים עח</w:t>
      </w:r>
      <w:r>
        <w:rPr>
          <w:rFonts w:hint="cs"/>
          <w:rtl/>
        </w:rPr>
        <w:t xml:space="preserve"> ג-ד)". ועפ"י המדרש אולי כחדו הוא "להחליק", לא לספר את הכל. ואז "לא כחדו מאבותם", משמעו לא הסתירו דבר מתולדות אבות</w:t>
      </w:r>
      <w:r w:rsidR="00BE32E2">
        <w:rPr>
          <w:rFonts w:hint="cs"/>
          <w:rtl/>
        </w:rPr>
        <w:t>יה</w:t>
      </w:r>
      <w:r>
        <w:rPr>
          <w:rFonts w:hint="cs"/>
          <w:rtl/>
        </w:rPr>
        <w:t xml:space="preserve">ם, </w:t>
      </w:r>
      <w:r w:rsidR="00104E45">
        <w:rPr>
          <w:rFonts w:hint="cs"/>
          <w:rtl/>
        </w:rPr>
        <w:t>לא</w:t>
      </w:r>
      <w:r w:rsidR="0051431C">
        <w:rPr>
          <w:rFonts w:hint="cs"/>
          <w:rtl/>
        </w:rPr>
        <w:t xml:space="preserve"> כחדו על אבותם</w:t>
      </w:r>
      <w:r w:rsidR="00503F16">
        <w:rPr>
          <w:rFonts w:hint="cs"/>
          <w:rtl/>
        </w:rPr>
        <w:t xml:space="preserve"> ולא חיפו עליהם</w:t>
      </w:r>
      <w:r w:rsidR="00104E45">
        <w:rPr>
          <w:rFonts w:hint="cs"/>
          <w:rtl/>
        </w:rPr>
        <w:t xml:space="preserve">. </w:t>
      </w:r>
      <w:r>
        <w:rPr>
          <w:rFonts w:hint="cs"/>
          <w:rtl/>
        </w:rPr>
        <w:t>ואין צורך להוסיף את הבנים לפסוק</w:t>
      </w:r>
      <w:r w:rsidR="00104E45">
        <w:rPr>
          <w:rFonts w:hint="cs"/>
          <w:rtl/>
        </w:rPr>
        <w:t>,</w:t>
      </w:r>
      <w:r>
        <w:rPr>
          <w:rFonts w:hint="cs"/>
          <w:rtl/>
        </w:rPr>
        <w:t xml:space="preserve"> אלא בהקשר הכללי כמובן, שהרי הכל מסופר בסופו של דבר לבנים.</w:t>
      </w:r>
    </w:p>
  </w:footnote>
  <w:footnote w:id="5">
    <w:p w:rsidR="00CA004C" w:rsidRDefault="00CA004C" w:rsidP="00104E45">
      <w:pPr>
        <w:pStyle w:val="a3"/>
        <w:rPr>
          <w:rFonts w:hint="cs"/>
          <w:rtl/>
        </w:rPr>
      </w:pPr>
      <w:r>
        <w:rPr>
          <w:rStyle w:val="a5"/>
        </w:rPr>
        <w:footnoteRef/>
      </w:r>
      <w:r>
        <w:rPr>
          <w:rtl/>
        </w:rPr>
        <w:t xml:space="preserve"> </w:t>
      </w:r>
      <w:r w:rsidR="00104E45">
        <w:rPr>
          <w:rFonts w:hint="cs"/>
          <w:rtl/>
        </w:rPr>
        <w:t xml:space="preserve">ראה הדיון במכילתא </w:t>
      </w:r>
      <w:r w:rsidR="00104E45">
        <w:rPr>
          <w:rtl/>
        </w:rPr>
        <w:t xml:space="preserve">דרבי ישמעאל בשלח - מסכתא דויהי פרשה ה </w:t>
      </w:r>
      <w:r w:rsidR="00104E45">
        <w:rPr>
          <w:rFonts w:hint="cs"/>
          <w:rtl/>
        </w:rPr>
        <w:t>וכן ב</w:t>
      </w:r>
      <w:r w:rsidR="00104E45">
        <w:rPr>
          <w:rtl/>
        </w:rPr>
        <w:t>תוספתא מסכת ברכות (ליברמן) פרק ד הלכה יח</w:t>
      </w:r>
      <w:r w:rsidR="00104E45">
        <w:rPr>
          <w:rFonts w:hint="cs"/>
          <w:rtl/>
        </w:rPr>
        <w:t xml:space="preserve">: </w:t>
      </w:r>
      <w:r w:rsidR="00104E45">
        <w:rPr>
          <w:rtl/>
        </w:rPr>
        <w:t xml:space="preserve">מפני מה זכה יהודה למלכות? </w:t>
      </w:r>
      <w:r w:rsidR="00104E45">
        <w:rPr>
          <w:rFonts w:hint="cs"/>
          <w:rtl/>
        </w:rPr>
        <w:t xml:space="preserve">ושיטת ר' עקיבא שם היא: </w:t>
      </w:r>
      <w:r w:rsidR="00104E45">
        <w:rPr>
          <w:rtl/>
        </w:rPr>
        <w:t>מפני שהודה בתמר.</w:t>
      </w:r>
    </w:p>
  </w:footnote>
  <w:footnote w:id="6">
    <w:p w:rsidR="00503F16" w:rsidRDefault="00503F16">
      <w:pPr>
        <w:pStyle w:val="a3"/>
        <w:rPr>
          <w:rFonts w:hint="cs"/>
          <w:rtl/>
        </w:rPr>
      </w:pPr>
      <w:r>
        <w:rPr>
          <w:rStyle w:val="a5"/>
        </w:rPr>
        <w:footnoteRef/>
      </w:r>
      <w:r>
        <w:rPr>
          <w:rtl/>
        </w:rPr>
        <w:t xml:space="preserve"> </w:t>
      </w:r>
      <w:r>
        <w:rPr>
          <w:rFonts w:hint="cs"/>
          <w:rtl/>
        </w:rPr>
        <w:t xml:space="preserve">וכן הוא </w:t>
      </w:r>
      <w:r>
        <w:rPr>
          <w:rtl/>
        </w:rPr>
        <w:t>ב</w:t>
      </w:r>
      <w:r>
        <w:rPr>
          <w:rFonts w:hint="cs"/>
          <w:rtl/>
        </w:rPr>
        <w:t xml:space="preserve">מדרש </w:t>
      </w:r>
      <w:r>
        <w:rPr>
          <w:rtl/>
        </w:rPr>
        <w:t xml:space="preserve">מדבר רבה ט יז </w:t>
      </w:r>
      <w:r>
        <w:rPr>
          <w:rFonts w:hint="cs"/>
          <w:rtl/>
        </w:rPr>
        <w:t xml:space="preserve">פרשת נשא (פרשת סוטה). </w:t>
      </w:r>
      <w:r>
        <w:rPr>
          <w:rtl/>
        </w:rPr>
        <w:t xml:space="preserve">"דברי </w:t>
      </w:r>
      <w:r>
        <w:rPr>
          <w:rFonts w:hint="cs"/>
          <w:rtl/>
        </w:rPr>
        <w:t>ה</w:t>
      </w:r>
      <w:r>
        <w:rPr>
          <w:rtl/>
        </w:rPr>
        <w:t xml:space="preserve">גדה" אלה </w:t>
      </w:r>
      <w:r>
        <w:rPr>
          <w:rFonts w:hint="cs"/>
          <w:rtl/>
        </w:rPr>
        <w:t xml:space="preserve">כבר אינם רק דברי מדרש ומוסר, אלא </w:t>
      </w:r>
      <w:r>
        <w:rPr>
          <w:rtl/>
        </w:rPr>
        <w:t xml:space="preserve">להלכה ממש! </w:t>
      </w:r>
      <w:r>
        <w:rPr>
          <w:rFonts w:hint="cs"/>
          <w:rtl/>
        </w:rPr>
        <w:t xml:space="preserve">וגם ב"הגדה" של ליל הסדר יש לא מעט גנות של אבותינו וכדי לצאת ידי חובת הכל במחלוקת היכן הוא ה"מתחיל בגנות ומסיים בשבח" של המשנה, אנו אומרים גם: "מתחילה עובדי עבודה זרה היו אבותינו" וגם: "עבדים היינו" ועוד מוסיפים: "ארמי עובד אבי" שגם בו יש מן הגנות (ראה סוטה לב ע"ב: "אדם אומר שבחו בקול נמוך וגנותו בקול רם", ראה רש"י שם). ראה גם </w:t>
      </w:r>
      <w:r>
        <w:rPr>
          <w:rtl/>
        </w:rPr>
        <w:t>תהלים פרק ק</w:t>
      </w:r>
      <w:r>
        <w:rPr>
          <w:rFonts w:hint="cs"/>
          <w:rtl/>
        </w:rPr>
        <w:t>ו.</w:t>
      </w:r>
      <w:r w:rsidR="00BE32E2">
        <w:rPr>
          <w:rFonts w:hint="cs"/>
          <w:rtl/>
        </w:rPr>
        <w:t xml:space="preserve"> ראה דברינו </w:t>
      </w:r>
      <w:hyperlink r:id="rId4" w:history="1">
        <w:r w:rsidR="00BE32E2" w:rsidRPr="00BE32E2">
          <w:rPr>
            <w:rStyle w:val="Hyperlink"/>
            <w:rFonts w:hint="cs"/>
            <w:rtl/>
          </w:rPr>
          <w:t>מתחיל בגנות ומסיים בשבח</w:t>
        </w:r>
      </w:hyperlink>
      <w:r w:rsidR="00BE32E2">
        <w:rPr>
          <w:rFonts w:hint="cs"/>
          <w:rtl/>
        </w:rPr>
        <w:t xml:space="preserve"> בפסח וכן </w:t>
      </w:r>
      <w:hyperlink r:id="rId5" w:history="1">
        <w:r w:rsidR="00BE32E2" w:rsidRPr="00BE32E2">
          <w:rPr>
            <w:rStyle w:val="Hyperlink"/>
            <w:rFonts w:hint="cs"/>
            <w:rtl/>
          </w:rPr>
          <w:t>ארמי אובד אבי</w:t>
        </w:r>
      </w:hyperlink>
      <w:r w:rsidR="00BE32E2">
        <w:rPr>
          <w:rFonts w:hint="cs"/>
          <w:rtl/>
        </w:rPr>
        <w:t xml:space="preserve"> בפרשת כי תבוא.</w:t>
      </w:r>
    </w:p>
  </w:footnote>
  <w:footnote w:id="7">
    <w:p w:rsidR="00503F16" w:rsidRDefault="00503F16">
      <w:pPr>
        <w:pStyle w:val="a3"/>
        <w:rPr>
          <w:rFonts w:hint="cs"/>
          <w:rtl/>
        </w:rPr>
      </w:pPr>
      <w:r>
        <w:rPr>
          <w:rStyle w:val="a5"/>
        </w:rPr>
        <w:footnoteRef/>
      </w:r>
      <w:r>
        <w:rPr>
          <w:rtl/>
        </w:rPr>
        <w:t xml:space="preserve"> </w:t>
      </w:r>
      <w:r>
        <w:rPr>
          <w:rFonts w:hint="cs"/>
          <w:rtl/>
        </w:rPr>
        <w:t>הפסוק המובא כאן: "להם נתנה הארץ" הוא המשך ישיר של פסוק המוטו: "אשר חכמים יגידו". ראה איוב טו שם.</w:t>
      </w:r>
    </w:p>
  </w:footnote>
  <w:footnote w:id="8">
    <w:p w:rsidR="00F809D6" w:rsidRDefault="00F809D6" w:rsidP="00E452D2">
      <w:pPr>
        <w:pStyle w:val="a3"/>
        <w:rPr>
          <w:rFonts w:hint="cs"/>
          <w:rtl/>
        </w:rPr>
      </w:pPr>
      <w:r>
        <w:rPr>
          <w:rStyle w:val="a5"/>
        </w:rPr>
        <w:footnoteRef/>
      </w:r>
      <w:r>
        <w:t xml:space="preserve"> </w:t>
      </w:r>
      <w:r>
        <w:rPr>
          <w:rFonts w:hint="cs"/>
          <w:rtl/>
        </w:rPr>
        <w:t xml:space="preserve"> הגמרא שם דנה תחילה בשאלה מנין לנו בכלל שראובן הודה בחטאו. בניגוד ליהודה שאמר בפירוש: "צדקה ממני", אין פסוק בתורה שמראה שראובן הודה במעשה שעשה</w:t>
      </w:r>
      <w:r w:rsidR="00503F16">
        <w:rPr>
          <w:rFonts w:hint="cs"/>
          <w:rtl/>
        </w:rPr>
        <w:t xml:space="preserve"> (עם בלהה)</w:t>
      </w:r>
      <w:r>
        <w:rPr>
          <w:rFonts w:hint="cs"/>
          <w:rtl/>
        </w:rPr>
        <w:t>. לאחר שהגמרא מוצאת מדרש (לא פסוק!) ממנו ניתן ללמוד שראובן אכן הודה בחטא שחטא (בהשפעתו של יהודה</w:t>
      </w:r>
      <w:r w:rsidR="00503F16">
        <w:rPr>
          <w:rFonts w:hint="cs"/>
          <w:rtl/>
        </w:rPr>
        <w:t xml:space="preserve"> וברמז מברכת משה</w:t>
      </w:r>
      <w:r>
        <w:rPr>
          <w:rFonts w:hint="cs"/>
          <w:rtl/>
        </w:rPr>
        <w:t>)</w:t>
      </w:r>
      <w:r w:rsidR="00E452D2">
        <w:rPr>
          <w:rFonts w:hint="cs"/>
          <w:rtl/>
        </w:rPr>
        <w:t>,</w:t>
      </w:r>
      <w:r>
        <w:rPr>
          <w:rFonts w:hint="cs"/>
          <w:rtl/>
        </w:rPr>
        <w:t xml:space="preserve"> ממשיכה הגמרא לשאול: מדוע בכלל הודה ראובן? ניחא יהודה הודה, כי דינה של תמר היה מונח לפניו. אבל ראובן, מדוע הודה? הרי למדנו משמו של רב ששת שיש חוצפה (התרסה?) בהודאה ברבים של חטא! תשובת הגמרא היא שגם כאן היה צורך, כי בכך שהודה הוסר החשד משאר האחים. אולי זו סיבה טובה לכל אחד להודות, על מנת להסיר חשד מאחרים ואולי, שוב, גם זה מעשה אבות סימן לבנים. לא </w:t>
      </w:r>
      <w:r w:rsidR="00AE2F2E">
        <w:rPr>
          <w:rFonts w:hint="cs"/>
          <w:rtl/>
        </w:rPr>
        <w:t xml:space="preserve">צריך </w:t>
      </w:r>
      <w:r>
        <w:rPr>
          <w:rFonts w:hint="cs"/>
          <w:rtl/>
        </w:rPr>
        <w:t xml:space="preserve">לחפש סיבה להודות. </w:t>
      </w:r>
      <w:r w:rsidR="00AE2F2E">
        <w:rPr>
          <w:rFonts w:hint="cs"/>
          <w:rtl/>
        </w:rPr>
        <w:t xml:space="preserve">לקיחת אחריות שמנקה את האחרים ומשמשת תמרור אזהרה היא סיבה מספקת. ואחרי כל זאת, </w:t>
      </w:r>
      <w:r>
        <w:rPr>
          <w:rFonts w:hint="cs"/>
          <w:rtl/>
        </w:rPr>
        <w:t>דיון זה בגמרא</w:t>
      </w:r>
      <w:r w:rsidR="00AE2F2E">
        <w:rPr>
          <w:rFonts w:hint="cs"/>
          <w:rtl/>
        </w:rPr>
        <w:t xml:space="preserve"> מציג גם את מורכבות הנושא, כפי </w:t>
      </w:r>
      <w:r>
        <w:rPr>
          <w:rFonts w:hint="cs"/>
          <w:rtl/>
        </w:rPr>
        <w:t>שה</w:t>
      </w:r>
      <w:r w:rsidR="00AE2F2E">
        <w:rPr>
          <w:rFonts w:hint="cs"/>
          <w:rtl/>
        </w:rPr>
        <w:t>ערנו ב</w:t>
      </w:r>
      <w:r>
        <w:rPr>
          <w:rFonts w:hint="cs"/>
          <w:rtl/>
        </w:rPr>
        <w:t xml:space="preserve">הערה </w:t>
      </w:r>
      <w:r w:rsidR="001D4CBB">
        <w:rPr>
          <w:rFonts w:hint="cs"/>
          <w:rtl/>
        </w:rPr>
        <w:t>1</w:t>
      </w:r>
      <w:r>
        <w:rPr>
          <w:rFonts w:hint="cs"/>
          <w:rtl/>
        </w:rPr>
        <w:t xml:space="preserve"> לעיל, היינו, שיש גם דעה נגדית שלא תמיד צריך להתוודות ברבים </w:t>
      </w:r>
      <w:r>
        <w:rPr>
          <w:rtl/>
        </w:rPr>
        <w:t>–</w:t>
      </w:r>
      <w:r>
        <w:rPr>
          <w:rFonts w:hint="cs"/>
          <w:rtl/>
        </w:rPr>
        <w:t xml:space="preserve"> לפעמים לא צריך "לרוץ לספר לחברה".</w:t>
      </w:r>
    </w:p>
  </w:footnote>
  <w:footnote w:id="9">
    <w:p w:rsidR="000958D8" w:rsidRDefault="000958D8" w:rsidP="000958D8">
      <w:pPr>
        <w:pStyle w:val="a3"/>
        <w:rPr>
          <w:rFonts w:hint="cs"/>
          <w:rtl/>
        </w:rPr>
      </w:pPr>
      <w:r>
        <w:rPr>
          <w:rStyle w:val="a5"/>
          <w:rtl/>
        </w:rPr>
        <w:footnoteRef/>
      </w:r>
      <w:r>
        <w:t xml:space="preserve"> </w:t>
      </w:r>
      <w:r>
        <w:rPr>
          <w:rFonts w:hint="cs"/>
          <w:rtl/>
        </w:rPr>
        <w:t xml:space="preserve">היינו קוראים בציבור בתורה (על קריאת היחיד ולימוד תורה אין שום מגבלה), אבל לא מתרגמים לארמית שהיא השפה שהציבור הרחב (עמי הארצות) הבינו. </w:t>
      </w:r>
      <w:r>
        <w:rPr>
          <w:rtl/>
        </w:rPr>
        <w:t xml:space="preserve">ובגמרא </w:t>
      </w:r>
      <w:r>
        <w:rPr>
          <w:rFonts w:hint="cs"/>
          <w:rtl/>
        </w:rPr>
        <w:t xml:space="preserve">שם </w:t>
      </w:r>
      <w:r>
        <w:rPr>
          <w:rtl/>
        </w:rPr>
        <w:t>דף כה ע"ב שואלים: ומה חידוש יש בכך</w:t>
      </w:r>
      <w:r>
        <w:rPr>
          <w:rFonts w:hint="cs"/>
          <w:rtl/>
        </w:rPr>
        <w:t xml:space="preserve"> שמתרגמים את מעשה יהודה ותמר</w:t>
      </w:r>
      <w:r>
        <w:rPr>
          <w:rtl/>
        </w:rPr>
        <w:t xml:space="preserve">? ומתרצים שיכולנו לחשוב שאולי קוראים ואין מתרגמים (כמו מעשה ראובן ואחרים, ראה שם) כדי שלא ייפגע כבודו של יהודה, אך באמת כבוד ושבח הוא לו שהודה ולא בוש. ואולי לא רק בזכותו של יהודה, אלא גם (ובעיקר) בזכותה של תמר שבחכמתה ותבונתה ניווטה את העניין. </w:t>
      </w:r>
      <w:r>
        <w:rPr>
          <w:rFonts w:hint="cs"/>
          <w:rtl/>
        </w:rPr>
        <w:t xml:space="preserve">ראה דברינו </w:t>
      </w:r>
      <w:hyperlink r:id="rId6" w:history="1">
        <w:r w:rsidRPr="000958D8">
          <w:rPr>
            <w:rStyle w:val="Hyperlink"/>
            <w:rFonts w:hint="cs"/>
            <w:rtl/>
          </w:rPr>
          <w:t>צדקה ממני</w:t>
        </w:r>
      </w:hyperlink>
      <w:r>
        <w:rPr>
          <w:rFonts w:hint="cs"/>
          <w:rtl/>
        </w:rPr>
        <w:t xml:space="preserve"> </w:t>
      </w:r>
      <w:r w:rsidR="005633ED">
        <w:rPr>
          <w:rFonts w:hint="cs"/>
          <w:rtl/>
        </w:rPr>
        <w:t xml:space="preserve">וכן דברינו </w:t>
      </w:r>
      <w:hyperlink r:id="rId7" w:history="1">
        <w:r w:rsidR="005633ED" w:rsidRPr="005633ED">
          <w:rPr>
            <w:rStyle w:val="Hyperlink"/>
            <w:rFonts w:hint="cs"/>
            <w:rtl/>
          </w:rPr>
          <w:t>מעשה יהודה ותמר נקרא ומיתרגם</w:t>
        </w:r>
      </w:hyperlink>
      <w:r w:rsidR="005633ED">
        <w:rPr>
          <w:rFonts w:hint="cs"/>
          <w:rtl/>
        </w:rPr>
        <w:t xml:space="preserve"> </w:t>
      </w:r>
      <w:r>
        <w:rPr>
          <w:rFonts w:hint="cs"/>
          <w:rtl/>
        </w:rPr>
        <w:t xml:space="preserve">בפרשת וישב. </w:t>
      </w:r>
    </w:p>
  </w:footnote>
  <w:footnote w:id="10">
    <w:p w:rsidR="000958D8" w:rsidRDefault="000958D8" w:rsidP="005633ED">
      <w:pPr>
        <w:pStyle w:val="a3"/>
        <w:rPr>
          <w:rFonts w:hint="cs"/>
        </w:rPr>
      </w:pPr>
      <w:r>
        <w:rPr>
          <w:rStyle w:val="a5"/>
        </w:rPr>
        <w:footnoteRef/>
      </w:r>
      <w:r>
        <w:rPr>
          <w:rtl/>
        </w:rPr>
        <w:t xml:space="preserve"> </w:t>
      </w:r>
      <w:r w:rsidR="003178BB">
        <w:rPr>
          <w:rFonts w:hint="cs"/>
          <w:rtl/>
        </w:rPr>
        <w:t xml:space="preserve">ראה </w:t>
      </w:r>
      <w:r w:rsidR="005633ED">
        <w:rPr>
          <w:rFonts w:hint="cs"/>
          <w:rtl/>
        </w:rPr>
        <w:t>הסבר ו</w:t>
      </w:r>
      <w:r w:rsidR="003178BB">
        <w:rPr>
          <w:rFonts w:hint="cs"/>
          <w:rtl/>
        </w:rPr>
        <w:t>פירוט ב</w:t>
      </w:r>
      <w:r>
        <w:rPr>
          <w:rFonts w:hint="cs"/>
          <w:rtl/>
        </w:rPr>
        <w:t>גמרא שם</w:t>
      </w:r>
      <w:r w:rsidR="003178BB">
        <w:rPr>
          <w:rFonts w:hint="cs"/>
          <w:rtl/>
        </w:rPr>
        <w:t>, שמביאה גם מקרים נוספים,</w:t>
      </w:r>
      <w:r>
        <w:rPr>
          <w:rFonts w:hint="cs"/>
          <w:rtl/>
        </w:rPr>
        <w:t xml:space="preserve"> </w:t>
      </w:r>
      <w:r w:rsidR="003178BB">
        <w:rPr>
          <w:rFonts w:hint="cs"/>
          <w:rtl/>
        </w:rPr>
        <w:t xml:space="preserve">ובתמצית במפרשי המשנה, קהתי למשל, ולא נוכל להאריך בכך. נעיר רק שעפ"י נוסח המשנה שנמצא בגמרא, גם מעשה דוד ואמנון, היינו אמנון ותמר, היינו תמר האחרת, נקרא אך לא מיתרגם. ובימינו שהציבור ברובו מבין עברית, נעלמה הלכה זו לגמרי וגם זה מנפלאות חידוש תקומת עם ישראל בארצו ובשפתו.  </w:t>
      </w:r>
    </w:p>
  </w:footnote>
  <w:footnote w:id="11">
    <w:p w:rsidR="00F809D6" w:rsidRDefault="00F809D6">
      <w:pPr>
        <w:pStyle w:val="a3"/>
        <w:rPr>
          <w:rtl/>
        </w:rPr>
      </w:pPr>
      <w:r>
        <w:rPr>
          <w:rStyle w:val="a5"/>
          <w:rtl/>
        </w:rPr>
        <w:footnoteRef/>
      </w:r>
      <w:r>
        <w:rPr>
          <w:rtl/>
        </w:rPr>
        <w:t xml:space="preserve"> ובימינו הייתה אומרת לאה ליעקב: תראו מי שמדבר!</w:t>
      </w:r>
    </w:p>
  </w:footnote>
  <w:footnote w:id="12">
    <w:p w:rsidR="00F809D6" w:rsidRDefault="00F809D6" w:rsidP="00BE32E2">
      <w:pPr>
        <w:pStyle w:val="a3"/>
        <w:rPr>
          <w:rFonts w:hint="cs"/>
          <w:rtl/>
        </w:rPr>
      </w:pPr>
      <w:r>
        <w:rPr>
          <w:rStyle w:val="a5"/>
          <w:rtl/>
        </w:rPr>
        <w:footnoteRef/>
      </w:r>
      <w:r>
        <w:t xml:space="preserve"> </w:t>
      </w:r>
      <w:r>
        <w:rPr>
          <w:rFonts w:hint="cs"/>
          <w:rtl/>
        </w:rPr>
        <w:t xml:space="preserve">אין לך דמות באבות שנתונה לביקורת כל כך קשה ונוקבת כמו יעקב "בחור או בחיר האבות" (בראשית רבה עו לב). כאן המדרש "סוגר חשבון" עם יעקב על מה שעשה לאביו כשעמד מולו ואמר: "אנכי עשו בכורך" ועם כל חריפות הדברים, אפשר להולמם. </w:t>
      </w:r>
      <w:r w:rsidR="00BE32E2">
        <w:rPr>
          <w:rFonts w:hint="cs"/>
          <w:rtl/>
        </w:rPr>
        <w:t xml:space="preserve">ראה גם </w:t>
      </w:r>
      <w:r w:rsidR="001A27B2">
        <w:rPr>
          <w:rFonts w:hint="cs"/>
          <w:rtl/>
        </w:rPr>
        <w:t>הביקורת על יעקב בראש פרשת וישלח: "</w:t>
      </w:r>
      <w:r w:rsidR="001A27B2">
        <w:rPr>
          <w:rtl/>
        </w:rPr>
        <w:t>לדרכו היה מהלך ואתה משלח אצלו ואומר לו כה אמר עבדך יעקב</w:t>
      </w:r>
      <w:r w:rsidR="001A27B2">
        <w:rPr>
          <w:rFonts w:hint="cs"/>
          <w:rtl/>
        </w:rPr>
        <w:t>!?"</w:t>
      </w:r>
      <w:r w:rsidR="001A27B2" w:rsidRPr="001A27B2">
        <w:rPr>
          <w:rtl/>
        </w:rPr>
        <w:t xml:space="preserve"> </w:t>
      </w:r>
      <w:r w:rsidR="001A27B2">
        <w:rPr>
          <w:rFonts w:hint="cs"/>
          <w:rtl/>
        </w:rPr>
        <w:t>(</w:t>
      </w:r>
      <w:r w:rsidR="001A27B2">
        <w:rPr>
          <w:rtl/>
        </w:rPr>
        <w:t>בראשית רבה</w:t>
      </w:r>
      <w:r w:rsidR="001A27B2">
        <w:rPr>
          <w:rFonts w:hint="cs"/>
          <w:rtl/>
        </w:rPr>
        <w:t xml:space="preserve"> עה ג)</w:t>
      </w:r>
      <w:r w:rsidR="00BE32E2">
        <w:rPr>
          <w:rFonts w:hint="cs"/>
          <w:rtl/>
        </w:rPr>
        <w:t xml:space="preserve"> שאפשר להבינה</w:t>
      </w:r>
      <w:r w:rsidR="001A27B2">
        <w:rPr>
          <w:rFonts w:hint="cs"/>
          <w:rtl/>
        </w:rPr>
        <w:t>.</w:t>
      </w:r>
      <w:r w:rsidR="001A27B2">
        <w:rPr>
          <w:rtl/>
        </w:rPr>
        <w:t xml:space="preserve"> </w:t>
      </w:r>
      <w:r>
        <w:rPr>
          <w:rFonts w:hint="cs"/>
          <w:rtl/>
        </w:rPr>
        <w:t xml:space="preserve">אבל במקרים רבים אחרים, מגדיל המדרש לעשות הרבה מעבר למה שנדרש מפשט הפסוקים. </w:t>
      </w:r>
      <w:r w:rsidR="00BE32E2">
        <w:rPr>
          <w:rFonts w:hint="cs"/>
          <w:rtl/>
        </w:rPr>
        <w:t xml:space="preserve">ראה תשובתו הקשה לרחל שבקשה פרי בטן (בדברינו </w:t>
      </w:r>
      <w:hyperlink r:id="rId8" w:history="1">
        <w:r w:rsidR="00BE32E2" w:rsidRPr="00BE32E2">
          <w:rPr>
            <w:rStyle w:val="Hyperlink"/>
            <w:rFonts w:hint="cs"/>
            <w:rtl/>
          </w:rPr>
          <w:t>יעקב ורחל – השבר הגדול</w:t>
        </w:r>
      </w:hyperlink>
      <w:r w:rsidR="00BE32E2">
        <w:rPr>
          <w:rFonts w:hint="cs"/>
          <w:rtl/>
        </w:rPr>
        <w:t xml:space="preserve">), </w:t>
      </w:r>
      <w:r>
        <w:rPr>
          <w:rFonts w:hint="cs"/>
          <w:rtl/>
        </w:rPr>
        <w:t xml:space="preserve">ראה </w:t>
      </w:r>
      <w:r w:rsidR="003178BB">
        <w:rPr>
          <w:rFonts w:hint="cs"/>
          <w:rtl/>
        </w:rPr>
        <w:t xml:space="preserve">גם דברינו </w:t>
      </w:r>
      <w:hyperlink r:id="rId9" w:history="1">
        <w:r w:rsidR="003178BB" w:rsidRPr="003178BB">
          <w:rPr>
            <w:rStyle w:val="Hyperlink"/>
            <w:rFonts w:hint="cs"/>
            <w:rtl/>
          </w:rPr>
          <w:t>קום עלה בית אל</w:t>
        </w:r>
      </w:hyperlink>
      <w:r w:rsidR="003178BB">
        <w:rPr>
          <w:rFonts w:hint="cs"/>
          <w:rtl/>
        </w:rPr>
        <w:t xml:space="preserve"> בפרשת וישלח, הביקורת </w:t>
      </w:r>
      <w:r>
        <w:rPr>
          <w:rFonts w:hint="cs"/>
          <w:rtl/>
        </w:rPr>
        <w:t>על איחור הנדר של יעקב</w:t>
      </w:r>
      <w:r w:rsidR="003178BB">
        <w:rPr>
          <w:rFonts w:hint="cs"/>
          <w:rtl/>
        </w:rPr>
        <w:t>, מדרשים שמתחילים ב"יעקב נדר והפסיד", ממשיכים ב-"נתבקרה פנקסו" (מות רחל וצרת דינה), ו</w:t>
      </w:r>
      <w:r>
        <w:rPr>
          <w:rFonts w:hint="cs"/>
          <w:rtl/>
        </w:rPr>
        <w:t xml:space="preserve">מגיעים עד כדי שלוש העברות הקשות של עבודה זרה, גילוי עריות ושפיכות דמים </w:t>
      </w:r>
      <w:r w:rsidR="003178BB">
        <w:rPr>
          <w:rFonts w:hint="cs"/>
          <w:rtl/>
        </w:rPr>
        <w:t xml:space="preserve">בהם לקה </w:t>
      </w:r>
      <w:r>
        <w:rPr>
          <w:rFonts w:hint="cs"/>
          <w:rtl/>
        </w:rPr>
        <w:t>בית יעקב! ואם נחזור למעשה יהודה ותמר, שהוא בפרשת השבוע שלנו, מה נעשה עם מדרש כל כך קשה כמו זה: "</w:t>
      </w:r>
      <w:r>
        <w:rPr>
          <w:rtl/>
        </w:rPr>
        <w:t>יהודה בא דין תמר לפניו שתישרף והוא זיכה אותה מפני שמצא לה זכות. כיצד? היו יצחק ויעקב יושבים שם וכל אחיו והיו מחפים אותו. הכיר יהודה למקום ואמר אמיתת הדבר ואמר</w:t>
      </w:r>
      <w:r w:rsidR="003178BB">
        <w:rPr>
          <w:rFonts w:hint="cs"/>
          <w:rtl/>
        </w:rPr>
        <w:t>:</w:t>
      </w:r>
      <w:r>
        <w:rPr>
          <w:rtl/>
        </w:rPr>
        <w:t xml:space="preserve"> צדקה ממני</w:t>
      </w:r>
      <w:r>
        <w:rPr>
          <w:rFonts w:hint="cs"/>
          <w:rtl/>
        </w:rPr>
        <w:t xml:space="preserve"> (שמות רבה ל יט)</w:t>
      </w:r>
      <w:r w:rsidR="003178BB">
        <w:rPr>
          <w:rFonts w:hint="cs"/>
          <w:rtl/>
        </w:rPr>
        <w:t>"</w:t>
      </w:r>
      <w:r>
        <w:rPr>
          <w:rFonts w:hint="cs"/>
          <w:rtl/>
        </w:rPr>
        <w:t xml:space="preserve">. יעקב ויצחק מחפים בדין! האם לא די לנו במה שכתוב בפסוקים עצמם? איזה ספר הוציא ר' יוסי וקרא לפני המטרונה? האם קרא לפניה רק את המקרא או שמא גם את המדרשים? </w:t>
      </w:r>
      <w:r w:rsidR="003178BB">
        <w:rPr>
          <w:rFonts w:hint="cs"/>
          <w:rtl/>
        </w:rPr>
        <w:t xml:space="preserve">זו סוגיית "המדרש המעצים" שכבר הזכרנו בהערה </w:t>
      </w:r>
      <w:r w:rsidR="001D4CBB">
        <w:rPr>
          <w:rFonts w:hint="cs"/>
          <w:rtl/>
        </w:rPr>
        <w:t>3</w:t>
      </w:r>
      <w:r w:rsidR="003178BB">
        <w:rPr>
          <w:rFonts w:hint="cs"/>
          <w:rtl/>
        </w:rPr>
        <w:t xml:space="preserve"> לעיל, שהוא טעון עיון ומחקר בפני עצמו: מה צורך רואה המדרש להעצים ולהגדיל את חטאי האבות מעבר למסופר במקרא? ועד שנספיק לדון בכך, </w:t>
      </w:r>
      <w:r>
        <w:rPr>
          <w:rFonts w:hint="cs"/>
          <w:rtl/>
        </w:rPr>
        <w:t xml:space="preserve">המאיר עינינו </w:t>
      </w:r>
      <w:r w:rsidR="003178BB">
        <w:rPr>
          <w:rFonts w:hint="cs"/>
          <w:rtl/>
        </w:rPr>
        <w:t xml:space="preserve">בעניין זה </w:t>
      </w:r>
      <w:r>
        <w:rPr>
          <w:rFonts w:hint="cs"/>
          <w:rtl/>
        </w:rPr>
        <w:t xml:space="preserve">יבורך בכל מילי דמיטב.   </w:t>
      </w:r>
    </w:p>
  </w:footnote>
  <w:footnote w:id="13">
    <w:p w:rsidR="00F809D6" w:rsidRDefault="00F809D6">
      <w:pPr>
        <w:pStyle w:val="a3"/>
        <w:rPr>
          <w:rFonts w:hint="cs"/>
          <w:rtl/>
        </w:rPr>
      </w:pPr>
      <w:r>
        <w:rPr>
          <w:rStyle w:val="a5"/>
          <w:rtl/>
        </w:rPr>
        <w:footnoteRef/>
      </w:r>
      <w:r>
        <w:t xml:space="preserve"> </w:t>
      </w:r>
      <w:r>
        <w:rPr>
          <w:rFonts w:hint="cs"/>
          <w:rtl/>
        </w:rPr>
        <w:t xml:space="preserve">טענתו המוסרית של אבימלך היא כלפי שמים, אבל עוד יותר כלפי אברהם: "מעשים אשר לא יעשו עשית עמדי" הוא אומר לו. ראה מדרש </w:t>
      </w:r>
      <w:r>
        <w:rPr>
          <w:rFonts w:hint="cs"/>
          <w:rtl/>
          <w:lang w:val="he-IL"/>
        </w:rPr>
        <w:t>שכל טוב (בובר) בראשית פרק כ: "ויקרא אבימלך לאברהם ויאמר לו מה עשית לנו. שרימית בנו כך: ומה חטאתי לך. שגרמת לי דבר זה: כי הבאת עלי ועל ממלכתי חטאה גדולה. לפרוץ בעריות כמעשה דור המבול ואנשי סדום: מעשים אשר לא  יעשו עשית עמדי. שאין אדם עשוי לומר על אשתו שהיא פנויה ולהתירה לאחרים, שהרי אחרים לוקחין אותה והוא נענש, ושמא דימתה להענישנו בה שנהפך כסדום". עד כאן דברי המדרש. אברהם מושווה לסדום!</w:t>
      </w:r>
      <w:r w:rsidR="00BE32E2">
        <w:rPr>
          <w:rFonts w:hint="cs"/>
          <w:rtl/>
        </w:rPr>
        <w:t xml:space="preserve"> ראה דברינו </w:t>
      </w:r>
      <w:hyperlink r:id="rId10" w:history="1">
        <w:r w:rsidR="00BE32E2" w:rsidRPr="00BE32E2">
          <w:rPr>
            <w:rStyle w:val="Hyperlink"/>
            <w:rFonts w:hint="cs"/>
            <w:rtl/>
          </w:rPr>
          <w:t>הגוי גם צדיק תהרוג</w:t>
        </w:r>
      </w:hyperlink>
      <w:r w:rsidR="00BE32E2">
        <w:rPr>
          <w:rFonts w:hint="cs"/>
          <w:rtl/>
        </w:rPr>
        <w:t>.</w:t>
      </w:r>
    </w:p>
  </w:footnote>
  <w:footnote w:id="14">
    <w:p w:rsidR="00F809D6" w:rsidRDefault="00F809D6" w:rsidP="003178BB">
      <w:pPr>
        <w:pStyle w:val="a3"/>
        <w:rPr>
          <w:rFonts w:hint="cs"/>
          <w:rtl/>
        </w:rPr>
      </w:pPr>
      <w:r>
        <w:rPr>
          <w:rStyle w:val="a5"/>
          <w:rtl/>
        </w:rPr>
        <w:footnoteRef/>
      </w:r>
      <w:r>
        <w:t xml:space="preserve"> </w:t>
      </w:r>
      <w:r>
        <w:rPr>
          <w:rFonts w:hint="cs"/>
          <w:rtl/>
        </w:rPr>
        <w:t xml:space="preserve">יצחק חוזר על מעשה אביו עם אבימלך </w:t>
      </w:r>
      <w:r w:rsidR="003178BB">
        <w:rPr>
          <w:rFonts w:hint="cs"/>
          <w:rtl/>
        </w:rPr>
        <w:t>בדמיון</w:t>
      </w:r>
      <w:r>
        <w:rPr>
          <w:rFonts w:hint="cs"/>
          <w:rtl/>
        </w:rPr>
        <w:t xml:space="preserve"> רב (השווה בראשית כו ו-יא עם בראשית כ א-ט) ו"זוכה" אף הוא לביקורת דומה.</w:t>
      </w:r>
      <w:r w:rsidR="003178BB">
        <w:rPr>
          <w:rFonts w:hint="cs"/>
          <w:rtl/>
        </w:rPr>
        <w:t xml:space="preserve"> ראה גם </w:t>
      </w:r>
      <w:r w:rsidR="003178BB">
        <w:rPr>
          <w:rtl/>
        </w:rPr>
        <w:t xml:space="preserve">בראשית רבה סד </w:t>
      </w:r>
      <w:r w:rsidR="003178BB">
        <w:rPr>
          <w:rFonts w:hint="cs"/>
          <w:rtl/>
        </w:rPr>
        <w:t>ה: "</w:t>
      </w:r>
      <w:r w:rsidR="003178BB">
        <w:rPr>
          <w:rtl/>
        </w:rPr>
        <w:t>ויהי כי ארכו לו שם הימים</w:t>
      </w:r>
      <w:r w:rsidR="003178BB">
        <w:rPr>
          <w:rFonts w:hint="cs"/>
          <w:rtl/>
        </w:rPr>
        <w:t>,</w:t>
      </w:r>
      <w:r w:rsidR="003178BB">
        <w:rPr>
          <w:rtl/>
        </w:rPr>
        <w:t xml:space="preserve"> מיד</w:t>
      </w:r>
      <w:r w:rsidR="003178BB">
        <w:rPr>
          <w:rFonts w:hint="cs"/>
          <w:rtl/>
        </w:rPr>
        <w:t>:</w:t>
      </w:r>
      <w:r w:rsidR="003178BB">
        <w:rPr>
          <w:rtl/>
        </w:rPr>
        <w:t xml:space="preserve"> והנה יצחק מצחק</w:t>
      </w:r>
      <w:r w:rsidR="003178BB">
        <w:rPr>
          <w:rFonts w:hint="cs"/>
          <w:rtl/>
        </w:rPr>
        <w:t>.</w:t>
      </w:r>
      <w:r w:rsidR="003178BB">
        <w:rPr>
          <w:rtl/>
        </w:rPr>
        <w:t xml:space="preserve"> רבי חייא בר אבא אמר</w:t>
      </w:r>
      <w:r w:rsidR="003178BB">
        <w:rPr>
          <w:rFonts w:hint="cs"/>
          <w:rtl/>
        </w:rPr>
        <w:t>:</w:t>
      </w:r>
      <w:r w:rsidR="003178BB">
        <w:rPr>
          <w:rtl/>
        </w:rPr>
        <w:t xml:space="preserve"> בשביל שהעלו לך ימים רבים היית עושה את הדבר הזה</w:t>
      </w:r>
      <w:r w:rsidR="003178BB">
        <w:rPr>
          <w:rFonts w:hint="cs"/>
          <w:rtl/>
        </w:rPr>
        <w:t>?</w:t>
      </w:r>
      <w:r w:rsidR="003178BB">
        <w:rPr>
          <w:rtl/>
        </w:rPr>
        <w:t xml:space="preserve"> לא כך א"ר יוחנן</w:t>
      </w:r>
      <w:r w:rsidR="003178BB">
        <w:rPr>
          <w:rFonts w:hint="cs"/>
          <w:rtl/>
        </w:rPr>
        <w:t>:</w:t>
      </w:r>
      <w:r w:rsidR="003178BB">
        <w:rPr>
          <w:rtl/>
        </w:rPr>
        <w:t xml:space="preserve"> המשמש מ</w:t>
      </w:r>
      <w:r w:rsidR="003178BB">
        <w:rPr>
          <w:rFonts w:hint="cs"/>
          <w:rtl/>
        </w:rPr>
        <w:t>י</w:t>
      </w:r>
      <w:r w:rsidR="003178BB">
        <w:rPr>
          <w:rtl/>
        </w:rPr>
        <w:t>טתו ביום הרי זה מגונה</w:t>
      </w:r>
      <w:r w:rsidR="003178BB">
        <w:rPr>
          <w:rFonts w:hint="cs"/>
          <w:rtl/>
        </w:rPr>
        <w:t xml:space="preserve">!". </w:t>
      </w:r>
      <w:r>
        <w:rPr>
          <w:rFonts w:hint="cs"/>
          <w:rtl/>
        </w:rPr>
        <w:t>במקרים אלה, לפחות, המדרש אינו מרחיק לכת מהמקרא. הוא מעצים במילים ו</w:t>
      </w:r>
      <w:r w:rsidR="003178BB">
        <w:rPr>
          <w:rFonts w:hint="cs"/>
          <w:rtl/>
        </w:rPr>
        <w:t>ב</w:t>
      </w:r>
      <w:r>
        <w:rPr>
          <w:rFonts w:hint="cs"/>
          <w:rtl/>
        </w:rPr>
        <w:t>"צבע", אך לא בעובדות שאינן במקרא.</w:t>
      </w:r>
    </w:p>
  </w:footnote>
  <w:footnote w:id="15">
    <w:p w:rsidR="00300551" w:rsidRDefault="00300551">
      <w:pPr>
        <w:pStyle w:val="a3"/>
        <w:rPr>
          <w:rFonts w:hint="cs"/>
          <w:rtl/>
        </w:rPr>
      </w:pPr>
      <w:r>
        <w:rPr>
          <w:rStyle w:val="a5"/>
        </w:rPr>
        <w:footnoteRef/>
      </w:r>
      <w:r>
        <w:rPr>
          <w:rtl/>
        </w:rPr>
        <w:t xml:space="preserve"> </w:t>
      </w:r>
      <w:r>
        <w:rPr>
          <w:rFonts w:hint="cs"/>
          <w:rtl/>
        </w:rPr>
        <w:t>אדם לא יכול לעשות במי שנתון תחת ידו ככל העולה על רוחו.</w:t>
      </w:r>
    </w:p>
  </w:footnote>
  <w:footnote w:id="16">
    <w:p w:rsidR="00E72EF4" w:rsidRDefault="00E72EF4">
      <w:pPr>
        <w:pStyle w:val="a3"/>
        <w:rPr>
          <w:rFonts w:hint="cs"/>
          <w:rtl/>
        </w:rPr>
      </w:pPr>
      <w:r>
        <w:rPr>
          <w:rStyle w:val="a5"/>
        </w:rPr>
        <w:footnoteRef/>
      </w:r>
      <w:r>
        <w:rPr>
          <w:rtl/>
        </w:rPr>
        <w:t xml:space="preserve"> </w:t>
      </w:r>
      <w:r>
        <w:rPr>
          <w:rFonts w:hint="cs"/>
          <w:rtl/>
          <w:lang w:eastAsia="en-US"/>
        </w:rPr>
        <w:t xml:space="preserve">אל המדרשים מצטרפים פרשני המקרא שאף הם אינם עושים הנחות לאבות האומה. מה שעשתה שרה </w:t>
      </w:r>
      <w:r>
        <w:rPr>
          <w:rtl/>
          <w:lang w:eastAsia="en-US"/>
        </w:rPr>
        <w:t>–</w:t>
      </w:r>
      <w:r>
        <w:rPr>
          <w:rFonts w:hint="cs"/>
          <w:rtl/>
          <w:lang w:eastAsia="en-US"/>
        </w:rPr>
        <w:t xml:space="preserve"> לא היה טוב בעיני האל. ולא נכתבה פרשה זו אלא ללמד את האדם לקנות את המידות הטובות ולהרחיק הרעות. מעשה אבות הלא-טובים, גם הם סימן לבנים. סימן שלילי - לא לעשות כך. ואם כאן אברהם מתגלה כאיש חסד שמנסה להגן על הגר שפחתו, לא חסרה גם ביקורת עליו. ראה דברי רמב"ן המבקרים קשות את אברהם הן על ירידתו למצרים והן על הפקרתה של שרה לידי המצרים באמירה "אמרי נא אחותי את", בדומה למה שראינו אצל אבימלך לעיל. פירושו לבראשית </w:t>
      </w:r>
      <w:r>
        <w:rPr>
          <w:rtl/>
          <w:lang w:eastAsia="en-US"/>
        </w:rPr>
        <w:t>יב</w:t>
      </w:r>
      <w:r>
        <w:rPr>
          <w:rFonts w:hint="cs"/>
          <w:rtl/>
          <w:lang w:eastAsia="en-US"/>
        </w:rPr>
        <w:t xml:space="preserve"> י: "</w:t>
      </w:r>
      <w:r>
        <w:rPr>
          <w:rtl/>
          <w:lang w:eastAsia="en-US"/>
        </w:rPr>
        <w:t>ודע כי אברהם אבינו חטא חטא גדול בשגגה שהביא אשתו הצדקת במכשול עון מפני פחדו פן יהרגוהו, והיה לו לבטוח בשם שיציל אותו ואת אשתו ואת כל אשר לו, כי יש באלהים כח לעזור ולהציל. גם יציאתו מן הארץ, שנצטווה עליה בתחילה, מפני הרעב, עון אשר חטא, כי האלהים ברעב יפדנו ממות. ועל המעשה הזה נגזר על זרעו הגלות בארץ מצרים ביד פרעה. במקום המשפט שמה הרשע והחטא</w:t>
      </w:r>
      <w:r>
        <w:rPr>
          <w:rFonts w:hint="cs"/>
          <w:rtl/>
          <w:lang w:eastAsia="en-US"/>
        </w:rPr>
        <w:t>".</w:t>
      </w:r>
    </w:p>
  </w:footnote>
  <w:footnote w:id="17">
    <w:p w:rsidR="00DB7C35" w:rsidRDefault="00DB7C35" w:rsidP="00561306">
      <w:pPr>
        <w:pStyle w:val="a3"/>
        <w:rPr>
          <w:rFonts w:hint="cs"/>
          <w:rtl/>
        </w:rPr>
      </w:pPr>
      <w:r>
        <w:rPr>
          <w:rStyle w:val="a5"/>
        </w:rPr>
        <w:footnoteRef/>
      </w:r>
      <w:r>
        <w:rPr>
          <w:rtl/>
        </w:rPr>
        <w:t xml:space="preserve"> </w:t>
      </w:r>
      <w:r>
        <w:rPr>
          <w:rFonts w:hint="cs"/>
          <w:rtl/>
          <w:lang w:eastAsia="en-US"/>
        </w:rPr>
        <w:t>חטא מכירת יוסף הוא, ללא ספק, הכתם הגדול ביותר של "מעשי אבות" בספר בראשית, ורמב"ן בא להדגיש שהאכזריות ואטימות הלב שנלוו למעשה המכירה חמורים מהמכירה עצמה (שעליה היו מי שפקפקו בכלל</w:t>
      </w:r>
      <w:r w:rsidR="001A27B2">
        <w:rPr>
          <w:rFonts w:hint="cs"/>
          <w:rtl/>
          <w:lang w:eastAsia="en-US"/>
        </w:rPr>
        <w:t>, רשב"ם בראשית לז כח</w:t>
      </w:r>
      <w:r w:rsidR="005633ED">
        <w:rPr>
          <w:rFonts w:hint="cs"/>
          <w:rtl/>
          <w:lang w:eastAsia="en-US"/>
        </w:rPr>
        <w:t>, ברויאר פרקי בראשית, פרק שלושים וחמישה: מכירת יוסף)</w:t>
      </w:r>
      <w:r>
        <w:rPr>
          <w:rFonts w:hint="cs"/>
          <w:rtl/>
          <w:lang w:eastAsia="en-US"/>
        </w:rPr>
        <w:t xml:space="preserve">. מה שלא סיפרה התורה בשעת המעשה עצמו, אולי משום שחסה על כבודם של האחים ולא רצתה להגדיל </w:t>
      </w:r>
      <w:r w:rsidR="005633ED">
        <w:rPr>
          <w:rFonts w:hint="cs"/>
          <w:rtl/>
          <w:lang w:eastAsia="en-US"/>
        </w:rPr>
        <w:t xml:space="preserve">את </w:t>
      </w:r>
      <w:r>
        <w:rPr>
          <w:rFonts w:hint="cs"/>
          <w:rtl/>
          <w:lang w:eastAsia="en-US"/>
        </w:rPr>
        <w:t xml:space="preserve">התבערה, הנה הם עצמם עושים בעת שהם רדופים ע"י יוסף. ראה גם </w:t>
      </w:r>
      <w:r w:rsidRPr="000F30FD">
        <w:rPr>
          <w:rFonts w:hint="eastAsia"/>
          <w:rtl/>
          <w:lang w:eastAsia="en-US"/>
        </w:rPr>
        <w:t>בראשית</w:t>
      </w:r>
      <w:r w:rsidRPr="000F30FD">
        <w:rPr>
          <w:rtl/>
          <w:lang w:eastAsia="en-US"/>
        </w:rPr>
        <w:t xml:space="preserve"> </w:t>
      </w:r>
      <w:r w:rsidRPr="000F30FD">
        <w:rPr>
          <w:rFonts w:hint="eastAsia"/>
          <w:rtl/>
          <w:lang w:eastAsia="en-US"/>
        </w:rPr>
        <w:t>רבה</w:t>
      </w:r>
      <w:r w:rsidRPr="000F30FD">
        <w:rPr>
          <w:rtl/>
          <w:lang w:eastAsia="en-US"/>
        </w:rPr>
        <w:t xml:space="preserve"> </w:t>
      </w:r>
      <w:r w:rsidRPr="000F30FD">
        <w:rPr>
          <w:rFonts w:hint="eastAsia"/>
          <w:rtl/>
          <w:lang w:eastAsia="en-US"/>
        </w:rPr>
        <w:t>צא</w:t>
      </w:r>
      <w:r w:rsidRPr="000F30FD">
        <w:rPr>
          <w:rtl/>
          <w:lang w:eastAsia="en-US"/>
        </w:rPr>
        <w:t xml:space="preserve"> </w:t>
      </w:r>
      <w:r w:rsidRPr="000F30FD">
        <w:rPr>
          <w:rFonts w:hint="cs"/>
          <w:rtl/>
          <w:lang w:eastAsia="en-US"/>
        </w:rPr>
        <w:t>ח</w:t>
      </w:r>
      <w:r>
        <w:rPr>
          <w:rFonts w:hint="cs"/>
          <w:rtl/>
          <w:lang w:eastAsia="en-US"/>
        </w:rPr>
        <w:t>: "ו</w:t>
      </w:r>
      <w:r w:rsidRPr="000F30FD">
        <w:rPr>
          <w:rFonts w:hint="eastAsia"/>
          <w:rtl/>
          <w:lang w:eastAsia="en-US"/>
        </w:rPr>
        <w:t>יאמרו</w:t>
      </w:r>
      <w:r w:rsidRPr="000F30FD">
        <w:rPr>
          <w:rtl/>
          <w:lang w:eastAsia="en-US"/>
        </w:rPr>
        <w:t xml:space="preserve"> </w:t>
      </w:r>
      <w:r w:rsidRPr="000F30FD">
        <w:rPr>
          <w:rFonts w:hint="eastAsia"/>
          <w:rtl/>
          <w:lang w:eastAsia="en-US"/>
        </w:rPr>
        <w:t>איש</w:t>
      </w:r>
      <w:r w:rsidRPr="000F30FD">
        <w:rPr>
          <w:rtl/>
          <w:lang w:eastAsia="en-US"/>
        </w:rPr>
        <w:t xml:space="preserve"> </w:t>
      </w:r>
      <w:r w:rsidRPr="000F30FD">
        <w:rPr>
          <w:rFonts w:hint="eastAsia"/>
          <w:rtl/>
          <w:lang w:eastAsia="en-US"/>
        </w:rPr>
        <w:t>אל</w:t>
      </w:r>
      <w:r w:rsidRPr="000F30FD">
        <w:rPr>
          <w:rtl/>
          <w:lang w:eastAsia="en-US"/>
        </w:rPr>
        <w:t xml:space="preserve"> </w:t>
      </w:r>
      <w:r w:rsidRPr="000F30FD">
        <w:rPr>
          <w:rFonts w:hint="eastAsia"/>
          <w:rtl/>
          <w:lang w:eastAsia="en-US"/>
        </w:rPr>
        <w:t>אחיו</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Pr>
          <w:rFonts w:hint="cs"/>
          <w:rtl/>
          <w:lang w:eastAsia="en-US"/>
        </w:rPr>
        <w:t xml:space="preserve"> ... </w:t>
      </w:r>
      <w:r w:rsidRPr="000F30FD">
        <w:rPr>
          <w:rFonts w:hint="eastAsia"/>
          <w:rtl/>
          <w:lang w:eastAsia="en-US"/>
        </w:rPr>
        <w:t>אשר</w:t>
      </w:r>
      <w:r w:rsidRPr="000F30FD">
        <w:rPr>
          <w:rtl/>
          <w:lang w:eastAsia="en-US"/>
        </w:rPr>
        <w:t xml:space="preserve"> </w:t>
      </w:r>
      <w:r w:rsidRPr="000F30FD">
        <w:rPr>
          <w:rFonts w:hint="eastAsia"/>
          <w:rtl/>
          <w:lang w:eastAsia="en-US"/>
        </w:rPr>
        <w:t>ראינו</w:t>
      </w:r>
      <w:r w:rsidRPr="000F30FD">
        <w:rPr>
          <w:rtl/>
          <w:lang w:eastAsia="en-US"/>
        </w:rPr>
        <w:t xml:space="preserve"> </w:t>
      </w:r>
      <w:r w:rsidRPr="000F30FD">
        <w:rPr>
          <w:rFonts w:hint="eastAsia"/>
          <w:rtl/>
          <w:lang w:eastAsia="en-US"/>
        </w:rPr>
        <w:t>צרת</w:t>
      </w:r>
      <w:r w:rsidRPr="000F30FD">
        <w:rPr>
          <w:rtl/>
          <w:lang w:eastAsia="en-US"/>
        </w:rPr>
        <w:t xml:space="preserve"> </w:t>
      </w:r>
      <w:r w:rsidRPr="000F30FD">
        <w:rPr>
          <w:rFonts w:hint="eastAsia"/>
          <w:rtl/>
          <w:lang w:eastAsia="en-US"/>
        </w:rPr>
        <w:t>נפשו</w:t>
      </w:r>
      <w:r w:rsidRPr="000F30FD">
        <w:rPr>
          <w:rtl/>
          <w:lang w:eastAsia="en-US"/>
        </w:rPr>
        <w:t xml:space="preserve"> </w:t>
      </w:r>
      <w:r w:rsidRPr="000F30FD">
        <w:rPr>
          <w:rFonts w:hint="eastAsia"/>
          <w:rtl/>
          <w:lang w:eastAsia="en-US"/>
        </w:rPr>
        <w:t>בהתחננו</w:t>
      </w:r>
      <w:r w:rsidRPr="000F30FD">
        <w:rPr>
          <w:rtl/>
          <w:lang w:eastAsia="en-US"/>
        </w:rPr>
        <w:t xml:space="preserve"> </w:t>
      </w:r>
      <w:r w:rsidRPr="000F30FD">
        <w:rPr>
          <w:rFonts w:hint="eastAsia"/>
          <w:rtl/>
          <w:lang w:eastAsia="en-US"/>
        </w:rPr>
        <w:t>אלינו</w:t>
      </w:r>
      <w:r>
        <w:rPr>
          <w:rFonts w:hint="cs"/>
          <w:rtl/>
          <w:lang w:eastAsia="en-US"/>
        </w:rPr>
        <w:t xml:space="preserve"> </w:t>
      </w:r>
      <w:r>
        <w:rPr>
          <w:rtl/>
          <w:lang w:eastAsia="en-US"/>
        </w:rPr>
        <w:t>–</w:t>
      </w:r>
      <w:r>
        <w:rPr>
          <w:rFonts w:hint="cs"/>
          <w:rtl/>
          <w:lang w:eastAsia="en-US"/>
        </w:rPr>
        <w:t xml:space="preserve"> ר' לוי </w:t>
      </w:r>
      <w:r w:rsidRPr="000F30FD">
        <w:rPr>
          <w:rFonts w:hint="eastAsia"/>
          <w:rtl/>
          <w:lang w:eastAsia="en-US"/>
        </w:rPr>
        <w:t>בשם</w:t>
      </w:r>
      <w:r w:rsidRPr="000F30FD">
        <w:rPr>
          <w:rtl/>
          <w:lang w:eastAsia="en-US"/>
        </w:rPr>
        <w:t xml:space="preserve"> </w:t>
      </w:r>
      <w:r w:rsidRPr="000F30FD">
        <w:rPr>
          <w:rFonts w:hint="eastAsia"/>
          <w:rtl/>
          <w:lang w:eastAsia="en-US"/>
        </w:rPr>
        <w:t>רבי</w:t>
      </w:r>
      <w:r w:rsidRPr="000F30FD">
        <w:rPr>
          <w:rtl/>
          <w:lang w:eastAsia="en-US"/>
        </w:rPr>
        <w:t xml:space="preserve"> </w:t>
      </w:r>
      <w:r w:rsidRPr="000F30FD">
        <w:rPr>
          <w:rFonts w:hint="eastAsia"/>
          <w:rtl/>
          <w:lang w:eastAsia="en-US"/>
        </w:rPr>
        <w:t>יוחנן</w:t>
      </w:r>
      <w:r w:rsidRPr="000F30FD">
        <w:rPr>
          <w:rtl/>
          <w:lang w:eastAsia="en-US"/>
        </w:rPr>
        <w:t xml:space="preserve"> </w:t>
      </w:r>
      <w:r w:rsidRPr="000F30FD">
        <w:rPr>
          <w:rFonts w:hint="eastAsia"/>
          <w:rtl/>
          <w:lang w:eastAsia="en-US"/>
        </w:rPr>
        <w:t>ב</w:t>
      </w:r>
      <w:r>
        <w:rPr>
          <w:rFonts w:hint="cs"/>
          <w:rtl/>
          <w:lang w:eastAsia="en-US"/>
        </w:rPr>
        <w:t>ן שלה:</w:t>
      </w:r>
      <w:r w:rsidRPr="000F30FD">
        <w:rPr>
          <w:rtl/>
          <w:lang w:eastAsia="en-US"/>
        </w:rPr>
        <w:t xml:space="preserve"> </w:t>
      </w:r>
      <w:r w:rsidRPr="000F30FD">
        <w:rPr>
          <w:rFonts w:hint="eastAsia"/>
          <w:rtl/>
          <w:lang w:eastAsia="en-US"/>
        </w:rPr>
        <w:t>אפשר</w:t>
      </w:r>
      <w:r w:rsidRPr="000F30FD">
        <w:rPr>
          <w:rtl/>
          <w:lang w:eastAsia="en-US"/>
        </w:rPr>
        <w:t xml:space="preserve"> </w:t>
      </w:r>
      <w:r w:rsidRPr="000F30FD">
        <w:rPr>
          <w:rFonts w:hint="eastAsia"/>
          <w:rtl/>
          <w:lang w:eastAsia="en-US"/>
        </w:rPr>
        <w:t>יוסף</w:t>
      </w:r>
      <w:r w:rsidRPr="000F30FD">
        <w:rPr>
          <w:rtl/>
          <w:lang w:eastAsia="en-US"/>
        </w:rPr>
        <w:t xml:space="preserve"> </w:t>
      </w:r>
      <w:r w:rsidRPr="000F30FD">
        <w:rPr>
          <w:rFonts w:hint="eastAsia"/>
          <w:rtl/>
          <w:lang w:eastAsia="en-US"/>
        </w:rPr>
        <w:t>בן</w:t>
      </w:r>
      <w:r w:rsidRPr="000F30FD">
        <w:rPr>
          <w:rtl/>
          <w:lang w:eastAsia="en-US"/>
        </w:rPr>
        <w:t xml:space="preserve"> </w:t>
      </w:r>
      <w:r w:rsidRPr="000F30FD">
        <w:rPr>
          <w:rFonts w:hint="eastAsia"/>
          <w:rtl/>
          <w:lang w:eastAsia="en-US"/>
        </w:rPr>
        <w:t>שבע</w:t>
      </w:r>
      <w:r w:rsidRPr="000F30FD">
        <w:rPr>
          <w:rtl/>
          <w:lang w:eastAsia="en-US"/>
        </w:rPr>
        <w:t xml:space="preserve"> </w:t>
      </w:r>
      <w:r w:rsidRPr="000F30FD">
        <w:rPr>
          <w:rFonts w:hint="eastAsia"/>
          <w:rtl/>
          <w:lang w:eastAsia="en-US"/>
        </w:rPr>
        <w:t>עשרה</w:t>
      </w:r>
      <w:r w:rsidRPr="000F30FD">
        <w:rPr>
          <w:rtl/>
          <w:lang w:eastAsia="en-US"/>
        </w:rPr>
        <w:t xml:space="preserve"> </w:t>
      </w:r>
      <w:r w:rsidRPr="000F30FD">
        <w:rPr>
          <w:rFonts w:hint="eastAsia"/>
          <w:rtl/>
          <w:lang w:eastAsia="en-US"/>
        </w:rPr>
        <w:t>שנה</w:t>
      </w:r>
      <w:r>
        <w:rPr>
          <w:rFonts w:hint="cs"/>
          <w:rtl/>
          <w:lang w:eastAsia="en-US"/>
        </w:rPr>
        <w:t>,</w:t>
      </w:r>
      <w:r w:rsidRPr="000F30FD">
        <w:rPr>
          <w:rtl/>
          <w:lang w:eastAsia="en-US"/>
        </w:rPr>
        <w:t xml:space="preserve"> </w:t>
      </w:r>
      <w:r w:rsidRPr="000F30FD">
        <w:rPr>
          <w:rFonts w:hint="eastAsia"/>
          <w:rtl/>
          <w:lang w:eastAsia="en-US"/>
        </w:rPr>
        <w:t>היה</w:t>
      </w:r>
      <w:r w:rsidRPr="000F30FD">
        <w:rPr>
          <w:rtl/>
          <w:lang w:eastAsia="en-US"/>
        </w:rPr>
        <w:t xml:space="preserve"> </w:t>
      </w:r>
      <w:r w:rsidRPr="000F30FD">
        <w:rPr>
          <w:rFonts w:hint="eastAsia"/>
          <w:rtl/>
          <w:lang w:eastAsia="en-US"/>
        </w:rPr>
        <w:t>רואה</w:t>
      </w:r>
      <w:r w:rsidRPr="000F30FD">
        <w:rPr>
          <w:rtl/>
          <w:lang w:eastAsia="en-US"/>
        </w:rPr>
        <w:t xml:space="preserve"> </w:t>
      </w:r>
      <w:r w:rsidRPr="000F30FD">
        <w:rPr>
          <w:rFonts w:hint="eastAsia"/>
          <w:rtl/>
          <w:lang w:eastAsia="en-US"/>
        </w:rPr>
        <w:t>את</w:t>
      </w:r>
      <w:r w:rsidRPr="000F30FD">
        <w:rPr>
          <w:rtl/>
          <w:lang w:eastAsia="en-US"/>
        </w:rPr>
        <w:t xml:space="preserve"> </w:t>
      </w:r>
      <w:r w:rsidRPr="000F30FD">
        <w:rPr>
          <w:rFonts w:hint="eastAsia"/>
          <w:rtl/>
          <w:lang w:eastAsia="en-US"/>
        </w:rPr>
        <w:t>אחיו</w:t>
      </w:r>
      <w:r w:rsidRPr="000F30FD">
        <w:rPr>
          <w:rtl/>
          <w:lang w:eastAsia="en-US"/>
        </w:rPr>
        <w:t xml:space="preserve"> </w:t>
      </w:r>
      <w:r w:rsidRPr="000F30FD">
        <w:rPr>
          <w:rFonts w:hint="eastAsia"/>
          <w:rtl/>
          <w:lang w:eastAsia="en-US"/>
        </w:rPr>
        <w:t>מוכרים</w:t>
      </w:r>
      <w:r w:rsidRPr="000F30FD">
        <w:rPr>
          <w:rtl/>
          <w:lang w:eastAsia="en-US"/>
        </w:rPr>
        <w:t xml:space="preserve"> </w:t>
      </w:r>
      <w:r w:rsidRPr="000F30FD">
        <w:rPr>
          <w:rFonts w:hint="eastAsia"/>
          <w:rtl/>
          <w:lang w:eastAsia="en-US"/>
        </w:rPr>
        <w:t>אותו</w:t>
      </w:r>
      <w:r w:rsidRPr="000F30FD">
        <w:rPr>
          <w:rtl/>
          <w:lang w:eastAsia="en-US"/>
        </w:rPr>
        <w:t xml:space="preserve"> </w:t>
      </w:r>
      <w:r w:rsidRPr="000F30FD">
        <w:rPr>
          <w:rFonts w:hint="eastAsia"/>
          <w:rtl/>
          <w:lang w:eastAsia="en-US"/>
        </w:rPr>
        <w:t>והוא</w:t>
      </w:r>
      <w:r w:rsidRPr="000F30FD">
        <w:rPr>
          <w:rtl/>
          <w:lang w:eastAsia="en-US"/>
        </w:rPr>
        <w:t xml:space="preserve"> </w:t>
      </w:r>
      <w:r w:rsidRPr="000F30FD">
        <w:rPr>
          <w:rFonts w:hint="eastAsia"/>
          <w:rtl/>
          <w:lang w:eastAsia="en-US"/>
        </w:rPr>
        <w:t>שותק</w:t>
      </w:r>
      <w:r>
        <w:rPr>
          <w:rFonts w:hint="cs"/>
          <w:rtl/>
          <w:lang w:eastAsia="en-US"/>
        </w:rPr>
        <w:t>?</w:t>
      </w:r>
      <w:r w:rsidRPr="000F30FD">
        <w:rPr>
          <w:rtl/>
          <w:lang w:eastAsia="en-US"/>
        </w:rPr>
        <w:t xml:space="preserve"> </w:t>
      </w:r>
      <w:r w:rsidRPr="000F30FD">
        <w:rPr>
          <w:rFonts w:hint="eastAsia"/>
          <w:rtl/>
          <w:lang w:eastAsia="en-US"/>
        </w:rPr>
        <w:t>אלא</w:t>
      </w:r>
      <w:r w:rsidRPr="000F30FD">
        <w:rPr>
          <w:rtl/>
          <w:lang w:eastAsia="en-US"/>
        </w:rPr>
        <w:t xml:space="preserve"> </w:t>
      </w:r>
      <w:r w:rsidRPr="000F30FD">
        <w:rPr>
          <w:rFonts w:hint="eastAsia"/>
          <w:rtl/>
          <w:lang w:eastAsia="en-US"/>
        </w:rPr>
        <w:t>מלמד</w:t>
      </w:r>
      <w:r w:rsidRPr="000F30FD">
        <w:rPr>
          <w:rtl/>
          <w:lang w:eastAsia="en-US"/>
        </w:rPr>
        <w:t xml:space="preserve"> </w:t>
      </w:r>
      <w:r w:rsidRPr="000F30FD">
        <w:rPr>
          <w:rFonts w:hint="eastAsia"/>
          <w:rtl/>
          <w:lang w:eastAsia="en-US"/>
        </w:rPr>
        <w:t>שהיה</w:t>
      </w:r>
      <w:r w:rsidRPr="000F30FD">
        <w:rPr>
          <w:rtl/>
          <w:lang w:eastAsia="en-US"/>
        </w:rPr>
        <w:t xml:space="preserve"> </w:t>
      </w:r>
      <w:r w:rsidRPr="000F30FD">
        <w:rPr>
          <w:rFonts w:hint="eastAsia"/>
          <w:rtl/>
          <w:lang w:eastAsia="en-US"/>
        </w:rPr>
        <w:t>מתחבט</w:t>
      </w:r>
      <w:r w:rsidRPr="000F30FD">
        <w:rPr>
          <w:rtl/>
          <w:lang w:eastAsia="en-US"/>
        </w:rPr>
        <w:t xml:space="preserve"> </w:t>
      </w:r>
      <w:r w:rsidRPr="000F30FD">
        <w:rPr>
          <w:rFonts w:hint="eastAsia"/>
          <w:rtl/>
          <w:lang w:eastAsia="en-US"/>
        </w:rPr>
        <w:t>לפני</w:t>
      </w:r>
      <w:r w:rsidRPr="000F30FD">
        <w:rPr>
          <w:rtl/>
          <w:lang w:eastAsia="en-US"/>
        </w:rPr>
        <w:t xml:space="preserve"> </w:t>
      </w:r>
      <w:r w:rsidRPr="000F30FD">
        <w:rPr>
          <w:rFonts w:hint="eastAsia"/>
          <w:rtl/>
          <w:lang w:eastAsia="en-US"/>
        </w:rPr>
        <w:t>רגליו</w:t>
      </w:r>
      <w:r w:rsidRPr="000F30FD">
        <w:rPr>
          <w:rtl/>
          <w:lang w:eastAsia="en-US"/>
        </w:rPr>
        <w:t xml:space="preserve"> </w:t>
      </w:r>
      <w:r w:rsidRPr="000F30FD">
        <w:rPr>
          <w:rFonts w:hint="eastAsia"/>
          <w:rtl/>
          <w:lang w:eastAsia="en-US"/>
        </w:rPr>
        <w:t>של</w:t>
      </w:r>
      <w:r w:rsidRPr="000F30FD">
        <w:rPr>
          <w:rtl/>
          <w:lang w:eastAsia="en-US"/>
        </w:rPr>
        <w:t xml:space="preserve"> </w:t>
      </w:r>
      <w:r w:rsidRPr="000F30FD">
        <w:rPr>
          <w:rFonts w:hint="eastAsia"/>
          <w:rtl/>
          <w:lang w:eastAsia="en-US"/>
        </w:rPr>
        <w:t>כל</w:t>
      </w:r>
      <w:r w:rsidRPr="000F30FD">
        <w:rPr>
          <w:rtl/>
          <w:lang w:eastAsia="en-US"/>
        </w:rPr>
        <w:t xml:space="preserve"> </w:t>
      </w:r>
      <w:r w:rsidRPr="000F30FD">
        <w:rPr>
          <w:rFonts w:hint="eastAsia"/>
          <w:rtl/>
          <w:lang w:eastAsia="en-US"/>
        </w:rPr>
        <w:t>אחד</w:t>
      </w:r>
      <w:r w:rsidRPr="000F30FD">
        <w:rPr>
          <w:rtl/>
          <w:lang w:eastAsia="en-US"/>
        </w:rPr>
        <w:t xml:space="preserve"> </w:t>
      </w:r>
      <w:r w:rsidRPr="000F30FD">
        <w:rPr>
          <w:rFonts w:hint="eastAsia"/>
          <w:rtl/>
          <w:lang w:eastAsia="en-US"/>
        </w:rPr>
        <w:t>ואחד</w:t>
      </w:r>
      <w:r>
        <w:rPr>
          <w:rFonts w:hint="cs"/>
          <w:rtl/>
          <w:lang w:eastAsia="en-US"/>
        </w:rPr>
        <w:t>,</w:t>
      </w:r>
      <w:r w:rsidRPr="000F30FD">
        <w:rPr>
          <w:rtl/>
          <w:lang w:eastAsia="en-US"/>
        </w:rPr>
        <w:t xml:space="preserve"> </w:t>
      </w:r>
      <w:r w:rsidRPr="000F30FD">
        <w:rPr>
          <w:rFonts w:hint="eastAsia"/>
          <w:rtl/>
          <w:lang w:eastAsia="en-US"/>
        </w:rPr>
        <w:t>כדי</w:t>
      </w:r>
      <w:r w:rsidRPr="000F30FD">
        <w:rPr>
          <w:rtl/>
          <w:lang w:eastAsia="en-US"/>
        </w:rPr>
        <w:t xml:space="preserve"> </w:t>
      </w:r>
      <w:r w:rsidRPr="000F30FD">
        <w:rPr>
          <w:rFonts w:hint="eastAsia"/>
          <w:rtl/>
          <w:lang w:eastAsia="en-US"/>
        </w:rPr>
        <w:t>שיתמלאו</w:t>
      </w:r>
      <w:r w:rsidRPr="000F30FD">
        <w:rPr>
          <w:rtl/>
          <w:lang w:eastAsia="en-US"/>
        </w:rPr>
        <w:t xml:space="preserve"> </w:t>
      </w:r>
      <w:r w:rsidRPr="000F30FD">
        <w:rPr>
          <w:rFonts w:hint="eastAsia"/>
          <w:rtl/>
          <w:lang w:eastAsia="en-US"/>
        </w:rPr>
        <w:t>עליו</w:t>
      </w:r>
      <w:r w:rsidRPr="000F30FD">
        <w:rPr>
          <w:rtl/>
          <w:lang w:eastAsia="en-US"/>
        </w:rPr>
        <w:t xml:space="preserve"> </w:t>
      </w:r>
      <w:r w:rsidRPr="000F30FD">
        <w:rPr>
          <w:rFonts w:hint="eastAsia"/>
          <w:rtl/>
          <w:lang w:eastAsia="en-US"/>
        </w:rPr>
        <w:t>רחמים</w:t>
      </w:r>
      <w:r w:rsidRPr="000F30FD">
        <w:rPr>
          <w:rtl/>
          <w:lang w:eastAsia="en-US"/>
        </w:rPr>
        <w:t xml:space="preserve"> </w:t>
      </w:r>
      <w:r w:rsidRPr="000F30FD">
        <w:rPr>
          <w:rFonts w:hint="eastAsia"/>
          <w:rtl/>
          <w:lang w:eastAsia="en-US"/>
        </w:rPr>
        <w:t>ולא</w:t>
      </w:r>
      <w:r w:rsidRPr="000F30FD">
        <w:rPr>
          <w:rtl/>
          <w:lang w:eastAsia="en-US"/>
        </w:rPr>
        <w:t xml:space="preserve"> </w:t>
      </w:r>
      <w:r w:rsidRPr="000F30FD">
        <w:rPr>
          <w:rFonts w:hint="eastAsia"/>
          <w:rtl/>
          <w:lang w:eastAsia="en-US"/>
        </w:rPr>
        <w:t>נתמלאו</w:t>
      </w:r>
      <w:r>
        <w:rPr>
          <w:rFonts w:hint="cs"/>
          <w:rtl/>
          <w:lang w:eastAsia="en-US"/>
        </w:rPr>
        <w:t>".</w:t>
      </w:r>
      <w:r w:rsidR="000C3EA5">
        <w:rPr>
          <w:rFonts w:hint="cs"/>
          <w:rtl/>
        </w:rPr>
        <w:t xml:space="preserve"> וכבר הרחבנו בנושא זה בדברינו </w:t>
      </w:r>
      <w:hyperlink r:id="rId11" w:history="1">
        <w:r w:rsidR="000C3EA5" w:rsidRPr="000C3EA5">
          <w:rPr>
            <w:rStyle w:val="Hyperlink"/>
            <w:rFonts w:hint="cs"/>
            <w:rtl/>
          </w:rPr>
          <w:t>אבל אשמים אנחנו</w:t>
        </w:r>
      </w:hyperlink>
      <w:r w:rsidR="000C3EA5">
        <w:rPr>
          <w:rFonts w:hint="cs"/>
          <w:rtl/>
        </w:rPr>
        <w:t xml:space="preserve"> בפרשת מקץ ושם הבאנו את מדרש בראשית רבתי שאומר: "</w:t>
      </w:r>
      <w:r w:rsidR="000C3EA5" w:rsidRPr="000F30FD">
        <w:rPr>
          <w:rFonts w:hint="eastAsia"/>
          <w:rtl/>
          <w:lang w:eastAsia="en-US"/>
        </w:rPr>
        <w:t>שבלשו</w:t>
      </w:r>
      <w:r w:rsidR="000C3EA5" w:rsidRPr="000F30FD">
        <w:rPr>
          <w:rtl/>
          <w:lang w:eastAsia="en-US"/>
        </w:rPr>
        <w:t xml:space="preserve"> </w:t>
      </w:r>
      <w:r w:rsidR="000C3EA5" w:rsidRPr="000F30FD">
        <w:rPr>
          <w:rFonts w:hint="eastAsia"/>
          <w:rtl/>
          <w:lang w:eastAsia="en-US"/>
        </w:rPr>
        <w:t>עצמם</w:t>
      </w:r>
      <w:r w:rsidR="000C3EA5" w:rsidRPr="000F30FD">
        <w:rPr>
          <w:rtl/>
          <w:lang w:eastAsia="en-US"/>
        </w:rPr>
        <w:t xml:space="preserve"> </w:t>
      </w:r>
      <w:r w:rsidR="000C3EA5" w:rsidRPr="000F30FD">
        <w:rPr>
          <w:rFonts w:hint="eastAsia"/>
          <w:rtl/>
          <w:lang w:eastAsia="en-US"/>
        </w:rPr>
        <w:t>ולא</w:t>
      </w:r>
      <w:r w:rsidR="000C3EA5" w:rsidRPr="000F30FD">
        <w:rPr>
          <w:rtl/>
          <w:lang w:eastAsia="en-US"/>
        </w:rPr>
        <w:t xml:space="preserve"> </w:t>
      </w:r>
      <w:r w:rsidR="000C3EA5" w:rsidRPr="000F30FD">
        <w:rPr>
          <w:rFonts w:hint="eastAsia"/>
          <w:rtl/>
          <w:lang w:eastAsia="en-US"/>
        </w:rPr>
        <w:t>נמצאת</w:t>
      </w:r>
      <w:r w:rsidR="000C3EA5" w:rsidRPr="000F30FD">
        <w:rPr>
          <w:rtl/>
          <w:lang w:eastAsia="en-US"/>
        </w:rPr>
        <w:t xml:space="preserve"> </w:t>
      </w:r>
      <w:r w:rsidR="000C3EA5" w:rsidRPr="000F30FD">
        <w:rPr>
          <w:rFonts w:hint="eastAsia"/>
          <w:rtl/>
          <w:lang w:eastAsia="en-US"/>
        </w:rPr>
        <w:t>בידם</w:t>
      </w:r>
      <w:r w:rsidR="000C3EA5" w:rsidRPr="000F30FD">
        <w:rPr>
          <w:rtl/>
          <w:lang w:eastAsia="en-US"/>
        </w:rPr>
        <w:t xml:space="preserve"> </w:t>
      </w:r>
      <w:r w:rsidR="000C3EA5" w:rsidRPr="000F30FD">
        <w:rPr>
          <w:rFonts w:hint="eastAsia"/>
          <w:rtl/>
          <w:lang w:eastAsia="en-US"/>
        </w:rPr>
        <w:t>אלא</w:t>
      </w:r>
      <w:r w:rsidR="000C3EA5" w:rsidRPr="000F30FD">
        <w:rPr>
          <w:rtl/>
          <w:lang w:eastAsia="en-US"/>
        </w:rPr>
        <w:t xml:space="preserve"> </w:t>
      </w:r>
      <w:r w:rsidR="000C3EA5" w:rsidRPr="000F30FD">
        <w:rPr>
          <w:rFonts w:hint="eastAsia"/>
          <w:rtl/>
          <w:lang w:eastAsia="en-US"/>
        </w:rPr>
        <w:t>זו</w:t>
      </w:r>
      <w:r w:rsidR="000C3EA5">
        <w:rPr>
          <w:rFonts w:hint="cs"/>
          <w:rtl/>
          <w:lang w:eastAsia="en-US"/>
        </w:rPr>
        <w:t xml:space="preserve">", בדומה לתשובת ר' יוסי למטרונה במדרש בראשית רבה בו פתחנו לעיל. וכמו כן הבאנו שם את מדרש </w:t>
      </w:r>
      <w:r w:rsidR="000C3EA5" w:rsidRPr="000F30FD">
        <w:rPr>
          <w:rFonts w:hint="eastAsia"/>
          <w:rtl/>
          <w:lang w:eastAsia="en-US"/>
        </w:rPr>
        <w:t>שכל</w:t>
      </w:r>
      <w:r w:rsidR="000C3EA5" w:rsidRPr="000F30FD">
        <w:rPr>
          <w:rtl/>
          <w:lang w:eastAsia="en-US"/>
        </w:rPr>
        <w:t xml:space="preserve"> </w:t>
      </w:r>
      <w:r w:rsidR="000C3EA5" w:rsidRPr="000F30FD">
        <w:rPr>
          <w:rFonts w:hint="eastAsia"/>
          <w:rtl/>
          <w:lang w:eastAsia="en-US"/>
        </w:rPr>
        <w:t>טוב</w:t>
      </w:r>
      <w:r w:rsidR="000C3EA5" w:rsidRPr="000F30FD">
        <w:rPr>
          <w:rtl/>
          <w:lang w:eastAsia="en-US"/>
        </w:rPr>
        <w:t xml:space="preserve"> (</w:t>
      </w:r>
      <w:r w:rsidR="000C3EA5" w:rsidRPr="000F30FD">
        <w:rPr>
          <w:rFonts w:hint="eastAsia"/>
          <w:rtl/>
          <w:lang w:eastAsia="en-US"/>
        </w:rPr>
        <w:t>בובר</w:t>
      </w:r>
      <w:r w:rsidR="000C3EA5" w:rsidRPr="000F30FD">
        <w:rPr>
          <w:rtl/>
          <w:lang w:eastAsia="en-US"/>
        </w:rPr>
        <w:t xml:space="preserve">) </w:t>
      </w:r>
      <w:r w:rsidR="000C3EA5" w:rsidRPr="000F30FD">
        <w:rPr>
          <w:rFonts w:hint="eastAsia"/>
          <w:rtl/>
          <w:lang w:eastAsia="en-US"/>
        </w:rPr>
        <w:t>בראשית</w:t>
      </w:r>
      <w:r w:rsidR="000C3EA5" w:rsidRPr="000F30FD">
        <w:rPr>
          <w:rtl/>
          <w:lang w:eastAsia="en-US"/>
        </w:rPr>
        <w:t xml:space="preserve"> </w:t>
      </w:r>
      <w:r w:rsidR="000C3EA5" w:rsidRPr="000F30FD">
        <w:rPr>
          <w:rFonts w:hint="eastAsia"/>
          <w:rtl/>
          <w:lang w:eastAsia="en-US"/>
        </w:rPr>
        <w:t>מב</w:t>
      </w:r>
      <w:r w:rsidR="000C3EA5" w:rsidRPr="000F30FD">
        <w:rPr>
          <w:rtl/>
          <w:lang w:eastAsia="en-US"/>
        </w:rPr>
        <w:t xml:space="preserve"> </w:t>
      </w:r>
      <w:r w:rsidR="000C3EA5" w:rsidRPr="000F30FD">
        <w:rPr>
          <w:rFonts w:hint="eastAsia"/>
          <w:rtl/>
          <w:lang w:eastAsia="en-US"/>
        </w:rPr>
        <w:t>כא</w:t>
      </w:r>
      <w:r w:rsidR="000C3EA5">
        <w:rPr>
          <w:rFonts w:hint="cs"/>
          <w:rtl/>
          <w:lang w:eastAsia="en-US"/>
        </w:rPr>
        <w:t xml:space="preserve"> שמעמיד את "</w:t>
      </w:r>
      <w:r w:rsidR="000C3EA5" w:rsidRPr="000F30FD">
        <w:rPr>
          <w:rFonts w:hint="eastAsia"/>
          <w:rtl/>
          <w:lang w:eastAsia="en-US"/>
        </w:rPr>
        <w:t>ויאמרו</w:t>
      </w:r>
      <w:r w:rsidR="000C3EA5" w:rsidRPr="000F30FD">
        <w:rPr>
          <w:rtl/>
          <w:lang w:eastAsia="en-US"/>
        </w:rPr>
        <w:t xml:space="preserve"> </w:t>
      </w:r>
      <w:r w:rsidR="000C3EA5" w:rsidRPr="000F30FD">
        <w:rPr>
          <w:rFonts w:hint="eastAsia"/>
          <w:rtl/>
          <w:lang w:eastAsia="en-US"/>
        </w:rPr>
        <w:t>איש</w:t>
      </w:r>
      <w:r w:rsidR="000C3EA5" w:rsidRPr="000F30FD">
        <w:rPr>
          <w:rtl/>
          <w:lang w:eastAsia="en-US"/>
        </w:rPr>
        <w:t xml:space="preserve"> </w:t>
      </w:r>
      <w:r w:rsidR="000C3EA5" w:rsidRPr="000F30FD">
        <w:rPr>
          <w:rFonts w:hint="eastAsia"/>
          <w:rtl/>
          <w:lang w:eastAsia="en-US"/>
        </w:rPr>
        <w:t>אל</w:t>
      </w:r>
      <w:r w:rsidR="000C3EA5" w:rsidRPr="000F30FD">
        <w:rPr>
          <w:rtl/>
          <w:lang w:eastAsia="en-US"/>
        </w:rPr>
        <w:t xml:space="preserve"> </w:t>
      </w:r>
      <w:r w:rsidR="000C3EA5" w:rsidRPr="000F30FD">
        <w:rPr>
          <w:rFonts w:hint="eastAsia"/>
          <w:rtl/>
          <w:lang w:eastAsia="en-US"/>
        </w:rPr>
        <w:t>אחיו</w:t>
      </w:r>
      <w:r w:rsidR="000C3EA5">
        <w:rPr>
          <w:rFonts w:hint="cs"/>
          <w:rtl/>
          <w:lang w:eastAsia="en-US"/>
        </w:rPr>
        <w:t xml:space="preserve"> אבל אשמים אנחנו" כנגד "</w:t>
      </w:r>
      <w:r w:rsidR="000C3EA5" w:rsidRPr="000F30FD">
        <w:rPr>
          <w:rFonts w:hint="eastAsia"/>
          <w:rtl/>
          <w:lang w:eastAsia="en-US"/>
        </w:rPr>
        <w:t>ויאמרו</w:t>
      </w:r>
      <w:r w:rsidR="000C3EA5" w:rsidRPr="000F30FD">
        <w:rPr>
          <w:rtl/>
          <w:lang w:eastAsia="en-US"/>
        </w:rPr>
        <w:t xml:space="preserve"> </w:t>
      </w:r>
      <w:r w:rsidR="000C3EA5" w:rsidRPr="000F30FD">
        <w:rPr>
          <w:rFonts w:hint="eastAsia"/>
          <w:rtl/>
          <w:lang w:eastAsia="en-US"/>
        </w:rPr>
        <w:t>איש</w:t>
      </w:r>
      <w:r w:rsidR="000C3EA5" w:rsidRPr="000F30FD">
        <w:rPr>
          <w:rtl/>
          <w:lang w:eastAsia="en-US"/>
        </w:rPr>
        <w:t xml:space="preserve"> </w:t>
      </w:r>
      <w:r w:rsidR="000C3EA5" w:rsidRPr="000F30FD">
        <w:rPr>
          <w:rFonts w:hint="eastAsia"/>
          <w:rtl/>
          <w:lang w:eastAsia="en-US"/>
        </w:rPr>
        <w:t>אל</w:t>
      </w:r>
      <w:r w:rsidR="000C3EA5" w:rsidRPr="000F30FD">
        <w:rPr>
          <w:rtl/>
          <w:lang w:eastAsia="en-US"/>
        </w:rPr>
        <w:t xml:space="preserve"> </w:t>
      </w:r>
      <w:r w:rsidR="000C3EA5" w:rsidRPr="000F30FD">
        <w:rPr>
          <w:rFonts w:hint="eastAsia"/>
          <w:rtl/>
          <w:lang w:eastAsia="en-US"/>
        </w:rPr>
        <w:t>אחיו</w:t>
      </w:r>
      <w:r w:rsidR="000C3EA5" w:rsidRPr="000F30FD">
        <w:rPr>
          <w:rtl/>
          <w:lang w:eastAsia="en-US"/>
        </w:rPr>
        <w:t xml:space="preserve"> </w:t>
      </w:r>
      <w:r w:rsidR="000C3EA5" w:rsidRPr="000F30FD">
        <w:rPr>
          <w:rFonts w:hint="eastAsia"/>
          <w:rtl/>
          <w:lang w:eastAsia="en-US"/>
        </w:rPr>
        <w:t>הנה</w:t>
      </w:r>
      <w:r w:rsidR="000C3EA5" w:rsidRPr="000F30FD">
        <w:rPr>
          <w:rtl/>
          <w:lang w:eastAsia="en-US"/>
        </w:rPr>
        <w:t xml:space="preserve"> </w:t>
      </w:r>
      <w:r w:rsidR="000C3EA5" w:rsidRPr="000F30FD">
        <w:rPr>
          <w:rFonts w:hint="eastAsia"/>
          <w:rtl/>
          <w:lang w:eastAsia="en-US"/>
        </w:rPr>
        <w:t>בעל</w:t>
      </w:r>
      <w:r w:rsidR="000C3EA5" w:rsidRPr="000F30FD">
        <w:rPr>
          <w:rtl/>
          <w:lang w:eastAsia="en-US"/>
        </w:rPr>
        <w:t xml:space="preserve"> </w:t>
      </w:r>
      <w:r w:rsidR="000C3EA5" w:rsidRPr="000F30FD">
        <w:rPr>
          <w:rFonts w:hint="eastAsia"/>
          <w:rtl/>
          <w:lang w:eastAsia="en-US"/>
        </w:rPr>
        <w:t>החלומות</w:t>
      </w:r>
      <w:r w:rsidR="000C3EA5">
        <w:rPr>
          <w:rFonts w:hint="cs"/>
          <w:rtl/>
          <w:lang w:eastAsia="en-US"/>
        </w:rPr>
        <w:t xml:space="preserve"> הלזה בא.</w:t>
      </w:r>
      <w:r w:rsidR="000C3EA5" w:rsidRPr="000F30FD">
        <w:rPr>
          <w:rtl/>
          <w:lang w:eastAsia="en-US"/>
        </w:rPr>
        <w:t xml:space="preserve"> </w:t>
      </w:r>
      <w:r w:rsidR="000C3EA5" w:rsidRPr="000F30FD">
        <w:rPr>
          <w:rFonts w:hint="eastAsia"/>
          <w:rtl/>
          <w:lang w:eastAsia="en-US"/>
        </w:rPr>
        <w:t>ועתה</w:t>
      </w:r>
      <w:r w:rsidR="000C3EA5" w:rsidRPr="000F30FD">
        <w:rPr>
          <w:rtl/>
          <w:lang w:eastAsia="en-US"/>
        </w:rPr>
        <w:t xml:space="preserve"> </w:t>
      </w:r>
      <w:r w:rsidR="000C3EA5" w:rsidRPr="000F30FD">
        <w:rPr>
          <w:rFonts w:hint="eastAsia"/>
          <w:rtl/>
          <w:lang w:eastAsia="en-US"/>
        </w:rPr>
        <w:t>לכו</w:t>
      </w:r>
      <w:r w:rsidR="000C3EA5" w:rsidRPr="000F30FD">
        <w:rPr>
          <w:rtl/>
          <w:lang w:eastAsia="en-US"/>
        </w:rPr>
        <w:t xml:space="preserve"> </w:t>
      </w:r>
      <w:r w:rsidR="000C3EA5" w:rsidRPr="000F30FD">
        <w:rPr>
          <w:rFonts w:hint="eastAsia"/>
          <w:rtl/>
          <w:lang w:eastAsia="en-US"/>
        </w:rPr>
        <w:t>ונהרגהו</w:t>
      </w:r>
      <w:r w:rsidR="000C3EA5">
        <w:rPr>
          <w:rFonts w:hint="cs"/>
          <w:rtl/>
          <w:lang w:eastAsia="en-US"/>
        </w:rPr>
        <w:t>", ומסיק ששמעון ולוי שהיו הראשונים להתנכל ליוסף הם גם הראשונים להתוודות על החטא: "</w:t>
      </w:r>
      <w:r w:rsidR="000C3EA5" w:rsidRPr="000F30FD">
        <w:rPr>
          <w:rFonts w:hint="eastAsia"/>
          <w:rtl/>
          <w:lang w:eastAsia="en-US"/>
        </w:rPr>
        <w:t>שמעון</w:t>
      </w:r>
      <w:r w:rsidR="000C3EA5" w:rsidRPr="000F30FD">
        <w:rPr>
          <w:rtl/>
          <w:lang w:eastAsia="en-US"/>
        </w:rPr>
        <w:t xml:space="preserve"> </w:t>
      </w:r>
      <w:r w:rsidR="000C3EA5" w:rsidRPr="000F30FD">
        <w:rPr>
          <w:rFonts w:hint="eastAsia"/>
          <w:rtl/>
          <w:lang w:eastAsia="en-US"/>
        </w:rPr>
        <w:t>אומר</w:t>
      </w:r>
      <w:r w:rsidR="000C3EA5" w:rsidRPr="000F30FD">
        <w:rPr>
          <w:rtl/>
          <w:lang w:eastAsia="en-US"/>
        </w:rPr>
        <w:t xml:space="preserve"> </w:t>
      </w:r>
      <w:r w:rsidR="000C3EA5" w:rsidRPr="000F30FD">
        <w:rPr>
          <w:rFonts w:hint="eastAsia"/>
          <w:rtl/>
          <w:lang w:eastAsia="en-US"/>
        </w:rPr>
        <w:t>ללוי</w:t>
      </w:r>
      <w:r w:rsidR="000C3EA5">
        <w:rPr>
          <w:rFonts w:hint="cs"/>
          <w:rtl/>
          <w:lang w:eastAsia="en-US"/>
        </w:rPr>
        <w:t>,</w:t>
      </w:r>
      <w:r w:rsidR="000C3EA5" w:rsidRPr="000F30FD">
        <w:rPr>
          <w:rtl/>
          <w:lang w:eastAsia="en-US"/>
        </w:rPr>
        <w:t xml:space="preserve"> </w:t>
      </w:r>
      <w:r w:rsidR="000C3EA5" w:rsidRPr="000F30FD">
        <w:rPr>
          <w:rFonts w:hint="eastAsia"/>
          <w:rtl/>
          <w:lang w:eastAsia="en-US"/>
        </w:rPr>
        <w:t>לפיכך</w:t>
      </w:r>
      <w:r w:rsidR="000C3EA5" w:rsidRPr="000F30FD">
        <w:rPr>
          <w:rtl/>
          <w:lang w:eastAsia="en-US"/>
        </w:rPr>
        <w:t xml:space="preserve"> </w:t>
      </w:r>
      <w:r w:rsidR="000C3EA5" w:rsidRPr="000F30FD">
        <w:rPr>
          <w:rFonts w:hint="eastAsia"/>
          <w:rtl/>
          <w:lang w:eastAsia="en-US"/>
        </w:rPr>
        <w:t>נמחל</w:t>
      </w:r>
      <w:r w:rsidR="000C3EA5" w:rsidRPr="000F30FD">
        <w:rPr>
          <w:rtl/>
          <w:lang w:eastAsia="en-US"/>
        </w:rPr>
        <w:t xml:space="preserve"> </w:t>
      </w:r>
      <w:r w:rsidR="000C3EA5" w:rsidRPr="000F30FD">
        <w:rPr>
          <w:rFonts w:hint="eastAsia"/>
          <w:rtl/>
          <w:lang w:eastAsia="en-US"/>
        </w:rPr>
        <w:t>לו</w:t>
      </w:r>
      <w:r w:rsidR="000C3EA5" w:rsidRPr="000F30FD">
        <w:rPr>
          <w:rtl/>
          <w:lang w:eastAsia="en-US"/>
        </w:rPr>
        <w:t xml:space="preserve"> </w:t>
      </w:r>
      <w:r w:rsidR="000C3EA5" w:rsidRPr="000F30FD">
        <w:rPr>
          <w:rFonts w:hint="eastAsia"/>
          <w:rtl/>
          <w:lang w:eastAsia="en-US"/>
        </w:rPr>
        <w:t>מה</w:t>
      </w:r>
      <w:r w:rsidR="000C3EA5" w:rsidRPr="000F30FD">
        <w:rPr>
          <w:rtl/>
          <w:lang w:eastAsia="en-US"/>
        </w:rPr>
        <w:t xml:space="preserve"> </w:t>
      </w:r>
      <w:r w:rsidR="000C3EA5" w:rsidRPr="000F30FD">
        <w:rPr>
          <w:rFonts w:hint="eastAsia"/>
          <w:rtl/>
          <w:lang w:eastAsia="en-US"/>
        </w:rPr>
        <w:t>שאמר</w:t>
      </w:r>
      <w:r w:rsidR="000C3EA5" w:rsidRPr="000F30FD">
        <w:rPr>
          <w:rtl/>
          <w:lang w:eastAsia="en-US"/>
        </w:rPr>
        <w:t xml:space="preserve"> </w:t>
      </w:r>
      <w:r w:rsidR="000C3EA5" w:rsidRPr="000F30FD">
        <w:rPr>
          <w:rFonts w:hint="eastAsia"/>
          <w:rtl/>
          <w:lang w:eastAsia="en-US"/>
        </w:rPr>
        <w:t>תח</w:t>
      </w:r>
      <w:r w:rsidR="000C3EA5">
        <w:rPr>
          <w:rFonts w:hint="cs"/>
          <w:rtl/>
          <w:lang w:eastAsia="en-US"/>
        </w:rPr>
        <w:t>י</w:t>
      </w:r>
      <w:r w:rsidR="000C3EA5" w:rsidRPr="000F30FD">
        <w:rPr>
          <w:rFonts w:hint="eastAsia"/>
          <w:rtl/>
          <w:lang w:eastAsia="en-US"/>
        </w:rPr>
        <w:t>לה</w:t>
      </w:r>
      <w:r w:rsidR="000C3EA5">
        <w:rPr>
          <w:rFonts w:hint="cs"/>
          <w:rtl/>
          <w:lang w:eastAsia="en-US"/>
        </w:rPr>
        <w:t xml:space="preserve"> ... </w:t>
      </w:r>
      <w:r w:rsidR="000C3EA5" w:rsidRPr="000F30FD">
        <w:rPr>
          <w:rFonts w:hint="eastAsia"/>
          <w:rtl/>
          <w:lang w:eastAsia="en-US"/>
        </w:rPr>
        <w:t>ועכשיו</w:t>
      </w:r>
      <w:r w:rsidR="000C3EA5" w:rsidRPr="000F30FD">
        <w:rPr>
          <w:rtl/>
          <w:lang w:eastAsia="en-US"/>
        </w:rPr>
        <w:t xml:space="preserve"> </w:t>
      </w:r>
      <w:r w:rsidR="000C3EA5" w:rsidRPr="000F30FD">
        <w:rPr>
          <w:rFonts w:hint="eastAsia"/>
          <w:rtl/>
          <w:lang w:eastAsia="en-US"/>
        </w:rPr>
        <w:t>קורא</w:t>
      </w:r>
      <w:r w:rsidR="000C3EA5" w:rsidRPr="000F30FD">
        <w:rPr>
          <w:rtl/>
          <w:lang w:eastAsia="en-US"/>
        </w:rPr>
        <w:t xml:space="preserve"> </w:t>
      </w:r>
      <w:r w:rsidR="000C3EA5" w:rsidRPr="000F30FD">
        <w:rPr>
          <w:rFonts w:hint="eastAsia"/>
          <w:rtl/>
          <w:lang w:eastAsia="en-US"/>
        </w:rPr>
        <w:t>עצמו</w:t>
      </w:r>
      <w:r w:rsidR="000C3EA5" w:rsidRPr="000F30FD">
        <w:rPr>
          <w:rtl/>
          <w:lang w:eastAsia="en-US"/>
        </w:rPr>
        <w:t xml:space="preserve"> </w:t>
      </w:r>
      <w:r w:rsidR="000C3EA5" w:rsidRPr="000F30FD">
        <w:rPr>
          <w:rFonts w:hint="eastAsia"/>
          <w:rtl/>
          <w:lang w:eastAsia="en-US"/>
        </w:rPr>
        <w:t>כמודה</w:t>
      </w:r>
      <w:r w:rsidR="000C3EA5" w:rsidRPr="000F30FD">
        <w:rPr>
          <w:rtl/>
          <w:lang w:eastAsia="en-US"/>
        </w:rPr>
        <w:t xml:space="preserve"> </w:t>
      </w:r>
      <w:r w:rsidR="000C3EA5" w:rsidRPr="000F30FD">
        <w:rPr>
          <w:rFonts w:hint="eastAsia"/>
          <w:rtl/>
          <w:lang w:eastAsia="en-US"/>
        </w:rPr>
        <w:t>ועוזב</w:t>
      </w:r>
      <w:r w:rsidR="000C3EA5" w:rsidRPr="000F30FD">
        <w:rPr>
          <w:rtl/>
          <w:lang w:eastAsia="en-US"/>
        </w:rPr>
        <w:t xml:space="preserve"> </w:t>
      </w:r>
      <w:r w:rsidR="000C3EA5" w:rsidRPr="000F30FD">
        <w:rPr>
          <w:rFonts w:hint="eastAsia"/>
          <w:rtl/>
          <w:lang w:eastAsia="en-US"/>
        </w:rPr>
        <w:t>ומצדיק</w:t>
      </w:r>
      <w:r w:rsidR="000C3EA5" w:rsidRPr="000F30FD">
        <w:rPr>
          <w:rtl/>
          <w:lang w:eastAsia="en-US"/>
        </w:rPr>
        <w:t xml:space="preserve"> </w:t>
      </w:r>
      <w:r w:rsidR="000C3EA5" w:rsidRPr="000F30FD">
        <w:rPr>
          <w:rFonts w:hint="eastAsia"/>
          <w:rtl/>
          <w:lang w:eastAsia="en-US"/>
        </w:rPr>
        <w:t>עליו</w:t>
      </w:r>
      <w:r w:rsidR="000C3EA5" w:rsidRPr="000F30FD">
        <w:rPr>
          <w:rtl/>
          <w:lang w:eastAsia="en-US"/>
        </w:rPr>
        <w:t xml:space="preserve"> </w:t>
      </w:r>
      <w:r w:rsidR="000C3EA5" w:rsidRPr="000F30FD">
        <w:rPr>
          <w:rFonts w:hint="eastAsia"/>
          <w:rtl/>
          <w:lang w:eastAsia="en-US"/>
        </w:rPr>
        <w:t>את</w:t>
      </w:r>
      <w:r w:rsidR="000C3EA5" w:rsidRPr="000F30FD">
        <w:rPr>
          <w:rtl/>
          <w:lang w:eastAsia="en-US"/>
        </w:rPr>
        <w:t xml:space="preserve"> </w:t>
      </w:r>
      <w:r w:rsidR="000C3EA5" w:rsidRPr="000F30FD">
        <w:rPr>
          <w:rFonts w:hint="eastAsia"/>
          <w:rtl/>
          <w:lang w:eastAsia="en-US"/>
        </w:rPr>
        <w:t>הדין</w:t>
      </w:r>
      <w:r w:rsidR="000C3EA5">
        <w:rPr>
          <w:rFonts w:hint="cs"/>
          <w:rtl/>
          <w:lang w:eastAsia="en-US"/>
        </w:rPr>
        <w:t>".</w:t>
      </w:r>
    </w:p>
  </w:footnote>
  <w:footnote w:id="18">
    <w:p w:rsidR="00290965" w:rsidRDefault="00290965" w:rsidP="007C0158">
      <w:pPr>
        <w:pStyle w:val="a3"/>
        <w:rPr>
          <w:rFonts w:hint="cs"/>
          <w:rtl/>
        </w:rPr>
      </w:pPr>
      <w:r>
        <w:rPr>
          <w:rStyle w:val="a5"/>
        </w:rPr>
        <w:footnoteRef/>
      </w:r>
      <w:r>
        <w:rPr>
          <w:rtl/>
        </w:rPr>
        <w:t xml:space="preserve"> איזה פשע נוסף איננו מכסים ביום הכיפורים? מכירת יוסף! </w:t>
      </w:r>
      <w:r>
        <w:rPr>
          <w:rFonts w:hint="cs"/>
          <w:rtl/>
        </w:rPr>
        <w:t xml:space="preserve">אנחנו מזכירים את </w:t>
      </w:r>
      <w:r>
        <w:rPr>
          <w:rtl/>
        </w:rPr>
        <w:t xml:space="preserve">עשרה הרוגי מלכות </w:t>
      </w:r>
      <w:r>
        <w:rPr>
          <w:rFonts w:hint="cs"/>
          <w:rtl/>
        </w:rPr>
        <w:t xml:space="preserve">שהם </w:t>
      </w:r>
      <w:r>
        <w:rPr>
          <w:rtl/>
        </w:rPr>
        <w:t xml:space="preserve">כנגד עשרה </w:t>
      </w:r>
      <w:r>
        <w:rPr>
          <w:rFonts w:hint="cs"/>
          <w:rtl/>
        </w:rPr>
        <w:t>ה</w:t>
      </w:r>
      <w:r>
        <w:rPr>
          <w:rtl/>
        </w:rPr>
        <w:t>אחים שמכרו את יוסף. עשרים כסף פדיון נפש כנגד עשרים כסף שמכרו את יוסף. "אלה אזכרה ... לעשרה הרוגי מלוכה ... איה אבותיכם אשר אחיהם מכרוהו ...".</w:t>
      </w:r>
      <w:r>
        <w:rPr>
          <w:rFonts w:hint="cs"/>
          <w:rtl/>
        </w:rPr>
        <w:t xml:space="preserve"> </w:t>
      </w:r>
      <w:r w:rsidR="007C0158">
        <w:rPr>
          <w:rFonts w:hint="cs"/>
          <w:rtl/>
        </w:rPr>
        <w:t xml:space="preserve">ועפ"י </w:t>
      </w:r>
      <w:r w:rsidR="007C0158">
        <w:rPr>
          <w:rFonts w:hint="cs"/>
          <w:rtl/>
          <w:lang w:val="he-IL"/>
        </w:rPr>
        <w:t xml:space="preserve">רמב"ם מורה הנבוכים חלק שלישי פרק מו, כל שעירי החטאת שבקרבנות המועדים באים בגין מכירת יוסף: "אבל החכמים ז"ל שמו טעם היות כפרת צבור לעולם בשעירים, בעבור שחטא עדת ישראל כלה היה בשעיר רמז למכירת יוסף הצדיק, שנאמר בעניינו וישחטו שעיר עזים" (ראה דברינו </w:t>
      </w:r>
      <w:hyperlink r:id="rId12" w:history="1">
        <w:r w:rsidR="007C0158" w:rsidRPr="007C0158">
          <w:rPr>
            <w:rStyle w:val="Hyperlink"/>
            <w:rFonts w:hint="cs"/>
            <w:rtl/>
            <w:lang w:val="he-IL"/>
          </w:rPr>
          <w:t>על מכרם בכסף צדיק</w:t>
        </w:r>
      </w:hyperlink>
      <w:r w:rsidR="007C0158">
        <w:rPr>
          <w:rFonts w:hint="cs"/>
          <w:rtl/>
          <w:lang w:val="he-IL"/>
        </w:rPr>
        <w:t xml:space="preserve"> </w:t>
      </w:r>
      <w:r w:rsidR="00561306">
        <w:rPr>
          <w:rFonts w:hint="cs"/>
          <w:rtl/>
          <w:lang w:val="he-IL"/>
        </w:rPr>
        <w:t xml:space="preserve">וכן </w:t>
      </w:r>
      <w:hyperlink r:id="rId13" w:history="1">
        <w:r w:rsidR="00561306" w:rsidRPr="00561306">
          <w:rPr>
            <w:rStyle w:val="Hyperlink"/>
            <w:rFonts w:hint="cs"/>
            <w:rtl/>
            <w:lang w:val="he-IL"/>
          </w:rPr>
          <w:t>בעבור נעליים</w:t>
        </w:r>
      </w:hyperlink>
      <w:r w:rsidR="00561306">
        <w:rPr>
          <w:rFonts w:hint="cs"/>
          <w:rtl/>
          <w:lang w:val="he-IL"/>
        </w:rPr>
        <w:t xml:space="preserve"> </w:t>
      </w:r>
      <w:r w:rsidR="007C0158">
        <w:rPr>
          <w:rFonts w:hint="cs"/>
          <w:rtl/>
          <w:lang w:val="he-IL"/>
        </w:rPr>
        <w:t xml:space="preserve">בפרשת וישב). </w:t>
      </w:r>
      <w:r>
        <w:rPr>
          <w:rFonts w:hint="cs"/>
          <w:rtl/>
        </w:rPr>
        <w:t>שוב</w:t>
      </w:r>
      <w:r w:rsidR="007C0158">
        <w:rPr>
          <w:rFonts w:hint="cs"/>
          <w:rtl/>
        </w:rPr>
        <w:t>,</w:t>
      </w:r>
      <w:r>
        <w:rPr>
          <w:rFonts w:hint="cs"/>
          <w:rtl/>
        </w:rPr>
        <w:t xml:space="preserve"> למען האיזון והדיוק, מן הראוי לציין שגם בדיני ההודאה והתשובה ביום הכיפורים (ובכל השנה) יש גדרים וסייגים, מתי מפרטים את החטא ומתי לא. כגון האבחנה בין חטא מפורסם (שכבר נודע ברבים) ובין חטא שאינו מפורסם. ובין עבירות שבין אדם לחברו ובין עבירות שבין אדם למקום. ראה שוב דברינו </w:t>
      </w:r>
      <w:hyperlink r:id="rId14" w:history="1">
        <w:r w:rsidRPr="001E21BE">
          <w:rPr>
            <w:rStyle w:val="Hyperlink"/>
            <w:rFonts w:hint="cs"/>
            <w:rtl/>
          </w:rPr>
          <w:t>ייכתב עווני</w:t>
        </w:r>
      </w:hyperlink>
      <w:r>
        <w:rPr>
          <w:rFonts w:hint="cs"/>
          <w:rtl/>
        </w:rPr>
        <w:t xml:space="preserve"> בפרשת חוקת </w:t>
      </w:r>
      <w:r>
        <w:rPr>
          <w:rtl/>
        </w:rPr>
        <w:t>–</w:t>
      </w:r>
      <w:r>
        <w:rPr>
          <w:rFonts w:hint="cs"/>
          <w:rtl/>
        </w:rPr>
        <w:t xml:space="preserve"> מחלוקת משה ודוד. </w:t>
      </w:r>
      <w:r>
        <w:rPr>
          <w:rtl/>
        </w:rPr>
        <w:t>ו</w:t>
      </w:r>
      <w:r>
        <w:rPr>
          <w:rFonts w:hint="cs"/>
          <w:rtl/>
        </w:rPr>
        <w:t xml:space="preserve">סוכמו הדברים </w:t>
      </w:r>
      <w:r>
        <w:rPr>
          <w:rtl/>
        </w:rPr>
        <w:t>ברמב"ם הלכות תשובה פרק ב הלכה ה: "ושבח גדול לשב שיתודה ברבים ויודיע פשעיו .... וכל המתגאה ואינו מודיע אלא מכסה פשעיו אין תשובתו גמורה ... שנאמר מכסה פשעיו לא יצליח. במה דברים אמורים</w:t>
      </w:r>
      <w:r>
        <w:rPr>
          <w:rFonts w:hint="cs"/>
          <w:rtl/>
        </w:rPr>
        <w:t>?</w:t>
      </w:r>
      <w:r>
        <w:rPr>
          <w:rtl/>
        </w:rPr>
        <w:t xml:space="preserve"> בעבירות שבין אדם לחברו אבל בעבירות שבין אדם למקום אינו צריך לפרסם עצמו ועזות פנים היא לו אם גילם, אלא שב לפני האל ברוך הוא ופורט חטאיו לפניו ... וטובה היא לו שלא נתגלה עונו שנאמר: אשרי נשוי פשע כסוי חטאה".</w:t>
      </w:r>
      <w:r w:rsidR="007C0158">
        <w:rPr>
          <w:rFonts w:hint="cs"/>
          <w:rtl/>
        </w:rPr>
        <w:t xml:space="preserve"> כל חטאי האבות ושגיאותיהם, חוץ אולי מאחד ("במה אדע כי אירשנה") היו בין אדם לחברו!</w:t>
      </w:r>
    </w:p>
  </w:footnote>
  <w:footnote w:id="19">
    <w:p w:rsidR="00290965" w:rsidRDefault="00290965" w:rsidP="005E205F">
      <w:pPr>
        <w:pStyle w:val="a3"/>
        <w:rPr>
          <w:rFonts w:hint="cs"/>
          <w:rtl/>
        </w:rPr>
      </w:pPr>
      <w:r>
        <w:rPr>
          <w:rStyle w:val="a5"/>
        </w:rPr>
        <w:footnoteRef/>
      </w:r>
      <w:r>
        <w:rPr>
          <w:rtl/>
        </w:rPr>
        <w:t xml:space="preserve"> </w:t>
      </w:r>
      <w:r>
        <w:rPr>
          <w:rFonts w:hint="cs"/>
          <w:rtl/>
        </w:rPr>
        <w:t>ספר בראשית נקרא ספר הישר ויש לכך מקורות והסברים רבים</w:t>
      </w:r>
      <w:r w:rsidR="005E205F">
        <w:rPr>
          <w:rFonts w:hint="cs"/>
          <w:rtl/>
        </w:rPr>
        <w:t xml:space="preserve">, חוץ מגמרא זו. </w:t>
      </w:r>
      <w:r w:rsidR="005E205F">
        <w:rPr>
          <w:rFonts w:hint="cs"/>
          <w:rtl/>
          <w:lang w:eastAsia="en-US"/>
        </w:rPr>
        <w:t xml:space="preserve">ראה </w:t>
      </w:r>
      <w:r>
        <w:rPr>
          <w:rFonts w:hint="cs"/>
          <w:rtl/>
          <w:lang w:eastAsia="en-US"/>
        </w:rPr>
        <w:t xml:space="preserve">בראשית </w:t>
      </w:r>
      <w:r>
        <w:rPr>
          <w:rtl/>
          <w:lang w:eastAsia="en-US"/>
        </w:rPr>
        <w:t xml:space="preserve">רבה </w:t>
      </w:r>
      <w:r>
        <w:rPr>
          <w:rFonts w:hint="cs"/>
          <w:rtl/>
          <w:lang w:eastAsia="en-US"/>
        </w:rPr>
        <w:t xml:space="preserve">סוף </w:t>
      </w:r>
      <w:r>
        <w:rPr>
          <w:rtl/>
          <w:lang w:eastAsia="en-US"/>
        </w:rPr>
        <w:t>פרשה ו</w:t>
      </w:r>
      <w:r>
        <w:rPr>
          <w:rFonts w:hint="cs"/>
          <w:rtl/>
          <w:lang w:eastAsia="en-US"/>
        </w:rPr>
        <w:t xml:space="preserve"> על בריאת המאורות: </w:t>
      </w:r>
      <w:r>
        <w:rPr>
          <w:rFonts w:hint="cs"/>
          <w:rtl/>
        </w:rPr>
        <w:t>"</w:t>
      </w:r>
      <w:r>
        <w:rPr>
          <w:rtl/>
        </w:rPr>
        <w:t>ולמשול ביום ובלילה</w:t>
      </w:r>
      <w:r w:rsidR="005E205F">
        <w:rPr>
          <w:rFonts w:hint="cs"/>
          <w:rtl/>
        </w:rPr>
        <w:t xml:space="preserve"> ..</w:t>
      </w:r>
      <w:r>
        <w:rPr>
          <w:rtl/>
        </w:rPr>
        <w:t xml:space="preserve"> אלו הצדיקים</w:t>
      </w:r>
      <w:r>
        <w:rPr>
          <w:rFonts w:hint="cs"/>
          <w:rtl/>
        </w:rPr>
        <w:t>,</w:t>
      </w:r>
      <w:r>
        <w:rPr>
          <w:rtl/>
        </w:rPr>
        <w:t xml:space="preserve"> שהן שולטין במה שנברא להאיר ביום ובמה שנברא להאיר בלילה</w:t>
      </w:r>
      <w:r>
        <w:rPr>
          <w:rFonts w:hint="cs"/>
          <w:rtl/>
        </w:rPr>
        <w:t>. זהו שכתוב</w:t>
      </w:r>
      <w:r>
        <w:rPr>
          <w:rtl/>
        </w:rPr>
        <w:t xml:space="preserve"> (יהושע י) ויד</w:t>
      </w:r>
      <w:r>
        <w:rPr>
          <w:rFonts w:hint="cs"/>
          <w:rtl/>
        </w:rPr>
        <w:t>ו</w:t>
      </w:r>
      <w:r>
        <w:rPr>
          <w:rtl/>
        </w:rPr>
        <w:t>ם השמש וירח עמד עד יקום גוי אויביו הלא היא כתובה על ספר הישר</w:t>
      </w:r>
      <w:r>
        <w:rPr>
          <w:rFonts w:hint="cs"/>
          <w:rtl/>
        </w:rPr>
        <w:t>.</w:t>
      </w:r>
      <w:r>
        <w:rPr>
          <w:rtl/>
        </w:rPr>
        <w:t xml:space="preserve"> מאי ספר הישר</w:t>
      </w:r>
      <w:r>
        <w:rPr>
          <w:rFonts w:hint="cs"/>
          <w:rtl/>
        </w:rPr>
        <w:t>?</w:t>
      </w:r>
      <w:r>
        <w:rPr>
          <w:rtl/>
        </w:rPr>
        <w:t xml:space="preserve"> ספר אברהם יצחק ויעקב</w:t>
      </w:r>
      <w:r>
        <w:rPr>
          <w:rFonts w:hint="cs"/>
          <w:rtl/>
        </w:rPr>
        <w:t>.</w:t>
      </w:r>
      <w:r>
        <w:rPr>
          <w:rtl/>
          <w:lang w:eastAsia="en-US"/>
        </w:rPr>
        <w:t xml:space="preserve"> ואמאי קרי ליה ספר הישר</w:t>
      </w:r>
      <w:r>
        <w:rPr>
          <w:rFonts w:hint="cs"/>
          <w:rtl/>
          <w:lang w:eastAsia="en-US"/>
        </w:rPr>
        <w:t>?</w:t>
      </w:r>
      <w:r>
        <w:rPr>
          <w:rtl/>
          <w:lang w:eastAsia="en-US"/>
        </w:rPr>
        <w:t xml:space="preserve"> דכתיב (במדבר כג) תמות נפשי מות ישרים</w:t>
      </w:r>
      <w:r>
        <w:rPr>
          <w:rFonts w:hint="cs"/>
          <w:rtl/>
          <w:lang w:eastAsia="en-US"/>
        </w:rPr>
        <w:t xml:space="preserve">". </w:t>
      </w:r>
      <w:r>
        <w:rPr>
          <w:rFonts w:hint="cs"/>
          <w:rtl/>
        </w:rPr>
        <w:t xml:space="preserve">ראה סיכום הדברים בדברינו </w:t>
      </w:r>
      <w:hyperlink r:id="rId15" w:history="1">
        <w:r w:rsidRPr="00600F75">
          <w:rPr>
            <w:rStyle w:val="Hyperlink"/>
            <w:rFonts w:hint="cs"/>
            <w:rtl/>
          </w:rPr>
          <w:t>ספר הישר</w:t>
        </w:r>
      </w:hyperlink>
      <w:r>
        <w:rPr>
          <w:rFonts w:hint="cs"/>
          <w:rtl/>
        </w:rPr>
        <w:t xml:space="preserve"> בפרשת ויחי החותמת את ספר בראשית. ספר בראשית נקרא ספר הישר בגלל האישים שבו שהיו בראש ובראשונה אנשים ישרים. לא מושלמים, לא קדושים שאינם טועים, אבל ישרים: "לא כיסה עליהם הכתוב". ראה </w:t>
      </w:r>
      <w:r w:rsidRPr="00287968">
        <w:rPr>
          <w:rFonts w:hint="cs"/>
          <w:rtl/>
          <w:lang w:val="he-IL"/>
        </w:rPr>
        <w:t xml:space="preserve">פתיחת </w:t>
      </w:r>
      <w:r>
        <w:rPr>
          <w:rFonts w:hint="cs"/>
          <w:rtl/>
          <w:lang w:val="he-IL"/>
        </w:rPr>
        <w:t xml:space="preserve">הנצי"ב, בפירושו העמק דבר, </w:t>
      </w:r>
      <w:r w:rsidRPr="00287968">
        <w:rPr>
          <w:rFonts w:hint="cs"/>
          <w:rtl/>
          <w:lang w:val="he-IL"/>
        </w:rPr>
        <w:t>לספר בראשית</w:t>
      </w:r>
      <w:r>
        <w:rPr>
          <w:rFonts w:hint="cs"/>
          <w:rtl/>
          <w:lang w:val="he-IL"/>
        </w:rPr>
        <w:t>, אשר הולך בעקבות הגמרא במסכת עבודה זרה בה פתחנו שספר הישר הוא ספר בראשית ע"ש האבות שנקראו ישרים: "שמלבד שהיו צדיקים וחסידים ואוהבי ה' באופן היותר אפשר, עוד היו ישרים, היינו שהתנהגו עם אומות העולם, אפילו עובדי אלילים מכוערים, מכל מקום היו עמם באהבה וחשו לטובתם, באשר היא קיום הבריאה". ראה דבריו הנפלאים שם!</w:t>
      </w:r>
    </w:p>
  </w:footnote>
  <w:footnote w:id="20">
    <w:p w:rsidR="00290965" w:rsidRPr="002C19C8" w:rsidRDefault="00290965" w:rsidP="00290965">
      <w:pPr>
        <w:pStyle w:val="a3"/>
        <w:rPr>
          <w:rFonts w:hint="cs"/>
          <w:rtl/>
        </w:rPr>
      </w:pPr>
      <w:r w:rsidRPr="002C19C8">
        <w:rPr>
          <w:rStyle w:val="a5"/>
        </w:rPr>
        <w:footnoteRef/>
      </w:r>
      <w:r w:rsidRPr="002C19C8">
        <w:rPr>
          <w:rtl/>
        </w:rPr>
        <w:t xml:space="preserve"> </w:t>
      </w:r>
      <w:r w:rsidRPr="002C19C8">
        <w:rPr>
          <w:rFonts w:hint="cs"/>
          <w:rtl/>
        </w:rPr>
        <w:t>גם ספר דברים נקרא ספר הישר, שכן כתוב בו:</w:t>
      </w:r>
      <w:r w:rsidRPr="002C19C8">
        <w:rPr>
          <w:rFonts w:hint="cs"/>
          <w:rtl/>
          <w:lang w:val="he-IL"/>
        </w:rPr>
        <w:t xml:space="preserve"> "ועשית הישר והטוב בעיני ה'". </w:t>
      </w:r>
      <w:r w:rsidRPr="002C19C8">
        <w:rPr>
          <w:rFonts w:hint="cs"/>
          <w:rtl/>
        </w:rPr>
        <w:t xml:space="preserve">שני הספרים החובקים את מתן תורה ומעמד הר סיני, בראשית מזה ודברים מזה </w:t>
      </w:r>
      <w:r w:rsidRPr="002C19C8">
        <w:rPr>
          <w:rtl/>
        </w:rPr>
        <w:t>–</w:t>
      </w:r>
      <w:r w:rsidRPr="002C19C8">
        <w:rPr>
          <w:rFonts w:hint="cs"/>
          <w:rtl/>
        </w:rPr>
        <w:t xml:space="preserve"> נקראים ספר הישר. ממי נלמד לעשות הישר והטוב כולל "שגיאות מי יבין"? מספר בראשית</w:t>
      </w:r>
      <w:r>
        <w:rPr>
          <w:rFonts w:hint="cs"/>
          <w:rtl/>
        </w:rPr>
        <w:t xml:space="preserve">, שכולו </w:t>
      </w:r>
      <w:hyperlink r:id="rId16" w:history="1">
        <w:r w:rsidRPr="006F33AD">
          <w:rPr>
            <w:rStyle w:val="Hyperlink"/>
            <w:rFonts w:hint="cs"/>
            <w:rtl/>
          </w:rPr>
          <w:t>מעשה אבות סימן לבנים</w:t>
        </w:r>
      </w:hyperlink>
      <w:r>
        <w:rPr>
          <w:rFonts w:hint="cs"/>
          <w:rtl/>
        </w:rPr>
        <w:t>,</w:t>
      </w:r>
      <w:r w:rsidRPr="002C19C8">
        <w:rPr>
          <w:rFonts w:hint="cs"/>
          <w:rtl/>
        </w:rPr>
        <w:t xml:space="preserve"> מחד גיסא ומספר דברים, משנה תורה</w:t>
      </w:r>
      <w:r>
        <w:rPr>
          <w:rFonts w:hint="cs"/>
          <w:rtl/>
        </w:rPr>
        <w:t xml:space="preserve">, המדגיש את </w:t>
      </w:r>
      <w:hyperlink r:id="rId17" w:history="1">
        <w:r w:rsidRPr="006F33AD">
          <w:rPr>
            <w:rStyle w:val="Hyperlink"/>
            <w:rFonts w:hint="cs"/>
            <w:rtl/>
          </w:rPr>
          <w:t>עשיית הטוב והישר</w:t>
        </w:r>
      </w:hyperlink>
      <w:r w:rsidRPr="002C19C8">
        <w:rPr>
          <w:rFonts w:hint="cs"/>
          <w:rtl/>
        </w:rPr>
        <w:t xml:space="preserve"> </w:t>
      </w:r>
      <w:r>
        <w:rPr>
          <w:rFonts w:hint="cs"/>
          <w:rtl/>
        </w:rPr>
        <w:t xml:space="preserve">אחרי כל המצוות המשפטים והחוקים, </w:t>
      </w:r>
      <w:r w:rsidRPr="002C19C8">
        <w:rPr>
          <w:rFonts w:hint="cs"/>
          <w:rtl/>
        </w:rPr>
        <w:t>מאידך גיסא.</w:t>
      </w:r>
    </w:p>
  </w:footnote>
  <w:footnote w:id="21">
    <w:p w:rsidR="00194976" w:rsidRDefault="00194976" w:rsidP="00561306">
      <w:pPr>
        <w:pStyle w:val="a3"/>
        <w:rPr>
          <w:rFonts w:hint="cs"/>
          <w:rtl/>
        </w:rPr>
      </w:pPr>
      <w:r>
        <w:rPr>
          <w:rStyle w:val="a5"/>
        </w:rPr>
        <w:footnoteRef/>
      </w:r>
      <w:r>
        <w:rPr>
          <w:rtl/>
        </w:rPr>
        <w:t xml:space="preserve"> </w:t>
      </w:r>
      <w:r>
        <w:rPr>
          <w:rFonts w:hint="cs"/>
          <w:rtl/>
        </w:rPr>
        <w:t xml:space="preserve">ראה איך רמב"ם נותן משמעות הלכתית מעשית לדבריו של הלל: מה ששנאוי עליך, אל תעשה לחברך </w:t>
      </w:r>
      <w:r>
        <w:rPr>
          <w:rtl/>
        </w:rPr>
        <w:t>–</w:t>
      </w:r>
      <w:r>
        <w:rPr>
          <w:rFonts w:hint="cs"/>
          <w:rtl/>
        </w:rPr>
        <w:t xml:space="preserve"> זו היא כל התורה כולה (שבת לא א)"</w:t>
      </w:r>
      <w:r w:rsidR="00561306">
        <w:rPr>
          <w:rFonts w:hint="cs"/>
          <w:rtl/>
        </w:rPr>
        <w:t xml:space="preserve">. הוא הופך את הלשון השלילית של הלל: אל תעשה לחברך מה ששנוא עליך, ללשון חיובית: תעשה לחברך מה שאתה רוצה שיעשו לך </w:t>
      </w:r>
      <w:r>
        <w:rPr>
          <w:rFonts w:hint="cs"/>
          <w:rtl/>
        </w:rPr>
        <w:t>ומקשר אות</w:t>
      </w:r>
      <w:r w:rsidR="00561306">
        <w:rPr>
          <w:rFonts w:hint="cs"/>
          <w:rtl/>
        </w:rPr>
        <w:t>ה</w:t>
      </w:r>
      <w:r>
        <w:rPr>
          <w:rFonts w:hint="cs"/>
          <w:rtl/>
        </w:rPr>
        <w:t xml:space="preserve"> עם "ואהבת לרעך כמוך". </w:t>
      </w:r>
    </w:p>
  </w:footnote>
  <w:footnote w:id="22">
    <w:p w:rsidR="00104711" w:rsidRDefault="00104711" w:rsidP="00A17028">
      <w:pPr>
        <w:pStyle w:val="a3"/>
        <w:rPr>
          <w:rFonts w:hint="cs"/>
        </w:rPr>
      </w:pPr>
      <w:r>
        <w:rPr>
          <w:rStyle w:val="a5"/>
        </w:rPr>
        <w:footnoteRef/>
      </w:r>
      <w:r>
        <w:rPr>
          <w:rtl/>
        </w:rPr>
        <w:t xml:space="preserve"> </w:t>
      </w:r>
      <w:r>
        <w:rPr>
          <w:rFonts w:hint="cs"/>
          <w:rtl/>
        </w:rPr>
        <w:t xml:space="preserve">ראה דברינו </w:t>
      </w:r>
      <w:hyperlink r:id="rId18" w:history="1">
        <w:r w:rsidRPr="00104711">
          <w:rPr>
            <w:rStyle w:val="Hyperlink"/>
            <w:rFonts w:hint="cs"/>
            <w:rtl/>
          </w:rPr>
          <w:t>אשל אברהם</w:t>
        </w:r>
      </w:hyperlink>
      <w:r>
        <w:rPr>
          <w:rFonts w:hint="cs"/>
          <w:rtl/>
        </w:rPr>
        <w:t xml:space="preserve"> וכן </w:t>
      </w:r>
      <w:hyperlink r:id="rId19" w:history="1">
        <w:r w:rsidRPr="00104711">
          <w:rPr>
            <w:rStyle w:val="Hyperlink"/>
            <w:rFonts w:hint="cs"/>
            <w:rtl/>
          </w:rPr>
          <w:t>הכנסת אורחים של אברהם</w:t>
        </w:r>
      </w:hyperlink>
      <w:r>
        <w:rPr>
          <w:rFonts w:hint="cs"/>
          <w:rtl/>
        </w:rPr>
        <w:t xml:space="preserve"> בפרשת וירא. אש"ל אברהם הוא: אכילה, שתיה, לויה, כלשון מדרש ילמדנו בראשית אות קג, ומדרשים רבים אחרים: "ויטע אשל" </w:t>
      </w:r>
      <w:r w:rsidR="00A17028">
        <w:rPr>
          <w:rFonts w:hint="cs"/>
          <w:rtl/>
        </w:rPr>
        <w:t xml:space="preserve">... </w:t>
      </w:r>
      <w:r>
        <w:rPr>
          <w:rFonts w:hint="cs"/>
          <w:rtl/>
        </w:rPr>
        <w:t>עשה פונדק בפרשת דרכים, ונותן לעוברים ושבים: אכילה, שתיה, לויה</w:t>
      </w:r>
      <w:r w:rsidR="00A17028">
        <w:rPr>
          <w:rFonts w:hint="cs"/>
          <w:rtl/>
        </w:rPr>
        <w:t>"</w:t>
      </w:r>
      <w:r>
        <w:rPr>
          <w:rFonts w:hint="cs"/>
          <w:rtl/>
        </w:rPr>
        <w:t>.</w:t>
      </w:r>
      <w:r w:rsidR="00A17028">
        <w:rPr>
          <w:rFonts w:hint="cs"/>
          <w:rtl/>
        </w:rPr>
        <w:t xml:space="preserve"> והמקור בתורה הוא הפסוק בבראשית יח טז: "ויקומו משם האנשים ... ואברהם הולך עמם לשלחם" ומדרש בראשית רבה עליו: "המשל אומר: האכלת, השקית, לווה!".</w:t>
      </w:r>
    </w:p>
  </w:footnote>
  <w:footnote w:id="23">
    <w:p w:rsidR="00EB3102" w:rsidRDefault="00EB3102" w:rsidP="003D72BE">
      <w:pPr>
        <w:pStyle w:val="a3"/>
        <w:rPr>
          <w:rFonts w:hint="cs"/>
          <w:rtl/>
        </w:rPr>
      </w:pPr>
      <w:r>
        <w:rPr>
          <w:rStyle w:val="a5"/>
        </w:rPr>
        <w:footnoteRef/>
      </w:r>
      <w:r>
        <w:rPr>
          <w:rtl/>
        </w:rPr>
        <w:t xml:space="preserve"> </w:t>
      </w:r>
      <w:r>
        <w:rPr>
          <w:rFonts w:hint="cs"/>
          <w:rtl/>
        </w:rPr>
        <w:t xml:space="preserve">הכוונה הברורה כאן של הרמב"ם היא למצוות עגלה ערופה, כדברי המשנה במסכת סוטה, פרק ט משנה ו: </w:t>
      </w:r>
      <w:r w:rsidRPr="00B92A7A">
        <w:rPr>
          <w:rFonts w:hint="eastAsia"/>
          <w:rtl/>
          <w:lang w:eastAsia="en-US"/>
        </w:rPr>
        <w:t>זקני</w:t>
      </w:r>
      <w:r w:rsidRPr="00B92A7A">
        <w:rPr>
          <w:rtl/>
          <w:lang w:eastAsia="en-US"/>
        </w:rPr>
        <w:t xml:space="preserve"> </w:t>
      </w:r>
      <w:r w:rsidRPr="00B92A7A">
        <w:rPr>
          <w:rFonts w:hint="eastAsia"/>
          <w:rtl/>
          <w:lang w:eastAsia="en-US"/>
        </w:rPr>
        <w:t>אותה</w:t>
      </w:r>
      <w:r w:rsidRPr="00B92A7A">
        <w:rPr>
          <w:rtl/>
          <w:lang w:eastAsia="en-US"/>
        </w:rPr>
        <w:t xml:space="preserve"> </w:t>
      </w:r>
      <w:r w:rsidRPr="00B92A7A">
        <w:rPr>
          <w:rFonts w:hint="eastAsia"/>
          <w:rtl/>
          <w:lang w:eastAsia="en-US"/>
        </w:rPr>
        <w:t>העיר</w:t>
      </w:r>
      <w:r w:rsidRPr="00B92A7A">
        <w:rPr>
          <w:rtl/>
          <w:lang w:eastAsia="en-US"/>
        </w:rPr>
        <w:t xml:space="preserve"> </w:t>
      </w:r>
      <w:r w:rsidRPr="00B92A7A">
        <w:rPr>
          <w:rFonts w:hint="eastAsia"/>
          <w:rtl/>
          <w:lang w:eastAsia="en-US"/>
        </w:rPr>
        <w:t>רוחצין</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ידיהן</w:t>
      </w:r>
      <w:r w:rsidRPr="00B92A7A">
        <w:rPr>
          <w:rtl/>
          <w:lang w:eastAsia="en-US"/>
        </w:rPr>
        <w:t xml:space="preserve"> </w:t>
      </w:r>
      <w:r w:rsidRPr="00B92A7A">
        <w:rPr>
          <w:rFonts w:hint="eastAsia"/>
          <w:rtl/>
          <w:lang w:eastAsia="en-US"/>
        </w:rPr>
        <w:t>במים</w:t>
      </w:r>
      <w:r w:rsidRPr="00B92A7A">
        <w:rPr>
          <w:rtl/>
          <w:lang w:eastAsia="en-US"/>
        </w:rPr>
        <w:t xml:space="preserve"> </w:t>
      </w:r>
      <w:r w:rsidRPr="00B92A7A">
        <w:rPr>
          <w:rFonts w:hint="eastAsia"/>
          <w:rtl/>
          <w:lang w:eastAsia="en-US"/>
        </w:rPr>
        <w:t>במקום</w:t>
      </w:r>
      <w:r w:rsidRPr="00B92A7A">
        <w:rPr>
          <w:rtl/>
          <w:lang w:eastAsia="en-US"/>
        </w:rPr>
        <w:t xml:space="preserve"> </w:t>
      </w:r>
      <w:r w:rsidRPr="00B92A7A">
        <w:rPr>
          <w:rFonts w:hint="eastAsia"/>
          <w:rtl/>
          <w:lang w:eastAsia="en-US"/>
        </w:rPr>
        <w:t>עריפה</w:t>
      </w:r>
      <w:r w:rsidRPr="00B92A7A">
        <w:rPr>
          <w:rtl/>
          <w:lang w:eastAsia="en-US"/>
        </w:rPr>
        <w:t xml:space="preserve"> </w:t>
      </w:r>
      <w:r w:rsidRPr="00B92A7A">
        <w:rPr>
          <w:rFonts w:hint="eastAsia"/>
          <w:rtl/>
          <w:lang w:eastAsia="en-US"/>
        </w:rPr>
        <w:t>של</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ואומרים</w:t>
      </w:r>
      <w:r w:rsidRPr="00B92A7A">
        <w:rPr>
          <w:rFonts w:hint="cs"/>
          <w:rtl/>
          <w:lang w:eastAsia="en-US"/>
        </w:rPr>
        <w:t xml:space="preserve">: </w:t>
      </w:r>
      <w:r w:rsidRPr="00B92A7A">
        <w:rPr>
          <w:rFonts w:hint="eastAsia"/>
          <w:rtl/>
          <w:lang w:eastAsia="en-US"/>
        </w:rPr>
        <w:t>ידינו</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שפכו</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הזה</w:t>
      </w:r>
      <w:r w:rsidRPr="00B92A7A">
        <w:rPr>
          <w:rtl/>
          <w:lang w:eastAsia="en-US"/>
        </w:rPr>
        <w:t xml:space="preserve"> </w:t>
      </w:r>
      <w:r w:rsidRPr="00B92A7A">
        <w:rPr>
          <w:rFonts w:hint="eastAsia"/>
          <w:rtl/>
          <w:lang w:eastAsia="en-US"/>
        </w:rPr>
        <w:t>ועינינו</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ראו</w:t>
      </w:r>
      <w:r w:rsidRPr="00B92A7A">
        <w:rPr>
          <w:rFonts w:hint="cs"/>
          <w:rtl/>
          <w:lang w:eastAsia="en-US"/>
        </w:rPr>
        <w:t>.</w:t>
      </w:r>
      <w:r w:rsidRPr="00B92A7A">
        <w:rPr>
          <w:rtl/>
          <w:lang w:eastAsia="en-US"/>
        </w:rPr>
        <w:t xml:space="preserve"> </w:t>
      </w:r>
      <w:r w:rsidRPr="00B92A7A">
        <w:rPr>
          <w:rFonts w:hint="eastAsia"/>
          <w:rtl/>
          <w:lang w:eastAsia="en-US"/>
        </w:rPr>
        <w:t>וכי</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דעתינו</w:t>
      </w:r>
      <w:r w:rsidRPr="00B92A7A">
        <w:rPr>
          <w:rtl/>
          <w:lang w:eastAsia="en-US"/>
        </w:rPr>
        <w:t xml:space="preserve"> </w:t>
      </w:r>
      <w:r w:rsidRPr="00B92A7A">
        <w:rPr>
          <w:rFonts w:hint="eastAsia"/>
          <w:rtl/>
          <w:lang w:eastAsia="en-US"/>
        </w:rPr>
        <w:t>עלתה</w:t>
      </w:r>
      <w:r w:rsidRPr="00B92A7A">
        <w:rPr>
          <w:rtl/>
          <w:lang w:eastAsia="en-US"/>
        </w:rPr>
        <w:t xml:space="preserve"> </w:t>
      </w:r>
      <w:r w:rsidRPr="00B92A7A">
        <w:rPr>
          <w:rFonts w:hint="eastAsia"/>
          <w:rtl/>
          <w:lang w:eastAsia="en-US"/>
        </w:rPr>
        <w:t>שזקני</w:t>
      </w:r>
      <w:r w:rsidRPr="00B92A7A">
        <w:rPr>
          <w:rtl/>
          <w:lang w:eastAsia="en-US"/>
        </w:rPr>
        <w:t xml:space="preserve"> </w:t>
      </w:r>
      <w:r w:rsidRPr="00B92A7A">
        <w:rPr>
          <w:rFonts w:hint="eastAsia"/>
          <w:rtl/>
          <w:lang w:eastAsia="en-US"/>
        </w:rPr>
        <w:t>בית</w:t>
      </w:r>
      <w:r w:rsidRPr="00B92A7A">
        <w:rPr>
          <w:rtl/>
          <w:lang w:eastAsia="en-US"/>
        </w:rPr>
        <w:t xml:space="preserve"> </w:t>
      </w:r>
      <w:r w:rsidRPr="00B92A7A">
        <w:rPr>
          <w:rFonts w:hint="eastAsia"/>
          <w:rtl/>
          <w:lang w:eastAsia="en-US"/>
        </w:rPr>
        <w:t>דין</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הן</w:t>
      </w:r>
      <w:r w:rsidRPr="00B92A7A">
        <w:rPr>
          <w:rFonts w:hint="cs"/>
          <w:rtl/>
          <w:lang w:eastAsia="en-US"/>
        </w:rPr>
        <w:t>?</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בא</w:t>
      </w:r>
      <w:r w:rsidRPr="00B92A7A">
        <w:rPr>
          <w:rtl/>
          <w:lang w:eastAsia="en-US"/>
        </w:rPr>
        <w:t xml:space="preserve"> </w:t>
      </w:r>
      <w:r w:rsidRPr="00B92A7A">
        <w:rPr>
          <w:rFonts w:hint="eastAsia"/>
          <w:rtl/>
          <w:lang w:eastAsia="en-US"/>
        </w:rPr>
        <w:t>לידינו</w:t>
      </w:r>
      <w:r w:rsidRPr="00B92A7A">
        <w:rPr>
          <w:rtl/>
          <w:lang w:eastAsia="en-US"/>
        </w:rPr>
        <w:t xml:space="preserve"> </w:t>
      </w:r>
      <w:r w:rsidRPr="00B92A7A">
        <w:rPr>
          <w:rFonts w:hint="eastAsia"/>
          <w:rtl/>
          <w:lang w:eastAsia="en-US"/>
        </w:rPr>
        <w:t>ופטרנוהו</w:t>
      </w:r>
      <w:r w:rsidRPr="00B92A7A">
        <w:rPr>
          <w:rtl/>
          <w:lang w:eastAsia="en-US"/>
        </w:rPr>
        <w:t xml:space="preserve"> </w:t>
      </w:r>
      <w:r w:rsidRPr="00B92A7A">
        <w:rPr>
          <w:rFonts w:hint="eastAsia"/>
          <w:rtl/>
          <w:lang w:eastAsia="en-US"/>
        </w:rPr>
        <w:t>בלא</w:t>
      </w:r>
      <w:r w:rsidRPr="00B92A7A">
        <w:rPr>
          <w:rtl/>
          <w:lang w:eastAsia="en-US"/>
        </w:rPr>
        <w:t xml:space="preserve"> </w:t>
      </w:r>
      <w:r w:rsidRPr="00B92A7A">
        <w:rPr>
          <w:rFonts w:hint="eastAsia"/>
          <w:rtl/>
          <w:lang w:eastAsia="en-US"/>
        </w:rPr>
        <w:t>מזון</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ראינוהו</w:t>
      </w:r>
      <w:r w:rsidRPr="00B92A7A">
        <w:rPr>
          <w:rtl/>
          <w:lang w:eastAsia="en-US"/>
        </w:rPr>
        <w:t xml:space="preserve"> </w:t>
      </w:r>
      <w:r w:rsidRPr="00B92A7A">
        <w:rPr>
          <w:rFonts w:hint="eastAsia"/>
          <w:rtl/>
          <w:lang w:eastAsia="en-US"/>
        </w:rPr>
        <w:t>והנחנוהו</w:t>
      </w:r>
      <w:r w:rsidRPr="00B92A7A">
        <w:rPr>
          <w:rtl/>
          <w:lang w:eastAsia="en-US"/>
        </w:rPr>
        <w:t xml:space="preserve"> </w:t>
      </w:r>
      <w:r w:rsidRPr="00B92A7A">
        <w:rPr>
          <w:rFonts w:hint="eastAsia"/>
          <w:rtl/>
          <w:lang w:eastAsia="en-US"/>
        </w:rPr>
        <w:t>בלא</w:t>
      </w:r>
      <w:r w:rsidRPr="00B92A7A">
        <w:rPr>
          <w:rtl/>
          <w:lang w:eastAsia="en-US"/>
        </w:rPr>
        <w:t xml:space="preserve"> </w:t>
      </w:r>
      <w:r w:rsidRPr="00B92A7A">
        <w:rPr>
          <w:rFonts w:hint="eastAsia"/>
          <w:rtl/>
          <w:lang w:eastAsia="en-US"/>
        </w:rPr>
        <w:t>לוייה</w:t>
      </w:r>
      <w:r>
        <w:rPr>
          <w:rFonts w:hint="cs"/>
          <w:rtl/>
        </w:rPr>
        <w:t>". מצוות לוויה כסמל לחוקי חברה ואחריות הכלל, כדגם לעשיית הטוב והישר, לישרי דרך (תהלים לז יד), ההולכים במסילת ישרים (משלי ט יז), נמצאת בספ</w:t>
      </w:r>
      <w:r w:rsidR="003D72BE">
        <w:rPr>
          <w:rFonts w:hint="cs"/>
          <w:rtl/>
        </w:rPr>
        <w:t>ר</w:t>
      </w:r>
      <w:r>
        <w:rPr>
          <w:rFonts w:hint="cs"/>
          <w:rtl/>
        </w:rPr>
        <w:t xml:space="preserve"> בראשית</w:t>
      </w:r>
      <w:r w:rsidR="003D72BE">
        <w:rPr>
          <w:rFonts w:hint="cs"/>
          <w:rtl/>
        </w:rPr>
        <w:t xml:space="preserve"> מחד גיסא </w:t>
      </w:r>
      <w:r>
        <w:rPr>
          <w:rFonts w:hint="cs"/>
          <w:rtl/>
        </w:rPr>
        <w:t>ובספר דברים</w:t>
      </w:r>
      <w:r w:rsidR="003D72BE">
        <w:rPr>
          <w:rFonts w:hint="cs"/>
          <w:rtl/>
        </w:rPr>
        <w:t xml:space="preserve"> מאידך גיסא</w:t>
      </w:r>
      <w:r>
        <w:rPr>
          <w:rFonts w:hint="cs"/>
          <w:rtl/>
        </w:rPr>
        <w:t xml:space="preserve"> </w:t>
      </w:r>
      <w:r>
        <w:rPr>
          <w:rtl/>
        </w:rPr>
        <w:t>–</w:t>
      </w:r>
      <w:r>
        <w:rPr>
          <w:rFonts w:hint="cs"/>
          <w:rtl/>
        </w:rPr>
        <w:t xml:space="preserve"> </w:t>
      </w:r>
      <w:r w:rsidR="003D72BE">
        <w:rPr>
          <w:rFonts w:hint="cs"/>
          <w:rtl/>
        </w:rPr>
        <w:t xml:space="preserve">שני </w:t>
      </w:r>
      <w:r>
        <w:rPr>
          <w:rFonts w:hint="cs"/>
          <w:rtl/>
        </w:rPr>
        <w:t xml:space="preserve">ספרי הישר, </w:t>
      </w:r>
      <w:r w:rsidR="003D72BE">
        <w:rPr>
          <w:rFonts w:hint="cs"/>
          <w:rtl/>
        </w:rPr>
        <w:t xml:space="preserve">אשר </w:t>
      </w:r>
      <w:r>
        <w:rPr>
          <w:rFonts w:hint="cs"/>
          <w:rtl/>
        </w:rPr>
        <w:t>חובקים את ספרי המצוות: שמות, ויקרא, במדבר, מזה ומזה.</w:t>
      </w:r>
    </w:p>
  </w:footnote>
  <w:footnote w:id="24">
    <w:p w:rsidR="00D85EC7" w:rsidRDefault="00D85EC7">
      <w:pPr>
        <w:pStyle w:val="a3"/>
        <w:rPr>
          <w:rFonts w:hint="cs"/>
          <w:rtl/>
        </w:rPr>
      </w:pPr>
      <w:r>
        <w:rPr>
          <w:rStyle w:val="a5"/>
        </w:rPr>
        <w:footnoteRef/>
      </w:r>
      <w:r>
        <w:rPr>
          <w:rtl/>
        </w:rPr>
        <w:t xml:space="preserve"> </w:t>
      </w:r>
      <w:r>
        <w:rPr>
          <w:rFonts w:hint="cs"/>
          <w:rtl/>
        </w:rPr>
        <w:t xml:space="preserve">מדרש זה בכלל והקטע: "מתי יגיעו מעשי למעשה אברהם יצחק ויעקב (אבותי בקיצור)" השגור בפי כל, ראוי אולי למבט קצת אחר, מזה המקובל, לאור דברינו אלה. השאיפה להגיע למעשה האבות, היינו להידמות אליהם (בקל וחומר מהשאיפה להידמות לקב"ה: מה הוא רחום - אף אתה רחום, מה הוא חנון </w:t>
      </w:r>
      <w:r>
        <w:rPr>
          <w:rtl/>
        </w:rPr>
        <w:t>–</w:t>
      </w:r>
      <w:r>
        <w:rPr>
          <w:rFonts w:hint="cs"/>
          <w:rtl/>
        </w:rPr>
        <w:t xml:space="preserve"> אף אתה חנון, </w:t>
      </w:r>
      <w:r>
        <w:rPr>
          <w:rtl/>
        </w:rPr>
        <w:t>מכילתא דרבי ישמעאל בשלח - מסכתא דשירה פרשה ג</w:t>
      </w:r>
      <w:r>
        <w:rPr>
          <w:rFonts w:hint="cs"/>
          <w:rtl/>
        </w:rPr>
        <w:t>), איננה בשל שלמותם, אלא בשל ישרותם ויכולתם להכיר בשגיאותיהם ולא ליבוש מכך. להודות ולתקן. ותלמוד התורה איננו רק במשמעותו הפשוטה, אלא במשמעות של תורה שמלמדת אורחות חיים, מכירה בחולשות אנוש, מזהירה מהחטא ומציעה תיקון ותשובה.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9D6" w:rsidRDefault="00F809D6" w:rsidP="00E72EF4">
    <w:pPr>
      <w:pStyle w:val="1"/>
      <w:tabs>
        <w:tab w:val="clear" w:pos="9469"/>
        <w:tab w:val="right" w:pos="9185"/>
      </w:tabs>
      <w:rPr>
        <w:rFonts w:hint="cs"/>
        <w:rtl/>
      </w:rPr>
    </w:pPr>
    <w:r>
      <w:rPr>
        <w:rtl/>
      </w:rPr>
      <w:t xml:space="preserve">פרשת </w:t>
    </w:r>
    <w:fldSimple w:instr=" SUBJECT  \* MERGEFORMAT ">
      <w:r w:rsidR="001D4CBB">
        <w:rPr>
          <w:rtl/>
        </w:rPr>
        <w:t>וישב</w:t>
      </w:r>
    </w:fldSimple>
    <w:r>
      <w:rPr>
        <w:rtl/>
      </w:rPr>
      <w:tab/>
    </w:r>
    <w:r>
      <w:rPr>
        <w:rFonts w:hint="cs"/>
        <w:rtl/>
      </w:rPr>
      <w:t>תשס"ג</w:t>
    </w:r>
  </w:p>
  <w:p w:rsidR="00F809D6" w:rsidRDefault="00F809D6">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9D6" w:rsidRDefault="00F809D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D4CBB">
      <w:rPr>
        <w:szCs w:val="24"/>
        <w:rtl/>
      </w:rPr>
      <w:t>וישב, שבת חנוכה ראשונה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A5AC0">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D6"/>
    <w:rsid w:val="00047666"/>
    <w:rsid w:val="000958D8"/>
    <w:rsid w:val="000C3EA5"/>
    <w:rsid w:val="00104711"/>
    <w:rsid w:val="00104E45"/>
    <w:rsid w:val="00111FAD"/>
    <w:rsid w:val="001813CC"/>
    <w:rsid w:val="00194976"/>
    <w:rsid w:val="001A27B2"/>
    <w:rsid w:val="001D4CBB"/>
    <w:rsid w:val="001D5008"/>
    <w:rsid w:val="001E21BE"/>
    <w:rsid w:val="002241BA"/>
    <w:rsid w:val="00290965"/>
    <w:rsid w:val="002C788A"/>
    <w:rsid w:val="002F6D78"/>
    <w:rsid w:val="00300551"/>
    <w:rsid w:val="003040C0"/>
    <w:rsid w:val="00307239"/>
    <w:rsid w:val="003178BB"/>
    <w:rsid w:val="003D72BE"/>
    <w:rsid w:val="0047340E"/>
    <w:rsid w:val="004B20EA"/>
    <w:rsid w:val="004C211F"/>
    <w:rsid w:val="004E3207"/>
    <w:rsid w:val="00503F16"/>
    <w:rsid w:val="0051431C"/>
    <w:rsid w:val="00520528"/>
    <w:rsid w:val="00561306"/>
    <w:rsid w:val="005633ED"/>
    <w:rsid w:val="005640F8"/>
    <w:rsid w:val="0059038D"/>
    <w:rsid w:val="005B548A"/>
    <w:rsid w:val="005E205F"/>
    <w:rsid w:val="00600F75"/>
    <w:rsid w:val="006544B8"/>
    <w:rsid w:val="006D4A89"/>
    <w:rsid w:val="007C0158"/>
    <w:rsid w:val="007E7307"/>
    <w:rsid w:val="00837EA1"/>
    <w:rsid w:val="0095336A"/>
    <w:rsid w:val="009C3B33"/>
    <w:rsid w:val="009D126E"/>
    <w:rsid w:val="009F0820"/>
    <w:rsid w:val="00A17028"/>
    <w:rsid w:val="00A86FBB"/>
    <w:rsid w:val="00A902A5"/>
    <w:rsid w:val="00AA7714"/>
    <w:rsid w:val="00AB40D2"/>
    <w:rsid w:val="00AE2F2E"/>
    <w:rsid w:val="00B0704E"/>
    <w:rsid w:val="00B0719B"/>
    <w:rsid w:val="00B35771"/>
    <w:rsid w:val="00B86C20"/>
    <w:rsid w:val="00BE32E2"/>
    <w:rsid w:val="00CA004C"/>
    <w:rsid w:val="00CA5663"/>
    <w:rsid w:val="00D7482A"/>
    <w:rsid w:val="00D85EC7"/>
    <w:rsid w:val="00D914D8"/>
    <w:rsid w:val="00DB7C35"/>
    <w:rsid w:val="00E452D2"/>
    <w:rsid w:val="00E5309F"/>
    <w:rsid w:val="00E72EF4"/>
    <w:rsid w:val="00EA5AC0"/>
    <w:rsid w:val="00EB3102"/>
    <w:rsid w:val="00EC2D09"/>
    <w:rsid w:val="00F809D6"/>
    <w:rsid w:val="00FC1D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7465272-7F69-4A4F-8BFF-BECD90C5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7666"/>
    <w:pPr>
      <w:bidi/>
    </w:pPr>
    <w:rPr>
      <w:rFonts w:cs="Narkisim"/>
      <w:sz w:val="22"/>
      <w:szCs w:val="22"/>
      <w:lang w:eastAsia="he-IL"/>
    </w:rPr>
  </w:style>
  <w:style w:type="paragraph" w:styleId="1">
    <w:name w:val="heading 1"/>
    <w:basedOn w:val="a"/>
    <w:next w:val="a"/>
    <w:link w:val="10"/>
    <w:qFormat/>
    <w:rsid w:val="00047666"/>
    <w:pPr>
      <w:keepNext/>
      <w:tabs>
        <w:tab w:val="right" w:pos="9469"/>
      </w:tabs>
      <w:jc w:val="both"/>
      <w:outlineLvl w:val="0"/>
    </w:pPr>
    <w:rPr>
      <w:rFonts w:cs="David"/>
      <w:b/>
      <w:bCs/>
      <w:szCs w:val="28"/>
    </w:rPr>
  </w:style>
  <w:style w:type="character" w:default="1" w:styleId="a0">
    <w:name w:val="Default Paragraph Font"/>
    <w:uiPriority w:val="1"/>
    <w:semiHidden/>
    <w:unhideWhenUsed/>
    <w:rsid w:val="0004766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47666"/>
  </w:style>
  <w:style w:type="paragraph" w:styleId="a3">
    <w:name w:val="footnote text"/>
    <w:basedOn w:val="a"/>
    <w:link w:val="a4"/>
    <w:rsid w:val="00047666"/>
    <w:pPr>
      <w:ind w:left="170" w:hanging="170"/>
      <w:jc w:val="both"/>
    </w:pPr>
    <w:rPr>
      <w:sz w:val="20"/>
      <w:szCs w:val="20"/>
    </w:rPr>
  </w:style>
  <w:style w:type="character" w:styleId="a5">
    <w:name w:val="footnote reference"/>
    <w:semiHidden/>
    <w:rsid w:val="00047666"/>
    <w:rPr>
      <w:vertAlign w:val="superscript"/>
    </w:rPr>
  </w:style>
  <w:style w:type="paragraph" w:styleId="a6">
    <w:name w:val="header"/>
    <w:basedOn w:val="a"/>
    <w:link w:val="a7"/>
    <w:rsid w:val="00047666"/>
    <w:pPr>
      <w:tabs>
        <w:tab w:val="center" w:pos="4153"/>
        <w:tab w:val="right" w:pos="8306"/>
      </w:tabs>
    </w:pPr>
  </w:style>
  <w:style w:type="paragraph" w:styleId="a8">
    <w:name w:val="footer"/>
    <w:basedOn w:val="a"/>
    <w:link w:val="a9"/>
    <w:rsid w:val="00047666"/>
    <w:pPr>
      <w:tabs>
        <w:tab w:val="center" w:pos="4153"/>
        <w:tab w:val="right" w:pos="8306"/>
      </w:tabs>
    </w:pPr>
  </w:style>
  <w:style w:type="paragraph" w:customStyle="1" w:styleId="aa">
    <w:name w:val="כותרת"/>
    <w:basedOn w:val="a"/>
    <w:rsid w:val="00047666"/>
    <w:pPr>
      <w:spacing w:before="240" w:line="320" w:lineRule="atLeast"/>
      <w:jc w:val="center"/>
    </w:pPr>
    <w:rPr>
      <w:rFonts w:cs="David"/>
      <w:b/>
      <w:bCs/>
      <w:spacing w:val="20"/>
      <w:szCs w:val="32"/>
    </w:rPr>
  </w:style>
  <w:style w:type="paragraph" w:customStyle="1" w:styleId="ab">
    <w:name w:val="כותרת קטע"/>
    <w:basedOn w:val="a"/>
    <w:rsid w:val="00047666"/>
    <w:pPr>
      <w:spacing w:before="240" w:line="300" w:lineRule="atLeast"/>
    </w:pPr>
    <w:rPr>
      <w:rFonts w:cs="Arial"/>
      <w:b/>
      <w:bCs/>
      <w:szCs w:val="24"/>
    </w:rPr>
  </w:style>
  <w:style w:type="paragraph" w:customStyle="1" w:styleId="ac">
    <w:name w:val="מקור"/>
    <w:basedOn w:val="a"/>
    <w:rsid w:val="00047666"/>
    <w:pPr>
      <w:spacing w:line="320" w:lineRule="atLeast"/>
      <w:jc w:val="both"/>
    </w:pPr>
    <w:rPr>
      <w:rFonts w:cs="David"/>
      <w:szCs w:val="24"/>
    </w:rPr>
  </w:style>
  <w:style w:type="paragraph" w:customStyle="1" w:styleId="ad">
    <w:name w:val="מחלקי המים"/>
    <w:basedOn w:val="a"/>
    <w:rsid w:val="00047666"/>
    <w:pPr>
      <w:spacing w:line="320" w:lineRule="atLeast"/>
      <w:jc w:val="both"/>
    </w:pPr>
    <w:rPr>
      <w:b/>
      <w:bCs/>
      <w:szCs w:val="24"/>
    </w:rPr>
  </w:style>
  <w:style w:type="character" w:styleId="Hyperlink">
    <w:name w:val="Hyperlink"/>
    <w:rsid w:val="00047666"/>
    <w:rPr>
      <w:color w:val="0000FF"/>
      <w:u w:val="single"/>
    </w:rPr>
  </w:style>
  <w:style w:type="character" w:customStyle="1" w:styleId="a9">
    <w:name w:val="כותרת תחתונה תו"/>
    <w:link w:val="a8"/>
    <w:rsid w:val="00047666"/>
    <w:rPr>
      <w:rFonts w:cs="Narkisim"/>
      <w:sz w:val="22"/>
      <w:szCs w:val="22"/>
      <w:lang w:eastAsia="he-IL"/>
    </w:rPr>
  </w:style>
  <w:style w:type="character" w:styleId="ae">
    <w:name w:val="page number"/>
    <w:rsid w:val="004C211F"/>
  </w:style>
  <w:style w:type="character" w:customStyle="1" w:styleId="a4">
    <w:name w:val="טקסט הערת שוליים תו"/>
    <w:link w:val="a3"/>
    <w:rsid w:val="00047666"/>
    <w:rPr>
      <w:rFonts w:cs="Narkisim"/>
      <w:lang w:eastAsia="he-IL"/>
    </w:rPr>
  </w:style>
  <w:style w:type="character" w:customStyle="1" w:styleId="10">
    <w:name w:val="כותרת 1 תו"/>
    <w:link w:val="1"/>
    <w:rsid w:val="00047666"/>
    <w:rPr>
      <w:rFonts w:cs="David"/>
      <w:b/>
      <w:bCs/>
      <w:sz w:val="22"/>
      <w:szCs w:val="28"/>
      <w:lang w:eastAsia="he-IL"/>
    </w:rPr>
  </w:style>
  <w:style w:type="character" w:customStyle="1" w:styleId="a7">
    <w:name w:val="כותרת עליונה תו"/>
    <w:link w:val="a6"/>
    <w:rsid w:val="00047666"/>
    <w:rPr>
      <w:rFonts w:cs="Narkisim"/>
      <w:sz w:val="22"/>
      <w:szCs w:val="22"/>
      <w:lang w:eastAsia="he-IL"/>
    </w:rPr>
  </w:style>
  <w:style w:type="paragraph" w:styleId="af">
    <w:name w:val="Balloon Text"/>
    <w:basedOn w:val="a"/>
    <w:link w:val="af0"/>
    <w:uiPriority w:val="99"/>
    <w:unhideWhenUsed/>
    <w:rsid w:val="00047666"/>
    <w:rPr>
      <w:rFonts w:ascii="Tahoma" w:hAnsi="Tahoma" w:cs="Tahoma"/>
      <w:sz w:val="16"/>
      <w:szCs w:val="16"/>
    </w:rPr>
  </w:style>
  <w:style w:type="character" w:customStyle="1" w:styleId="af0">
    <w:name w:val="טקסט בלונים תו"/>
    <w:link w:val="af"/>
    <w:uiPriority w:val="99"/>
    <w:rsid w:val="0004766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25_Shmot/pdf/Shmot_59-66.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a2%d7%a7%d7%91-%d7%95%d7%a8%d7%97%d7%9c-%d7%94%d7%a9%d7%91%d7%a8-%d7%94%d7%92%d7%93%d7%95%d7%9c" TargetMode="External"/><Relationship Id="rId13" Type="http://schemas.openxmlformats.org/officeDocument/2006/relationships/hyperlink" Target="https://www.mayim.org.il/?parasha=%d7%91%d7%a2%d7%91%d7%95%d7%a8-%d7%a0%d7%a2%d7%9c%d7%99%d7%99%d7%9d" TargetMode="External"/><Relationship Id="rId18" Type="http://schemas.openxmlformats.org/officeDocument/2006/relationships/hyperlink" Target="http://www.mayim.org.il/?parasha=%D7%90%D7%A9%D7%9C-%D7%90%D7%91%D7%A8%D7%94%D7%9D1" TargetMode="External"/><Relationship Id="rId3" Type="http://schemas.openxmlformats.org/officeDocument/2006/relationships/hyperlink" Target="http://www.mayim.org.il/?parasha=%D7%9E%D7%A2%D7%A9%D7%94-%D7%99%D7%94%D7%95%D7%93%D7%94-%D7%95%D7%AA%D7%9E%D7%A8-%D7%A0%D7%A7%D7%A8%D7%90-%D7%95%D7%9E%D6%B4%D7%AA%D6%BC%D6%B7%D7%A8%D6%B0%D7%92%D6%B5%D7%9D1" TargetMode="External"/><Relationship Id="rId7" Type="http://schemas.openxmlformats.org/officeDocument/2006/relationships/hyperlink" Target="http://www.mayim.org.il/?parasha=%D7%9E%D7%A2%D7%A9%D7%94-%D7%99%D7%94%D7%95%D7%93%D7%94-%D7%95%D7%AA%D7%9E%D7%A8-%D7%A0%D7%A7%D7%A8%D7%90-%D7%95%D7%9E%D6%B4%D7%AA%D6%BC%D6%B7%D7%A8%D6%B0%D7%92%D6%B5%D7%9D1" TargetMode="External"/><Relationship Id="rId12" Type="http://schemas.openxmlformats.org/officeDocument/2006/relationships/hyperlink" Target="http://www.mayim.org.il/?parasha=%D7%A2%D7%9C-%D7%9E%D7%9B%D7%A8%D7%9D-%D7%91%D7%9B%D7%A1%D7%A3-%D7%A6%D7%93%D7%99%D7%A71" TargetMode="External"/><Relationship Id="rId17" Type="http://schemas.openxmlformats.org/officeDocument/2006/relationships/hyperlink" Target="http://www.mayim.org.il/?parasha=%d7%94%d7%98%d7%95%d7%91-%d7%95%d7%94%d7%99%d7%a9%d7%a81" TargetMode="External"/><Relationship Id="rId2" Type="http://schemas.openxmlformats.org/officeDocument/2006/relationships/hyperlink" Target="http://www.mayim.org.il/?holiday=%D7%9B%D7%99%D7%A1%D7%95%D7%99-%D7%94%D7%97%D7%98%D7%90-%D7%90%D7%95-%D7%92%D7%99%D7%9C%D7%95%D7%99%D7%95" TargetMode="External"/><Relationship Id="rId16" Type="http://schemas.openxmlformats.org/officeDocument/2006/relationships/hyperlink" Target="http://www.mayim.org.il/?parasha=%d7%9e%d7%a2%d7%a9%d7%94-%d7%90%d7%91%d7%95%d7%aa-%d7%a1%d7%99%d7%9e%d7%9f-%d7%9c%d7%91%d7%a0%d7%99%d7%9d1" TargetMode="External"/><Relationship Id="rId1" Type="http://schemas.openxmlformats.org/officeDocument/2006/relationships/hyperlink" Target="http://www.mayim.org.il/?parasha=%D7%99%D7%99%D7%9B%D7%AA%D7%91-%D7%A2%D7%95%D7%95%D7%A0%D7%99" TargetMode="External"/><Relationship Id="rId6" Type="http://schemas.openxmlformats.org/officeDocument/2006/relationships/hyperlink" Target="http://www.mayim.org.il/?parasha=%D7%A6%D7%93%D7%A7%D7%94-%D7%9E%D7%9E%D7%A0%D7%99" TargetMode="External"/><Relationship Id="rId11" Type="http://schemas.openxmlformats.org/officeDocument/2006/relationships/hyperlink" Target="http://www.mayim.org.il/?parasha=%D7%90%D7%91%D7%9C-%D7%90%D7%A9%D7%9E%D7%99%D7%9D-%D7%90%D7%A0%D7%97%D7%A0%D7%95" TargetMode="External"/><Relationship Id="rId5" Type="http://schemas.openxmlformats.org/officeDocument/2006/relationships/hyperlink" Target="https://www.mayim.org.il/?parasha=%d7%90%d7%a8%d7%9e%d7%99-%d7%90%d7%95%d7%91%d7%93-%d7%90%d7%91%d7%99" TargetMode="External"/><Relationship Id="rId15" Type="http://schemas.openxmlformats.org/officeDocument/2006/relationships/hyperlink" Target="http://www.mayim.org.il/?parasha=%D7%A1%D7%A4%D7%A8-%D7%94%D7%99%D7%A9%D7%A81" TargetMode="External"/><Relationship Id="rId10" Type="http://schemas.openxmlformats.org/officeDocument/2006/relationships/hyperlink" Target="https://www.mayim.org.il/?parasha=%d7%94%d7%92%d7%95%d7%99-%d7%92%d7%9d-%d7%a6%d7%93%d7%99%d7%a7-%d7%aa%d7%94%d7%a8%d7%95%d7%92" TargetMode="External"/><Relationship Id="rId19" Type="http://schemas.openxmlformats.org/officeDocument/2006/relationships/hyperlink" Target="http://www.mayim.org.il/?parasha=%D7%94%D7%9B%D7%A0%D7%A1%D7%AA-%D7%90%D7%95%D7%A8%D7%97%D7%99%D7%9D-%D7%A9%D7%9C-%D7%90%D7%91%D7%A8%D7%94%D7%9D" TargetMode="External"/><Relationship Id="rId4" Type="http://schemas.openxmlformats.org/officeDocument/2006/relationships/hyperlink" Target="https://www.mayim.org.il/?holiday=%d7%9e%d7%aa%d7%97%d7%99%d7%9c-%d7%91%d7%92%d7%a0%d7%95%d7%aa-%d7%95%d7%9e%d7%a1%d7%99%d7%99%d7%9d-%d7%91%d7%a9%d7%91%d7%97" TargetMode="External"/><Relationship Id="rId9" Type="http://schemas.openxmlformats.org/officeDocument/2006/relationships/hyperlink" Target="http://www.mayim.org.il/?parasha=%D7%A7%D7%95%D7%9D-%D7%A2%D7%9C%D7%94-%D7%91%D7%99%D7%AA-%D7%90%D7%9C" TargetMode="External"/><Relationship Id="rId14" Type="http://schemas.openxmlformats.org/officeDocument/2006/relationships/hyperlink" Target="http://www.mayim.org.il/?parasha=%D7%99%D7%99%D7%9B%D7%AA%D7%91-%D7%A2%D7%95%D7%95%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1082</Words>
  <Characters>5414</Characters>
  <Application>Microsoft Office Word</Application>
  <DocSecurity>4</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נטלתי ספר בראשית וקראתי בו</vt:lpstr>
      <vt:lpstr>נטלתי ספר בראשית וקראתי בו</vt:lpstr>
    </vt:vector>
  </TitlesOfParts>
  <Company>Microsoft</Company>
  <LinksUpToDate>false</LinksUpToDate>
  <CharactersWithSpaces>6484</CharactersWithSpaces>
  <SharedDoc>false</SharedDoc>
  <HLinks>
    <vt:vector size="120" baseType="variant">
      <vt:variant>
        <vt:i4>458837</vt:i4>
      </vt:variant>
      <vt:variant>
        <vt:i4>3</vt:i4>
      </vt:variant>
      <vt:variant>
        <vt:i4>0</vt:i4>
      </vt:variant>
      <vt:variant>
        <vt:i4>5</vt:i4>
      </vt:variant>
      <vt:variant>
        <vt:lpwstr>http://www.mayim.org.il/25_Shmot/pdf/Shmot_59-66.pdf</vt:lpwstr>
      </vt:variant>
      <vt:variant>
        <vt:lpwstr/>
      </vt:variant>
      <vt:variant>
        <vt:i4>5767175</vt:i4>
      </vt:variant>
      <vt:variant>
        <vt:i4>54</vt:i4>
      </vt:variant>
      <vt:variant>
        <vt:i4>0</vt:i4>
      </vt:variant>
      <vt:variant>
        <vt:i4>5</vt:i4>
      </vt:variant>
      <vt:variant>
        <vt:lpwstr>http://www.mayim.org.il/?parasha=%D7%94%D7%9B%D7%A0%D7%A1%D7%AA-%D7%90%D7%95%D7%A8%D7%97%D7%99%D7%9D-%D7%A9%D7%9C-%D7%90%D7%91%D7%A8%D7%94%D7%9D</vt:lpwstr>
      </vt:variant>
      <vt:variant>
        <vt:lpwstr/>
      </vt:variant>
      <vt:variant>
        <vt:i4>7995508</vt:i4>
      </vt:variant>
      <vt:variant>
        <vt:i4>51</vt:i4>
      </vt:variant>
      <vt:variant>
        <vt:i4>0</vt:i4>
      </vt:variant>
      <vt:variant>
        <vt:i4>5</vt:i4>
      </vt:variant>
      <vt:variant>
        <vt:lpwstr>http://www.mayim.org.il/?parasha=%D7%90%D7%A9%D7%9C-%D7%90%D7%91%D7%A8%D7%94%D7%9D1</vt:lpwstr>
      </vt:variant>
      <vt:variant>
        <vt:lpwstr/>
      </vt:variant>
      <vt:variant>
        <vt:i4>5832719</vt:i4>
      </vt:variant>
      <vt:variant>
        <vt:i4>48</vt:i4>
      </vt:variant>
      <vt:variant>
        <vt:i4>0</vt:i4>
      </vt:variant>
      <vt:variant>
        <vt:i4>5</vt:i4>
      </vt:variant>
      <vt:variant>
        <vt:lpwstr>http://www.mayim.org.il/?parasha=%d7%94%d7%98%d7%95%d7%91-%d7%95%d7%94%d7%99%d7%a9%d7%a81</vt:lpwstr>
      </vt:variant>
      <vt:variant>
        <vt:lpwstr/>
      </vt:variant>
      <vt:variant>
        <vt:i4>8323195</vt:i4>
      </vt:variant>
      <vt:variant>
        <vt:i4>45</vt:i4>
      </vt:variant>
      <vt:variant>
        <vt:i4>0</vt:i4>
      </vt:variant>
      <vt:variant>
        <vt:i4>5</vt:i4>
      </vt:variant>
      <vt:variant>
        <vt:lpwstr>http://www.mayim.org.il/?parasha=%d7%9e%d7%a2%d7%a9%d7%94-%d7%90%d7%91%d7%95%d7%aa-%d7%a1%d7%99%d7%9e%d7%9f-%d7%9c%d7%91%d7%a0%d7%99%d7%9d1</vt:lpwstr>
      </vt:variant>
      <vt:variant>
        <vt:lpwstr/>
      </vt:variant>
      <vt:variant>
        <vt:i4>6160464</vt:i4>
      </vt:variant>
      <vt:variant>
        <vt:i4>42</vt:i4>
      </vt:variant>
      <vt:variant>
        <vt:i4>0</vt:i4>
      </vt:variant>
      <vt:variant>
        <vt:i4>5</vt:i4>
      </vt:variant>
      <vt:variant>
        <vt:lpwstr>http://www.mayim.org.il/?parasha=%D7%A1%D7%A4%D7%A8-%D7%94%D7%99%D7%A9%D7%A81</vt:lpwstr>
      </vt:variant>
      <vt:variant>
        <vt:lpwstr/>
      </vt:variant>
      <vt:variant>
        <vt:i4>2621556</vt:i4>
      </vt:variant>
      <vt:variant>
        <vt:i4>39</vt:i4>
      </vt:variant>
      <vt:variant>
        <vt:i4>0</vt:i4>
      </vt:variant>
      <vt:variant>
        <vt:i4>5</vt:i4>
      </vt:variant>
      <vt:variant>
        <vt:lpwstr>http://www.mayim.org.il/?parasha=%D7%99%D7%99%D7%9B%D7%AA%D7%91-%D7%A2%D7%95%D7%95%D7%A0%D7%99</vt:lpwstr>
      </vt:variant>
      <vt:variant>
        <vt:lpwstr/>
      </vt:variant>
      <vt:variant>
        <vt:i4>4849664</vt:i4>
      </vt:variant>
      <vt:variant>
        <vt:i4>36</vt:i4>
      </vt:variant>
      <vt:variant>
        <vt:i4>0</vt:i4>
      </vt:variant>
      <vt:variant>
        <vt:i4>5</vt:i4>
      </vt:variant>
      <vt:variant>
        <vt:lpwstr>https://www.mayim.org.il/?parasha=%d7%91%d7%a2%d7%91%d7%95%d7%a8-%d7%a0%d7%a2%d7%9c%d7%99%d7%99%d7%9d</vt:lpwstr>
      </vt:variant>
      <vt:variant>
        <vt:lpwstr/>
      </vt:variant>
      <vt:variant>
        <vt:i4>262233</vt:i4>
      </vt:variant>
      <vt:variant>
        <vt:i4>33</vt:i4>
      </vt:variant>
      <vt:variant>
        <vt:i4>0</vt:i4>
      </vt:variant>
      <vt:variant>
        <vt:i4>5</vt:i4>
      </vt:variant>
      <vt:variant>
        <vt:lpwstr>http://www.mayim.org.il/?parasha=%D7%A2%D7%9C-%D7%9E%D7%9B%D7%A8%D7%9D-%D7%91%D7%9B%D7%A1%D7%A3-%D7%A6%D7%93%D7%99%D7%A71</vt:lpwstr>
      </vt:variant>
      <vt:variant>
        <vt:lpwstr/>
      </vt:variant>
      <vt:variant>
        <vt:i4>5308439</vt:i4>
      </vt:variant>
      <vt:variant>
        <vt:i4>30</vt:i4>
      </vt:variant>
      <vt:variant>
        <vt:i4>0</vt:i4>
      </vt:variant>
      <vt:variant>
        <vt:i4>5</vt:i4>
      </vt:variant>
      <vt:variant>
        <vt:lpwstr>http://www.mayim.org.il/?parasha=%D7%90%D7%91%D7%9C-%D7%90%D7%A9%D7%9E%D7%99%D7%9D-%D7%90%D7%A0%D7%97%D7%A0%D7%95</vt:lpwstr>
      </vt:variant>
      <vt:variant>
        <vt:lpwstr/>
      </vt:variant>
      <vt:variant>
        <vt:i4>3342376</vt:i4>
      </vt:variant>
      <vt:variant>
        <vt:i4>27</vt:i4>
      </vt:variant>
      <vt:variant>
        <vt:i4>0</vt:i4>
      </vt:variant>
      <vt:variant>
        <vt:i4>5</vt:i4>
      </vt:variant>
      <vt:variant>
        <vt:lpwstr>https://www.mayim.org.il/?parasha=%d7%94%d7%92%d7%95%d7%99-%d7%92%d7%9d-%d7%a6%d7%93%d7%99%d7%a7-%d7%aa%d7%94%d7%a8%d7%95%d7%92</vt:lpwstr>
      </vt:variant>
      <vt:variant>
        <vt:lpwstr/>
      </vt:variant>
      <vt:variant>
        <vt:i4>8061053</vt:i4>
      </vt:variant>
      <vt:variant>
        <vt:i4>24</vt:i4>
      </vt:variant>
      <vt:variant>
        <vt:i4>0</vt:i4>
      </vt:variant>
      <vt:variant>
        <vt:i4>5</vt:i4>
      </vt:variant>
      <vt:variant>
        <vt:lpwstr>http://www.mayim.org.il/?parasha=%D7%A7%D7%95%D7%9D-%D7%A2%D7%9C%D7%94-%D7%91%D7%99%D7%AA-%D7%90%D7%9C</vt:lpwstr>
      </vt:variant>
      <vt:variant>
        <vt:lpwstr/>
      </vt:variant>
      <vt:variant>
        <vt:i4>6488191</vt:i4>
      </vt:variant>
      <vt:variant>
        <vt:i4>21</vt:i4>
      </vt:variant>
      <vt:variant>
        <vt:i4>0</vt:i4>
      </vt:variant>
      <vt:variant>
        <vt:i4>5</vt:i4>
      </vt:variant>
      <vt:variant>
        <vt:lpwstr>https://www.mayim.org.il/?parasha=%d7%99%d7%a2%d7%a7%d7%91-%d7%95%d7%a8%d7%97%d7%9c-%d7%94%d7%a9%d7%91%d7%a8-%d7%94%d7%92%d7%93%d7%95%d7%9c</vt:lpwstr>
      </vt:variant>
      <vt:variant>
        <vt:lpwstr/>
      </vt:variant>
      <vt:variant>
        <vt:i4>3997815</vt:i4>
      </vt:variant>
      <vt:variant>
        <vt:i4>18</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2621554</vt:i4>
      </vt:variant>
      <vt:variant>
        <vt:i4>15</vt:i4>
      </vt:variant>
      <vt:variant>
        <vt:i4>0</vt:i4>
      </vt:variant>
      <vt:variant>
        <vt:i4>5</vt:i4>
      </vt:variant>
      <vt:variant>
        <vt:lpwstr>http://www.mayim.org.il/?parasha=%D7%A6%D7%93%D7%A7%D7%94-%D7%9E%D7%9E%D7%A0%D7%99</vt:lpwstr>
      </vt:variant>
      <vt:variant>
        <vt:lpwstr/>
      </vt:variant>
      <vt:variant>
        <vt:i4>3407934</vt:i4>
      </vt:variant>
      <vt:variant>
        <vt:i4>12</vt:i4>
      </vt:variant>
      <vt:variant>
        <vt:i4>0</vt:i4>
      </vt:variant>
      <vt:variant>
        <vt:i4>5</vt:i4>
      </vt:variant>
      <vt:variant>
        <vt:lpwstr>https://www.mayim.org.il/?parasha=%d7%90%d7%a8%d7%9e%d7%99-%d7%90%d7%95%d7%91%d7%93-%d7%90%d7%91%d7%99</vt:lpwstr>
      </vt:variant>
      <vt:variant>
        <vt:lpwstr/>
      </vt:variant>
      <vt:variant>
        <vt:i4>4718682</vt:i4>
      </vt:variant>
      <vt:variant>
        <vt:i4>9</vt:i4>
      </vt:variant>
      <vt:variant>
        <vt:i4>0</vt:i4>
      </vt:variant>
      <vt:variant>
        <vt:i4>5</vt:i4>
      </vt:variant>
      <vt:variant>
        <vt:lpwstr>https://www.mayim.org.il/?holiday=%d7%9e%d7%aa%d7%97%d7%99%d7%9c-%d7%91%d7%92%d7%a0%d7%95%d7%aa-%d7%95%d7%9e%d7%a1%d7%99%d7%99%d7%9d-%d7%91%d7%a9%d7%91%d7%97</vt:lpwstr>
      </vt:variant>
      <vt:variant>
        <vt:lpwstr/>
      </vt:variant>
      <vt:variant>
        <vt:i4>3997815</vt:i4>
      </vt:variant>
      <vt:variant>
        <vt:i4>6</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2883628</vt:i4>
      </vt:variant>
      <vt:variant>
        <vt:i4>3</vt:i4>
      </vt:variant>
      <vt:variant>
        <vt:i4>0</vt:i4>
      </vt:variant>
      <vt:variant>
        <vt:i4>5</vt:i4>
      </vt:variant>
      <vt:variant>
        <vt:lpwstr>http://www.mayim.org.il/?holiday=%D7%9B%D7%99%D7%A1%D7%95%D7%99-%D7%94%D7%97%D7%98%D7%90-%D7%90%D7%95-%D7%92%D7%99%D7%9C%D7%95%D7%99%D7%95</vt:lpwstr>
      </vt:variant>
      <vt:variant>
        <vt:lpwstr/>
      </vt:variant>
      <vt:variant>
        <vt:i4>2621556</vt:i4>
      </vt:variant>
      <vt:variant>
        <vt:i4>0</vt:i4>
      </vt:variant>
      <vt:variant>
        <vt:i4>0</vt:i4>
      </vt:variant>
      <vt:variant>
        <vt:i4>5</vt:i4>
      </vt:variant>
      <vt:variant>
        <vt:lpwstr>http://www.mayim.org.il/?parasha=%D7%99%D7%99%D7%9B%D7%AA%D7%91-%D7%A2%D7%95%D7%95%D7%A0%D7%99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נטלתי ספר בראשית וקראתי בו</dc:title>
  <dc:subject>וישב, שבת חנוכה ראשונה</dc:subject>
  <dc:creator>Asher Yuval</dc:creator>
  <cp:keywords/>
  <cp:lastModifiedBy>שמעון אפק</cp:lastModifiedBy>
  <cp:revision>2</cp:revision>
  <cp:lastPrinted>2015-04-28T16:42:00Z</cp:lastPrinted>
  <dcterms:created xsi:type="dcterms:W3CDTF">2017-12-10T06:32:00Z</dcterms:created>
  <dcterms:modified xsi:type="dcterms:W3CDTF">2017-12-10T06:32:00Z</dcterms:modified>
</cp:coreProperties>
</file>