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E65358" w:rsidRDefault="00E65358" w:rsidP="001816AF">
      <w:pPr>
        <w:pStyle w:val="aa"/>
        <w:spacing w:line="360" w:lineRule="auto"/>
        <w:rPr>
          <w:rtl/>
        </w:rPr>
      </w:pPr>
      <w:r>
        <w:rPr>
          <w:rtl/>
        </w:rPr>
        <w:fldChar w:fldCharType="begin"/>
      </w:r>
      <w:r>
        <w:rPr>
          <w:rtl/>
        </w:rPr>
        <w:instrText xml:space="preserve"> </w:instrText>
      </w:r>
      <w:r>
        <w:instrText>TITLE  \* MERGEFORMAT</w:instrText>
      </w:r>
      <w:r>
        <w:rPr>
          <w:rtl/>
        </w:rPr>
        <w:instrText xml:space="preserve"> </w:instrText>
      </w:r>
      <w:r>
        <w:rPr>
          <w:rtl/>
        </w:rPr>
        <w:fldChar w:fldCharType="separate"/>
      </w:r>
      <w:r w:rsidR="001816AF">
        <w:rPr>
          <w:rtl/>
        </w:rPr>
        <w:t>פוקד עוון אבות על בנים</w:t>
      </w:r>
      <w:r>
        <w:rPr>
          <w:rtl/>
        </w:rPr>
        <w:fldChar w:fldCharType="end"/>
      </w:r>
    </w:p>
    <w:p w:rsidR="00E65358" w:rsidRDefault="001816AF" w:rsidP="00503823">
      <w:pPr>
        <w:autoSpaceDE w:val="0"/>
        <w:autoSpaceDN w:val="0"/>
        <w:adjustRightInd w:val="0"/>
        <w:spacing w:before="240" w:line="320" w:lineRule="atLeast"/>
        <w:jc w:val="both"/>
        <w:rPr>
          <w:rFonts w:cs="David" w:hint="cs"/>
          <w:b/>
          <w:bCs/>
          <w:szCs w:val="24"/>
          <w:rtl/>
        </w:rPr>
      </w:pPr>
      <w:r w:rsidRPr="001816AF">
        <w:rPr>
          <w:rFonts w:cs="David"/>
          <w:b/>
          <w:bCs/>
          <w:szCs w:val="24"/>
          <w:rtl/>
        </w:rPr>
        <w:t>נֹצֵר חֶסֶד לָאֲלָפִים נֹשֵׂא עָוֹן וָפֶשַׁע וְחַטָּאָה וְנַקֵּה לֹא יְנַקֶּה פֹּקֵד עֲוֹן אָבוֹת עַל בָּנִים וְעַל בְּנֵי בָנִים עַל שִׁלֵּשִׁים וְעַל רִבֵּעִים</w:t>
      </w:r>
      <w:r w:rsidR="00503823">
        <w:rPr>
          <w:rFonts w:hint="cs"/>
          <w:rtl/>
        </w:rPr>
        <w:t>:</w:t>
      </w:r>
      <w:r w:rsidR="00E65358">
        <w:rPr>
          <w:rtl/>
        </w:rPr>
        <w:t xml:space="preserve"> (</w:t>
      </w:r>
      <w:r>
        <w:rPr>
          <w:rFonts w:hint="cs"/>
          <w:rtl/>
        </w:rPr>
        <w:t>שמות לד ז</w:t>
      </w:r>
      <w:r w:rsidR="00E65358">
        <w:rPr>
          <w:rFonts w:hint="cs"/>
          <w:rtl/>
        </w:rPr>
        <w:t>)</w:t>
      </w:r>
      <w:r w:rsidR="00DE5AE9">
        <w:rPr>
          <w:rFonts w:hint="cs"/>
          <w:rtl/>
        </w:rPr>
        <w:t>.</w:t>
      </w:r>
      <w:r w:rsidR="005E217F">
        <w:rPr>
          <w:rStyle w:val="a5"/>
          <w:rFonts w:cs="David"/>
          <w:b/>
          <w:bCs/>
          <w:szCs w:val="24"/>
          <w:rtl/>
        </w:rPr>
        <w:footnoteReference w:id="1"/>
      </w:r>
    </w:p>
    <w:p w:rsidR="00A24794" w:rsidRDefault="005E217F" w:rsidP="00503823">
      <w:pPr>
        <w:pStyle w:val="a3"/>
        <w:spacing w:before="120" w:line="300" w:lineRule="atLeast"/>
        <w:ind w:left="0" w:firstLine="0"/>
        <w:rPr>
          <w:rFonts w:hint="cs"/>
          <w:rtl/>
        </w:rPr>
      </w:pPr>
      <w:r>
        <w:rPr>
          <w:rFonts w:cs="David"/>
          <w:b/>
          <w:bCs/>
          <w:sz w:val="22"/>
          <w:szCs w:val="24"/>
          <w:rtl/>
        </w:rPr>
        <w:t>ה'</w:t>
      </w:r>
      <w:r w:rsidR="00A24794" w:rsidRPr="00A24794">
        <w:rPr>
          <w:rFonts w:cs="David"/>
          <w:b/>
          <w:bCs/>
          <w:sz w:val="22"/>
          <w:szCs w:val="24"/>
          <w:rtl/>
        </w:rPr>
        <w:t xml:space="preserve"> אֶרֶךְ אַפַּיִם וְרַב חֶסֶד נֹשֵׂא עָוֹן וָפָשַׁע וְנַקֵּה לֹא יְנַקֶּה פֹּקֵד עֲוֹן אָבוֹת עַל בָּנִים עַל שִׁלֵּשִׁים וְעַל רִבֵּעִים</w:t>
      </w:r>
      <w:r w:rsidR="00503823">
        <w:rPr>
          <w:rFonts w:cs="David" w:hint="cs"/>
          <w:b/>
          <w:bCs/>
          <w:sz w:val="22"/>
          <w:szCs w:val="24"/>
          <w:rtl/>
        </w:rPr>
        <w:t>:</w:t>
      </w:r>
      <w:r w:rsidR="00A24794" w:rsidRPr="00A24794">
        <w:rPr>
          <w:rFonts w:cs="David"/>
          <w:b/>
          <w:bCs/>
          <w:sz w:val="22"/>
          <w:szCs w:val="24"/>
          <w:rtl/>
        </w:rPr>
        <w:t xml:space="preserve"> </w:t>
      </w:r>
      <w:r w:rsidR="00A24794" w:rsidRPr="005E1C79">
        <w:rPr>
          <w:sz w:val="22"/>
          <w:szCs w:val="22"/>
          <w:rtl/>
        </w:rPr>
        <w:t>(</w:t>
      </w:r>
      <w:r w:rsidR="00A24794" w:rsidRPr="005E1C79">
        <w:rPr>
          <w:rFonts w:hint="cs"/>
          <w:sz w:val="22"/>
          <w:szCs w:val="22"/>
          <w:rtl/>
        </w:rPr>
        <w:t>במדבר יד יח).</w:t>
      </w:r>
      <w:r w:rsidRPr="005E1C79">
        <w:rPr>
          <w:rStyle w:val="a5"/>
          <w:sz w:val="22"/>
          <w:szCs w:val="22"/>
          <w:rtl/>
        </w:rPr>
        <w:footnoteReference w:id="2"/>
      </w:r>
    </w:p>
    <w:p w:rsidR="00393E90" w:rsidRDefault="00393E90" w:rsidP="00503823">
      <w:pPr>
        <w:pStyle w:val="a3"/>
        <w:spacing w:before="120" w:line="320" w:lineRule="atLeast"/>
        <w:ind w:left="0" w:firstLine="0"/>
        <w:rPr>
          <w:rFonts w:hint="cs"/>
          <w:rtl/>
        </w:rPr>
      </w:pPr>
      <w:r w:rsidRPr="00EF1621">
        <w:rPr>
          <w:rFonts w:cs="David"/>
          <w:b/>
          <w:bCs/>
          <w:sz w:val="22"/>
          <w:szCs w:val="24"/>
          <w:rtl/>
        </w:rPr>
        <w:t xml:space="preserve">לֹא תִשְׁתַּחֲוֶה לָהֶם וְלֹא תָעָבְדֵם כִּי אָנֹכִי </w:t>
      </w:r>
      <w:r w:rsidR="005E217F">
        <w:rPr>
          <w:rFonts w:cs="David"/>
          <w:b/>
          <w:bCs/>
          <w:sz w:val="22"/>
          <w:szCs w:val="24"/>
          <w:rtl/>
        </w:rPr>
        <w:t>ה'</w:t>
      </w:r>
      <w:r w:rsidRPr="00EF1621">
        <w:rPr>
          <w:rFonts w:cs="David"/>
          <w:b/>
          <w:bCs/>
          <w:sz w:val="22"/>
          <w:szCs w:val="24"/>
          <w:rtl/>
        </w:rPr>
        <w:t xml:space="preserve"> אֱלֹהֶיךָ אֵל קַנָּא פֹּקֵד עֲוֹן אָבֹת עַל בָּנִים עַל שִׁלֵּשִׁים וְעַל רִבֵּעִים לְשֹׂנְאָי</w:t>
      </w:r>
      <w:r w:rsidR="00503823">
        <w:rPr>
          <w:rFonts w:cs="David" w:hint="cs"/>
          <w:b/>
          <w:bCs/>
          <w:sz w:val="22"/>
          <w:szCs w:val="24"/>
          <w:rtl/>
        </w:rPr>
        <w:t>:</w:t>
      </w:r>
      <w:r w:rsidR="00EF1621">
        <w:rPr>
          <w:rFonts w:cs="David" w:hint="cs"/>
          <w:b/>
          <w:bCs/>
          <w:sz w:val="22"/>
          <w:szCs w:val="24"/>
          <w:rtl/>
        </w:rPr>
        <w:t xml:space="preserve"> </w:t>
      </w:r>
      <w:r w:rsidRPr="005E1C79">
        <w:rPr>
          <w:sz w:val="22"/>
          <w:szCs w:val="22"/>
          <w:rtl/>
        </w:rPr>
        <w:t>(</w:t>
      </w:r>
      <w:r w:rsidRPr="005E1C79">
        <w:rPr>
          <w:rFonts w:hint="cs"/>
          <w:sz w:val="22"/>
          <w:szCs w:val="22"/>
          <w:rtl/>
        </w:rPr>
        <w:t>שמות כ ה).</w:t>
      </w:r>
      <w:r w:rsidR="006A57C7" w:rsidRPr="005E1C79">
        <w:rPr>
          <w:rStyle w:val="a5"/>
          <w:sz w:val="22"/>
          <w:szCs w:val="22"/>
          <w:rtl/>
        </w:rPr>
        <w:footnoteReference w:id="3"/>
      </w:r>
    </w:p>
    <w:p w:rsidR="006A57C7" w:rsidRDefault="006A57C7" w:rsidP="00503823">
      <w:pPr>
        <w:pStyle w:val="a3"/>
        <w:spacing w:before="120" w:line="320" w:lineRule="atLeast"/>
        <w:ind w:left="0" w:firstLine="0"/>
        <w:rPr>
          <w:rFonts w:hint="cs"/>
          <w:rtl/>
        </w:rPr>
      </w:pPr>
      <w:r w:rsidRPr="006A57C7">
        <w:rPr>
          <w:rFonts w:cs="David"/>
          <w:b/>
          <w:bCs/>
          <w:sz w:val="22"/>
          <w:szCs w:val="24"/>
          <w:rtl/>
        </w:rPr>
        <w:t>לֹא יוּמְתוּ אָבוֹת עַל בָּנִים וּבָנִים לֹא יוּמְתוּ עַל אָבוֹת אִישׁ בְּחֶטְאוֹ יוּמָתוּ</w:t>
      </w:r>
      <w:r>
        <w:rPr>
          <w:rFonts w:cs="David" w:hint="cs"/>
          <w:b/>
          <w:bCs/>
          <w:sz w:val="22"/>
          <w:szCs w:val="24"/>
          <w:rtl/>
        </w:rPr>
        <w:t xml:space="preserve">" </w:t>
      </w:r>
      <w:r w:rsidRPr="005E1C79">
        <w:rPr>
          <w:sz w:val="22"/>
          <w:szCs w:val="22"/>
          <w:rtl/>
        </w:rPr>
        <w:t>(</w:t>
      </w:r>
      <w:r w:rsidR="005E1C79" w:rsidRPr="005E1C79">
        <w:rPr>
          <w:rFonts w:hint="cs"/>
          <w:sz w:val="22"/>
          <w:szCs w:val="22"/>
          <w:rtl/>
        </w:rPr>
        <w:t>דברים</w:t>
      </w:r>
      <w:r w:rsidRPr="005E1C79">
        <w:rPr>
          <w:rFonts w:hint="cs"/>
          <w:sz w:val="22"/>
          <w:szCs w:val="22"/>
          <w:rtl/>
        </w:rPr>
        <w:t xml:space="preserve"> כד טז).</w:t>
      </w:r>
      <w:r w:rsidR="005E1C79">
        <w:rPr>
          <w:rStyle w:val="a5"/>
          <w:rtl/>
        </w:rPr>
        <w:footnoteReference w:id="4"/>
      </w:r>
    </w:p>
    <w:p w:rsidR="00393D76" w:rsidRDefault="00393D76" w:rsidP="00503823">
      <w:pPr>
        <w:pStyle w:val="a3"/>
        <w:spacing w:before="120" w:line="320" w:lineRule="atLeast"/>
        <w:ind w:left="0" w:firstLine="0"/>
        <w:rPr>
          <w:rFonts w:hint="cs"/>
          <w:rtl/>
        </w:rPr>
      </w:pPr>
      <w:r w:rsidRPr="006C5394">
        <w:rPr>
          <w:rFonts w:cs="David"/>
          <w:b/>
          <w:bCs/>
          <w:sz w:val="22"/>
          <w:szCs w:val="24"/>
          <w:rtl/>
        </w:rPr>
        <w:t>הַנֶּפֶשׁ הַחֹטֵאת הִיא תָמוּת בֵּן לֹא יִשָּׂא בַּעֲוֹן הָאָב וְאָב לֹא יִשָּׂא בַּעֲוֹן הַבֵּן צִדְקַת הַצַּדִּיק עָלָיו תִּהְיֶה וְרִשְׁעַת הָרָשָׁע עָלָיו תִּהְיֶה</w:t>
      </w:r>
      <w:r w:rsidR="00503823">
        <w:rPr>
          <w:rFonts w:hint="cs"/>
          <w:rtl/>
        </w:rPr>
        <w:t>:</w:t>
      </w:r>
      <w:r w:rsidR="005E1C79" w:rsidRPr="005E1C79">
        <w:rPr>
          <w:rtl/>
        </w:rPr>
        <w:t xml:space="preserve"> </w:t>
      </w:r>
      <w:r w:rsidR="006C5394" w:rsidRPr="006C5394">
        <w:rPr>
          <w:rFonts w:hint="cs"/>
          <w:sz w:val="22"/>
          <w:szCs w:val="22"/>
          <w:rtl/>
        </w:rPr>
        <w:t>(</w:t>
      </w:r>
      <w:r w:rsidR="005E1C79" w:rsidRPr="006C5394">
        <w:rPr>
          <w:sz w:val="22"/>
          <w:szCs w:val="22"/>
          <w:rtl/>
        </w:rPr>
        <w:t xml:space="preserve">יחזקאל פרק יח </w:t>
      </w:r>
      <w:r w:rsidR="006C5394" w:rsidRPr="006C5394">
        <w:rPr>
          <w:rFonts w:hint="cs"/>
          <w:sz w:val="22"/>
          <w:szCs w:val="22"/>
          <w:rtl/>
        </w:rPr>
        <w:t>פסוק כ).</w:t>
      </w:r>
      <w:r w:rsidR="00B823FF">
        <w:rPr>
          <w:rStyle w:val="a5"/>
          <w:rtl/>
        </w:rPr>
        <w:footnoteReference w:id="5"/>
      </w:r>
    </w:p>
    <w:p w:rsidR="00F81057" w:rsidRDefault="00F81057" w:rsidP="005B240C">
      <w:pPr>
        <w:pStyle w:val="ab"/>
        <w:rPr>
          <w:rtl/>
        </w:rPr>
      </w:pPr>
      <w:r>
        <w:rPr>
          <w:rtl/>
        </w:rPr>
        <w:t>מכילתא דרבי ישמעאל יתרו - מסכתא דבחדש פרשה ו</w:t>
      </w:r>
      <w:r w:rsidR="005B240C">
        <w:rPr>
          <w:rStyle w:val="a5"/>
          <w:rtl/>
        </w:rPr>
        <w:footnoteReference w:id="6"/>
      </w:r>
      <w:r>
        <w:rPr>
          <w:rtl/>
        </w:rPr>
        <w:t xml:space="preserve"> </w:t>
      </w:r>
    </w:p>
    <w:p w:rsidR="00393D76" w:rsidRDefault="00330ED8" w:rsidP="00134A61">
      <w:pPr>
        <w:pStyle w:val="ac"/>
        <w:rPr>
          <w:rFonts w:hint="cs"/>
          <w:rtl/>
        </w:rPr>
      </w:pPr>
      <w:r>
        <w:rPr>
          <w:rFonts w:hint="cs"/>
          <w:rtl/>
        </w:rPr>
        <w:t>"</w:t>
      </w:r>
      <w:r w:rsidR="00F81057">
        <w:rPr>
          <w:rtl/>
        </w:rPr>
        <w:t>פוקד עון אבות על בנים</w:t>
      </w:r>
      <w:r>
        <w:rPr>
          <w:rFonts w:hint="cs"/>
          <w:rtl/>
        </w:rPr>
        <w:t>",</w:t>
      </w:r>
      <w:r w:rsidR="00F81057">
        <w:rPr>
          <w:rtl/>
        </w:rPr>
        <w:t xml:space="preserve"> בזמן שא</w:t>
      </w:r>
      <w:r w:rsidR="00951204">
        <w:rPr>
          <w:rtl/>
        </w:rPr>
        <w:t>ינן מסורגין</w:t>
      </w:r>
      <w:r>
        <w:rPr>
          <w:rFonts w:hint="cs"/>
          <w:rtl/>
        </w:rPr>
        <w:t>.</w:t>
      </w:r>
      <w:r w:rsidR="0010128C">
        <w:rPr>
          <w:rStyle w:val="a5"/>
          <w:rtl/>
        </w:rPr>
        <w:footnoteReference w:id="7"/>
      </w:r>
      <w:r w:rsidR="00951204">
        <w:rPr>
          <w:rtl/>
        </w:rPr>
        <w:t xml:space="preserve"> או בזמן שהן מסורגין</w:t>
      </w:r>
      <w:r w:rsidR="00951204">
        <w:rPr>
          <w:rFonts w:hint="cs"/>
          <w:rtl/>
        </w:rPr>
        <w:t>?</w:t>
      </w:r>
      <w:r w:rsidR="00F81057">
        <w:rPr>
          <w:rtl/>
        </w:rPr>
        <w:t xml:space="preserve"> הא כיצד</w:t>
      </w:r>
      <w:r w:rsidR="00951204">
        <w:rPr>
          <w:rFonts w:hint="cs"/>
          <w:rtl/>
        </w:rPr>
        <w:t xml:space="preserve">? </w:t>
      </w:r>
      <w:r w:rsidR="00F81057">
        <w:rPr>
          <w:rtl/>
        </w:rPr>
        <w:t>רשע בן רשע בן רשע; רבי נתן אומר</w:t>
      </w:r>
      <w:r w:rsidR="0010128C">
        <w:rPr>
          <w:rFonts w:hint="cs"/>
          <w:rtl/>
        </w:rPr>
        <w:t>:</w:t>
      </w:r>
      <w:r w:rsidR="00F81057">
        <w:rPr>
          <w:rtl/>
        </w:rPr>
        <w:t xml:space="preserve"> קוצץ בן קוצץ בן קוצץ.</w:t>
      </w:r>
      <w:r w:rsidR="00134A61">
        <w:rPr>
          <w:rStyle w:val="a5"/>
          <w:rtl/>
        </w:rPr>
        <w:footnoteReference w:id="8"/>
      </w:r>
      <w:r w:rsidR="00F81057">
        <w:rPr>
          <w:rtl/>
        </w:rPr>
        <w:t xml:space="preserve"> כיון ששמע משה את הדבר הזה</w:t>
      </w:r>
      <w:r w:rsidR="00134A61">
        <w:rPr>
          <w:rFonts w:hint="cs"/>
          <w:rtl/>
        </w:rPr>
        <w:t>: "</w:t>
      </w:r>
      <w:r w:rsidR="00F81057">
        <w:rPr>
          <w:rtl/>
        </w:rPr>
        <w:t>ויק</w:t>
      </w:r>
      <w:r w:rsidR="00134A61">
        <w:rPr>
          <w:rFonts w:hint="cs"/>
          <w:rtl/>
        </w:rPr>
        <w:t>ו</w:t>
      </w:r>
      <w:r w:rsidR="00F81057">
        <w:rPr>
          <w:rtl/>
        </w:rPr>
        <w:t>ד ארצה וישתחו</w:t>
      </w:r>
      <w:r w:rsidR="00134A61">
        <w:rPr>
          <w:rFonts w:hint="cs"/>
          <w:rtl/>
        </w:rPr>
        <w:t>" (</w:t>
      </w:r>
      <w:r w:rsidR="00134A61">
        <w:rPr>
          <w:rtl/>
        </w:rPr>
        <w:t xml:space="preserve">שמות לד </w:t>
      </w:r>
      <w:r w:rsidR="00134A61">
        <w:rPr>
          <w:rtl/>
        </w:rPr>
        <w:lastRenderedPageBreak/>
        <w:t>ח</w:t>
      </w:r>
      <w:r w:rsidR="00134A61">
        <w:rPr>
          <w:rFonts w:hint="cs"/>
          <w:rtl/>
        </w:rPr>
        <w:t>)</w:t>
      </w:r>
      <w:r w:rsidR="00F81057">
        <w:rPr>
          <w:rtl/>
        </w:rPr>
        <w:t>. אמר</w:t>
      </w:r>
      <w:r w:rsidR="00134A61">
        <w:rPr>
          <w:rFonts w:hint="cs"/>
          <w:rtl/>
        </w:rPr>
        <w:t>:</w:t>
      </w:r>
      <w:r w:rsidR="00F81057">
        <w:rPr>
          <w:rtl/>
        </w:rPr>
        <w:t xml:space="preserve"> חס ושלום, אין בישראל רשע בן רשע בן רשע.</w:t>
      </w:r>
      <w:r w:rsidR="00134A61">
        <w:rPr>
          <w:rStyle w:val="a5"/>
          <w:rtl/>
        </w:rPr>
        <w:footnoteReference w:id="9"/>
      </w:r>
      <w:r w:rsidR="00F81057">
        <w:rPr>
          <w:rtl/>
        </w:rPr>
        <w:t xml:space="preserve"> - כשם שמידת פורענות לארבעה דורות, כך מדת הטוב לארבעה דורות</w:t>
      </w:r>
      <w:r w:rsidR="00134A61">
        <w:rPr>
          <w:rFonts w:hint="cs"/>
          <w:rtl/>
        </w:rPr>
        <w:t>?</w:t>
      </w:r>
      <w:r w:rsidR="00F81057">
        <w:rPr>
          <w:rtl/>
        </w:rPr>
        <w:t xml:space="preserve"> תלמוד לומר</w:t>
      </w:r>
      <w:r w:rsidR="00134A61">
        <w:rPr>
          <w:rFonts w:hint="cs"/>
          <w:rtl/>
        </w:rPr>
        <w:t>:</w:t>
      </w:r>
      <w:r w:rsidR="00F81057">
        <w:rPr>
          <w:rtl/>
        </w:rPr>
        <w:t xml:space="preserve"> </w:t>
      </w:r>
      <w:r w:rsidR="00134A61">
        <w:rPr>
          <w:rFonts w:hint="cs"/>
          <w:rtl/>
        </w:rPr>
        <w:t>"</w:t>
      </w:r>
      <w:r w:rsidR="00F81057">
        <w:rPr>
          <w:rtl/>
        </w:rPr>
        <w:t>לאלפים</w:t>
      </w:r>
      <w:r w:rsidR="00134A61">
        <w:rPr>
          <w:rFonts w:hint="cs"/>
          <w:rtl/>
        </w:rPr>
        <w:t xml:space="preserve">". </w:t>
      </w:r>
      <w:r w:rsidR="00F81057">
        <w:rPr>
          <w:rtl/>
        </w:rPr>
        <w:t>אי לאלפים, שומע אני מיעוט אלפים שנ</w:t>
      </w:r>
      <w:r w:rsidR="00134A61">
        <w:rPr>
          <w:rFonts w:hint="cs"/>
          <w:rtl/>
        </w:rPr>
        <w:t>י</w:t>
      </w:r>
      <w:r w:rsidR="00F81057">
        <w:rPr>
          <w:rtl/>
        </w:rPr>
        <w:t>ים</w:t>
      </w:r>
      <w:r w:rsidR="00134A61">
        <w:rPr>
          <w:rFonts w:hint="cs"/>
          <w:rtl/>
        </w:rPr>
        <w:t>?</w:t>
      </w:r>
      <w:r w:rsidR="00F81057">
        <w:rPr>
          <w:rtl/>
        </w:rPr>
        <w:t xml:space="preserve"> תלמוד לומר</w:t>
      </w:r>
      <w:r w:rsidR="00134A61">
        <w:rPr>
          <w:rFonts w:hint="cs"/>
          <w:rtl/>
        </w:rPr>
        <w:t>:</w:t>
      </w:r>
      <w:r w:rsidR="00F81057">
        <w:rPr>
          <w:rtl/>
        </w:rPr>
        <w:t xml:space="preserve"> </w:t>
      </w:r>
      <w:r w:rsidR="00134A61">
        <w:rPr>
          <w:rFonts w:hint="cs"/>
          <w:rtl/>
        </w:rPr>
        <w:t>"</w:t>
      </w:r>
      <w:r w:rsidR="00F81057">
        <w:rPr>
          <w:rtl/>
        </w:rPr>
        <w:t>לאלף</w:t>
      </w:r>
      <w:r w:rsidR="00134A61">
        <w:rPr>
          <w:rFonts w:hint="cs"/>
          <w:rtl/>
        </w:rPr>
        <w:t xml:space="preserve"> דור" (</w:t>
      </w:r>
      <w:r w:rsidR="00134A61">
        <w:rPr>
          <w:rtl/>
        </w:rPr>
        <w:t>דברים ז ט</w:t>
      </w:r>
      <w:r w:rsidR="00134A61">
        <w:rPr>
          <w:rFonts w:hint="cs"/>
          <w:rtl/>
        </w:rPr>
        <w:t>)</w:t>
      </w:r>
      <w:r w:rsidR="00F81057">
        <w:rPr>
          <w:rtl/>
        </w:rPr>
        <w:t>, לאין חקר ואין מספר.</w:t>
      </w:r>
      <w:r w:rsidR="00741030">
        <w:rPr>
          <w:rStyle w:val="a5"/>
          <w:rtl/>
        </w:rPr>
        <w:footnoteReference w:id="10"/>
      </w:r>
    </w:p>
    <w:p w:rsidR="00C82B5C" w:rsidRDefault="00C82B5C" w:rsidP="00741030">
      <w:pPr>
        <w:pStyle w:val="ab"/>
        <w:rPr>
          <w:rtl/>
        </w:rPr>
      </w:pPr>
      <w:r>
        <w:rPr>
          <w:rtl/>
        </w:rPr>
        <w:t xml:space="preserve">מכילתא דרבי שמעון בר יוחאי פרק כ </w:t>
      </w:r>
    </w:p>
    <w:p w:rsidR="00D05774" w:rsidRDefault="00C82B5C" w:rsidP="00E175BE">
      <w:pPr>
        <w:pStyle w:val="ac"/>
        <w:rPr>
          <w:rFonts w:hint="cs"/>
          <w:rtl/>
        </w:rPr>
      </w:pPr>
      <w:r>
        <w:rPr>
          <w:rtl/>
        </w:rPr>
        <w:t>כת</w:t>
      </w:r>
      <w:r w:rsidR="008653B2">
        <w:rPr>
          <w:rFonts w:hint="cs"/>
          <w:rtl/>
        </w:rPr>
        <w:t>ו</w:t>
      </w:r>
      <w:r>
        <w:rPr>
          <w:rFonts w:hint="cs"/>
          <w:rtl/>
        </w:rPr>
        <w:t>ב</w:t>
      </w:r>
      <w:r>
        <w:rPr>
          <w:rtl/>
        </w:rPr>
        <w:t xml:space="preserve"> אחד אומר</w:t>
      </w:r>
      <w:r w:rsidR="00386032">
        <w:rPr>
          <w:rFonts w:hint="cs"/>
          <w:rtl/>
        </w:rPr>
        <w:t>:</w:t>
      </w:r>
      <w:r>
        <w:rPr>
          <w:rtl/>
        </w:rPr>
        <w:t xml:space="preserve"> </w:t>
      </w:r>
      <w:r w:rsidR="00386032">
        <w:rPr>
          <w:rFonts w:hint="cs"/>
          <w:rtl/>
        </w:rPr>
        <w:t>"</w:t>
      </w:r>
      <w:r>
        <w:rPr>
          <w:rtl/>
        </w:rPr>
        <w:t>פ</w:t>
      </w:r>
      <w:r w:rsidR="00386032">
        <w:rPr>
          <w:rFonts w:hint="cs"/>
          <w:rtl/>
        </w:rPr>
        <w:t>ו</w:t>
      </w:r>
      <w:r>
        <w:rPr>
          <w:rtl/>
        </w:rPr>
        <w:t>קד עון אבות על בנים</w:t>
      </w:r>
      <w:r w:rsidR="00386032">
        <w:rPr>
          <w:rFonts w:hint="cs"/>
          <w:rtl/>
        </w:rPr>
        <w:t>"</w:t>
      </w:r>
      <w:r>
        <w:rPr>
          <w:rtl/>
        </w:rPr>
        <w:t xml:space="preserve"> וכת</w:t>
      </w:r>
      <w:r w:rsidR="00386032">
        <w:rPr>
          <w:rFonts w:hint="cs"/>
          <w:rtl/>
        </w:rPr>
        <w:t>וב</w:t>
      </w:r>
      <w:r>
        <w:rPr>
          <w:rtl/>
        </w:rPr>
        <w:t xml:space="preserve"> אחד אומר</w:t>
      </w:r>
      <w:r w:rsidR="00386032">
        <w:rPr>
          <w:rFonts w:hint="cs"/>
          <w:rtl/>
        </w:rPr>
        <w:t>:</w:t>
      </w:r>
      <w:r>
        <w:rPr>
          <w:rtl/>
        </w:rPr>
        <w:t xml:space="preserve"> </w:t>
      </w:r>
      <w:r w:rsidR="00386032">
        <w:rPr>
          <w:rFonts w:hint="cs"/>
          <w:rtl/>
        </w:rPr>
        <w:t>"</w:t>
      </w:r>
      <w:r>
        <w:rPr>
          <w:rtl/>
        </w:rPr>
        <w:t>אב לא ישא בעון הבן ובן לא ישא בעון האב</w:t>
      </w:r>
      <w:r w:rsidR="00386032">
        <w:rPr>
          <w:rFonts w:hint="cs"/>
          <w:rtl/>
        </w:rPr>
        <w:t>"</w:t>
      </w:r>
      <w:r>
        <w:rPr>
          <w:rtl/>
        </w:rPr>
        <w:t xml:space="preserve"> (יחז</w:t>
      </w:r>
      <w:r w:rsidR="00386032">
        <w:rPr>
          <w:rFonts w:hint="cs"/>
          <w:rtl/>
        </w:rPr>
        <w:t>קאל</w:t>
      </w:r>
      <w:r>
        <w:rPr>
          <w:rtl/>
        </w:rPr>
        <w:t xml:space="preserve"> יח כ)</w:t>
      </w:r>
      <w:r w:rsidR="00386032">
        <w:rPr>
          <w:rFonts w:hint="cs"/>
          <w:rtl/>
        </w:rPr>
        <w:t>,</w:t>
      </w:r>
      <w:r>
        <w:rPr>
          <w:rtl/>
        </w:rPr>
        <w:t xml:space="preserve"> אם היו אבות זכאין תולה להן ואם לאו אין תולה להן.</w:t>
      </w:r>
      <w:r w:rsidR="0001346C">
        <w:rPr>
          <w:rStyle w:val="a5"/>
          <w:rtl/>
        </w:rPr>
        <w:footnoteReference w:id="11"/>
      </w:r>
      <w:r>
        <w:rPr>
          <w:rtl/>
        </w:rPr>
        <w:t xml:space="preserve"> מושלו משל למה הדבר דומה</w:t>
      </w:r>
      <w:r w:rsidR="00386032">
        <w:rPr>
          <w:rFonts w:hint="cs"/>
          <w:rtl/>
        </w:rPr>
        <w:t>?</w:t>
      </w:r>
      <w:r>
        <w:rPr>
          <w:rtl/>
        </w:rPr>
        <w:t xml:space="preserve"> לאחד שלוה מן המלך מאה מנה וכפר בו.</w:t>
      </w:r>
      <w:r w:rsidR="00D05774">
        <w:rPr>
          <w:rStyle w:val="a5"/>
          <w:rtl/>
        </w:rPr>
        <w:footnoteReference w:id="12"/>
      </w:r>
      <w:r>
        <w:rPr>
          <w:rtl/>
        </w:rPr>
        <w:t xml:space="preserve"> בא בנו ולוה מן המלך מאה מנה וכפר בו</w:t>
      </w:r>
      <w:r w:rsidR="00D05774">
        <w:rPr>
          <w:rFonts w:hint="cs"/>
          <w:rtl/>
        </w:rPr>
        <w:t>,</w:t>
      </w:r>
      <w:r>
        <w:rPr>
          <w:rtl/>
        </w:rPr>
        <w:t xml:space="preserve"> ובא בן בנו ולוה מן המלך מאה מנה וכפר בו</w:t>
      </w:r>
      <w:r w:rsidR="00386032">
        <w:rPr>
          <w:rFonts w:hint="cs"/>
          <w:rtl/>
        </w:rPr>
        <w:t>.</w:t>
      </w:r>
      <w:r>
        <w:rPr>
          <w:rtl/>
        </w:rPr>
        <w:t xml:space="preserve"> לרביעי אין מלוין אותו מפני אבותיו שהיו כפרנין</w:t>
      </w:r>
      <w:r w:rsidR="00386032">
        <w:rPr>
          <w:rFonts w:hint="cs"/>
          <w:rtl/>
        </w:rPr>
        <w:t>.</w:t>
      </w:r>
      <w:r>
        <w:rPr>
          <w:rtl/>
        </w:rPr>
        <w:t xml:space="preserve"> וכן הוא אומ</w:t>
      </w:r>
      <w:r w:rsidR="00E175BE">
        <w:rPr>
          <w:rFonts w:hint="cs"/>
          <w:rtl/>
        </w:rPr>
        <w:t>ר:</w:t>
      </w:r>
      <w:r>
        <w:rPr>
          <w:rtl/>
        </w:rPr>
        <w:t xml:space="preserve"> </w:t>
      </w:r>
      <w:r w:rsidR="00E175BE">
        <w:rPr>
          <w:rFonts w:hint="cs"/>
          <w:rtl/>
        </w:rPr>
        <w:t>"</w:t>
      </w:r>
      <w:r>
        <w:rPr>
          <w:rtl/>
        </w:rPr>
        <w:t>אבותינו חטאו ואינם ואנחנו עונותיהם סבלנו</w:t>
      </w:r>
      <w:r w:rsidR="00E175BE">
        <w:rPr>
          <w:rFonts w:hint="cs"/>
          <w:rtl/>
        </w:rPr>
        <w:t>"</w:t>
      </w:r>
      <w:r>
        <w:rPr>
          <w:rtl/>
        </w:rPr>
        <w:t xml:space="preserve"> (איכה ה ז)</w:t>
      </w:r>
      <w:r w:rsidR="00E175BE">
        <w:rPr>
          <w:rFonts w:hint="cs"/>
          <w:rtl/>
        </w:rPr>
        <w:t>,</w:t>
      </w:r>
      <w:r>
        <w:rPr>
          <w:rtl/>
        </w:rPr>
        <w:t xml:space="preserve"> אל תהי קורא </w:t>
      </w:r>
      <w:r w:rsidR="00E175BE">
        <w:rPr>
          <w:rFonts w:hint="cs"/>
          <w:rtl/>
        </w:rPr>
        <w:t>"</w:t>
      </w:r>
      <w:r>
        <w:rPr>
          <w:rtl/>
        </w:rPr>
        <w:t>עונותיהם סבלנו</w:t>
      </w:r>
      <w:r w:rsidR="00E175BE">
        <w:rPr>
          <w:rFonts w:hint="cs"/>
          <w:rtl/>
        </w:rPr>
        <w:t>",</w:t>
      </w:r>
      <w:r>
        <w:rPr>
          <w:rtl/>
        </w:rPr>
        <w:t xml:space="preserve"> אלא </w:t>
      </w:r>
      <w:r w:rsidR="00E175BE">
        <w:rPr>
          <w:rFonts w:hint="cs"/>
          <w:rtl/>
        </w:rPr>
        <w:t>"</w:t>
      </w:r>
      <w:r>
        <w:rPr>
          <w:rtl/>
        </w:rPr>
        <w:t>עונותינו סבלנו</w:t>
      </w:r>
      <w:r w:rsidR="00E175BE">
        <w:rPr>
          <w:rFonts w:hint="cs"/>
          <w:rtl/>
        </w:rPr>
        <w:t>".</w:t>
      </w:r>
      <w:r>
        <w:rPr>
          <w:rtl/>
        </w:rPr>
        <w:t xml:space="preserve"> מי גרם לנו לסבול עונות נפשינו</w:t>
      </w:r>
      <w:r w:rsidR="00E175BE">
        <w:rPr>
          <w:rFonts w:hint="cs"/>
          <w:rtl/>
        </w:rPr>
        <w:t>?</w:t>
      </w:r>
      <w:r>
        <w:rPr>
          <w:rtl/>
        </w:rPr>
        <w:t xml:space="preserve"> אבותינו שהיו כפרנין.</w:t>
      </w:r>
      <w:r w:rsidR="00E17B24">
        <w:rPr>
          <w:rStyle w:val="a5"/>
          <w:rtl/>
        </w:rPr>
        <w:footnoteReference w:id="13"/>
      </w:r>
    </w:p>
    <w:p w:rsidR="001C10C8" w:rsidRDefault="000A0315" w:rsidP="00E17B24">
      <w:pPr>
        <w:pStyle w:val="ac"/>
        <w:rPr>
          <w:rFonts w:hint="cs"/>
          <w:rtl/>
        </w:rPr>
      </w:pPr>
      <w:r>
        <w:rPr>
          <w:rFonts w:hint="cs"/>
          <w:rtl/>
        </w:rPr>
        <w:t>"</w:t>
      </w:r>
      <w:r w:rsidR="00BF586A">
        <w:rPr>
          <w:rtl/>
        </w:rPr>
        <w:t>פ</w:t>
      </w:r>
      <w:r>
        <w:rPr>
          <w:rFonts w:hint="cs"/>
          <w:rtl/>
        </w:rPr>
        <w:t>ו</w:t>
      </w:r>
      <w:r w:rsidR="00BF586A">
        <w:rPr>
          <w:rtl/>
        </w:rPr>
        <w:t>קד עון אבות על בנים</w:t>
      </w:r>
      <w:r w:rsidR="00E17B24">
        <w:rPr>
          <w:rFonts w:hint="cs"/>
          <w:rtl/>
        </w:rPr>
        <w:t>"</w:t>
      </w:r>
      <w:r>
        <w:rPr>
          <w:rFonts w:hint="cs"/>
          <w:rtl/>
        </w:rPr>
        <w:t>,</w:t>
      </w:r>
      <w:r w:rsidR="00BF586A">
        <w:rPr>
          <w:rtl/>
        </w:rPr>
        <w:t xml:space="preserve"> יכול על יוצאי ירך בלבד</w:t>
      </w:r>
      <w:r w:rsidR="001C10C8">
        <w:rPr>
          <w:rFonts w:hint="cs"/>
          <w:rtl/>
        </w:rPr>
        <w:t>?</w:t>
      </w:r>
      <w:r w:rsidR="00BF586A">
        <w:rPr>
          <w:rtl/>
        </w:rPr>
        <w:t xml:space="preserve"> </w:t>
      </w:r>
      <w:r w:rsidR="00C8796E">
        <w:rPr>
          <w:rtl/>
        </w:rPr>
        <w:t>תלמוד לומר</w:t>
      </w:r>
      <w:r w:rsidR="001C10C8">
        <w:rPr>
          <w:rFonts w:hint="cs"/>
          <w:rtl/>
        </w:rPr>
        <w:t>:</w:t>
      </w:r>
      <w:r w:rsidR="00BF586A">
        <w:rPr>
          <w:rtl/>
        </w:rPr>
        <w:t xml:space="preserve"> ועל בני בנים. יאמר זה שא</w:t>
      </w:r>
      <w:r w:rsidR="001C10C8">
        <w:rPr>
          <w:rFonts w:hint="cs"/>
          <w:rtl/>
        </w:rPr>
        <w:t>י</w:t>
      </w:r>
      <w:r w:rsidR="00BF586A">
        <w:rPr>
          <w:rtl/>
        </w:rPr>
        <w:t>לו כן</w:t>
      </w:r>
      <w:r w:rsidR="001C10C8">
        <w:rPr>
          <w:rFonts w:hint="cs"/>
          <w:rtl/>
        </w:rPr>
        <w:t>,</w:t>
      </w:r>
      <w:r w:rsidR="00BF586A">
        <w:rPr>
          <w:rtl/>
        </w:rPr>
        <w:t xml:space="preserve"> הייתי אומר הא אין תולה אלא להן בלבד</w:t>
      </w:r>
      <w:r w:rsidR="00E17B24">
        <w:rPr>
          <w:rFonts w:hint="cs"/>
          <w:rtl/>
        </w:rPr>
        <w:t>,</w:t>
      </w:r>
      <w:r w:rsidR="00BF586A">
        <w:rPr>
          <w:rtl/>
        </w:rPr>
        <w:t xml:space="preserve"> מנין לשלשה וארבעה דורות</w:t>
      </w:r>
      <w:r w:rsidR="00D05774">
        <w:rPr>
          <w:rFonts w:hint="cs"/>
          <w:rtl/>
        </w:rPr>
        <w:t>?</w:t>
      </w:r>
      <w:r w:rsidR="00BF586A">
        <w:rPr>
          <w:rtl/>
        </w:rPr>
        <w:t xml:space="preserve"> </w:t>
      </w:r>
      <w:r w:rsidR="00C8796E">
        <w:rPr>
          <w:rtl/>
        </w:rPr>
        <w:t>תלמוד לומר</w:t>
      </w:r>
      <w:r w:rsidR="00D05774">
        <w:rPr>
          <w:rFonts w:hint="cs"/>
          <w:rtl/>
        </w:rPr>
        <w:t>:</w:t>
      </w:r>
      <w:r w:rsidR="001C10C8">
        <w:rPr>
          <w:rtl/>
        </w:rPr>
        <w:t xml:space="preserve"> על שלשים ועל רבעים לשנאי</w:t>
      </w:r>
      <w:r w:rsidR="001C10C8">
        <w:rPr>
          <w:rFonts w:hint="cs"/>
          <w:rtl/>
        </w:rPr>
        <w:t>".</w:t>
      </w:r>
      <w:r w:rsidR="00E17B24">
        <w:rPr>
          <w:rStyle w:val="a5"/>
          <w:rtl/>
        </w:rPr>
        <w:footnoteReference w:id="14"/>
      </w:r>
      <w:r w:rsidR="001C10C8">
        <w:rPr>
          <w:rFonts w:hint="cs"/>
          <w:rtl/>
        </w:rPr>
        <w:t xml:space="preserve"> </w:t>
      </w:r>
    </w:p>
    <w:p w:rsidR="008653B2" w:rsidRDefault="008653B2" w:rsidP="008653B2">
      <w:pPr>
        <w:pStyle w:val="ab"/>
        <w:rPr>
          <w:rtl/>
        </w:rPr>
      </w:pPr>
      <w:r>
        <w:rPr>
          <w:rtl/>
        </w:rPr>
        <w:t xml:space="preserve">ספרי במדבר פרשת שלח פיסקא קיב </w:t>
      </w:r>
    </w:p>
    <w:p w:rsidR="00A11C4B" w:rsidRDefault="008653B2" w:rsidP="00A11C4B">
      <w:pPr>
        <w:pStyle w:val="ac"/>
        <w:rPr>
          <w:rFonts w:hint="cs"/>
          <w:rtl/>
        </w:rPr>
      </w:pPr>
      <w:r>
        <w:rPr>
          <w:rFonts w:hint="cs"/>
          <w:rtl/>
        </w:rPr>
        <w:t>"</w:t>
      </w:r>
      <w:r>
        <w:rPr>
          <w:rtl/>
        </w:rPr>
        <w:t>הִכָּרֵת תִּכָּרֵת הַנֶּפֶשׁ הַהִוא עֲוֹנָה בָהּ</w:t>
      </w:r>
      <w:r>
        <w:rPr>
          <w:rFonts w:hint="cs"/>
          <w:rtl/>
        </w:rPr>
        <w:t>" (במדבר טו לא)</w:t>
      </w:r>
      <w:r w:rsidR="00A11C4B">
        <w:rPr>
          <w:rStyle w:val="a5"/>
          <w:rtl/>
        </w:rPr>
        <w:footnoteReference w:id="15"/>
      </w:r>
      <w:r>
        <w:rPr>
          <w:rFonts w:hint="cs"/>
          <w:rtl/>
        </w:rPr>
        <w:t xml:space="preserve"> ...</w:t>
      </w:r>
      <w:r>
        <w:rPr>
          <w:rtl/>
        </w:rPr>
        <w:t xml:space="preserve"> או אפילו עשה תשובה</w:t>
      </w:r>
      <w:r>
        <w:rPr>
          <w:rFonts w:hint="cs"/>
          <w:rtl/>
        </w:rPr>
        <w:t>?</w:t>
      </w:r>
      <w:r>
        <w:rPr>
          <w:rStyle w:val="a5"/>
          <w:rtl/>
        </w:rPr>
        <w:footnoteReference w:id="16"/>
      </w:r>
      <w:r>
        <w:rPr>
          <w:rtl/>
        </w:rPr>
        <w:t xml:space="preserve"> ת</w:t>
      </w:r>
      <w:r>
        <w:rPr>
          <w:rFonts w:hint="cs"/>
          <w:rtl/>
        </w:rPr>
        <w:t>למוד לומר:</w:t>
      </w:r>
      <w:r>
        <w:rPr>
          <w:rtl/>
        </w:rPr>
        <w:t xml:space="preserve"> ע</w:t>
      </w:r>
      <w:r>
        <w:rPr>
          <w:rFonts w:hint="cs"/>
          <w:rtl/>
        </w:rPr>
        <w:t>ו</w:t>
      </w:r>
      <w:r>
        <w:rPr>
          <w:rtl/>
        </w:rPr>
        <w:t xml:space="preserve">ונה בה </w:t>
      </w:r>
      <w:r>
        <w:rPr>
          <w:rFonts w:hint="cs"/>
          <w:rtl/>
        </w:rPr>
        <w:t xml:space="preserve">- </w:t>
      </w:r>
      <w:r>
        <w:rPr>
          <w:rtl/>
        </w:rPr>
        <w:t>ולא כל זמן שעשה תשובה</w:t>
      </w:r>
      <w:r>
        <w:rPr>
          <w:rFonts w:hint="cs"/>
          <w:rtl/>
        </w:rPr>
        <w:t xml:space="preserve"> ...</w:t>
      </w:r>
      <w:r>
        <w:rPr>
          <w:rtl/>
        </w:rPr>
        <w:t xml:space="preserve"> ר' ישמעאל אומר</w:t>
      </w:r>
      <w:r>
        <w:rPr>
          <w:rFonts w:hint="cs"/>
          <w:rtl/>
        </w:rPr>
        <w:t>:</w:t>
      </w:r>
      <w:r>
        <w:rPr>
          <w:rtl/>
        </w:rPr>
        <w:t xml:space="preserve"> ע</w:t>
      </w:r>
      <w:r>
        <w:rPr>
          <w:rFonts w:hint="cs"/>
          <w:rtl/>
        </w:rPr>
        <w:t>ו</w:t>
      </w:r>
      <w:r>
        <w:rPr>
          <w:rtl/>
        </w:rPr>
        <w:t>ונה בה למה נאמר</w:t>
      </w:r>
      <w:r>
        <w:rPr>
          <w:rFonts w:hint="cs"/>
          <w:rtl/>
        </w:rPr>
        <w:t>?</w:t>
      </w:r>
      <w:r>
        <w:rPr>
          <w:rtl/>
        </w:rPr>
        <w:t xml:space="preserve"> לפי שהוא אומר </w:t>
      </w:r>
      <w:r w:rsidR="00A11C4B">
        <w:rPr>
          <w:rFonts w:hint="cs"/>
          <w:rtl/>
        </w:rPr>
        <w:t>"</w:t>
      </w:r>
      <w:r>
        <w:rPr>
          <w:rtl/>
        </w:rPr>
        <w:t>פוקד עון אבות על בנים</w:t>
      </w:r>
      <w:r w:rsidR="00A11C4B">
        <w:rPr>
          <w:rFonts w:hint="cs"/>
          <w:rtl/>
        </w:rPr>
        <w:t>"</w:t>
      </w:r>
      <w:r>
        <w:rPr>
          <w:rtl/>
        </w:rPr>
        <w:t xml:space="preserve"> (שמות כ ה) </w:t>
      </w:r>
      <w:r w:rsidR="00A11C4B">
        <w:rPr>
          <w:rFonts w:hint="cs"/>
          <w:rtl/>
        </w:rPr>
        <w:t xml:space="preserve">- </w:t>
      </w:r>
      <w:r>
        <w:rPr>
          <w:rtl/>
        </w:rPr>
        <w:t>יכול אף ע"ז תהא נפקדת על בנים על שלשים ועל רבעים</w:t>
      </w:r>
      <w:r w:rsidR="00A11C4B">
        <w:rPr>
          <w:rFonts w:hint="cs"/>
          <w:rtl/>
        </w:rPr>
        <w:t>?</w:t>
      </w:r>
      <w:r>
        <w:rPr>
          <w:rtl/>
        </w:rPr>
        <w:t xml:space="preserve"> ת</w:t>
      </w:r>
      <w:r w:rsidR="00A11C4B">
        <w:rPr>
          <w:rFonts w:hint="cs"/>
          <w:rtl/>
        </w:rPr>
        <w:t>למוד לומר: עוונה בה.</w:t>
      </w:r>
      <w:r w:rsidR="00A11C4B">
        <w:rPr>
          <w:rStyle w:val="a5"/>
          <w:rtl/>
        </w:rPr>
        <w:footnoteReference w:id="17"/>
      </w:r>
    </w:p>
    <w:p w:rsidR="00571BFA" w:rsidRDefault="00571BFA" w:rsidP="00571BFA">
      <w:pPr>
        <w:pStyle w:val="ab"/>
        <w:rPr>
          <w:rtl/>
        </w:rPr>
      </w:pPr>
      <w:r>
        <w:rPr>
          <w:rtl/>
        </w:rPr>
        <w:t xml:space="preserve">מסכת סנהדרין דף כז עמוד ב </w:t>
      </w:r>
    </w:p>
    <w:p w:rsidR="00571BFA" w:rsidRDefault="00571BFA" w:rsidP="0056664A">
      <w:pPr>
        <w:pStyle w:val="ac"/>
        <w:rPr>
          <w:rFonts w:hint="cs"/>
          <w:rtl/>
        </w:rPr>
      </w:pPr>
      <w:r>
        <w:rPr>
          <w:rtl/>
        </w:rPr>
        <w:t>גמרא. מנהני מילי?</w:t>
      </w:r>
      <w:r>
        <w:rPr>
          <w:rStyle w:val="a5"/>
          <w:rtl/>
        </w:rPr>
        <w:footnoteReference w:id="18"/>
      </w:r>
      <w:r>
        <w:rPr>
          <w:rtl/>
        </w:rPr>
        <w:t xml:space="preserve"> - דתנו רבנן: </w:t>
      </w:r>
      <w:r>
        <w:rPr>
          <w:rFonts w:hint="cs"/>
          <w:rtl/>
        </w:rPr>
        <w:t>"</w:t>
      </w:r>
      <w:r>
        <w:rPr>
          <w:rtl/>
        </w:rPr>
        <w:t>לא יומתו אבות על בנים</w:t>
      </w:r>
      <w:r>
        <w:rPr>
          <w:rFonts w:hint="cs"/>
          <w:rtl/>
        </w:rPr>
        <w:t>" (</w:t>
      </w:r>
      <w:r>
        <w:rPr>
          <w:rtl/>
        </w:rPr>
        <w:t>דברים כד</w:t>
      </w:r>
      <w:r w:rsidR="000D3303">
        <w:rPr>
          <w:rFonts w:hint="cs"/>
          <w:rtl/>
        </w:rPr>
        <w:t xml:space="preserve"> טז</w:t>
      </w:r>
      <w:r>
        <w:rPr>
          <w:rFonts w:hint="cs"/>
          <w:rtl/>
        </w:rPr>
        <w:t>)</w:t>
      </w:r>
      <w:r>
        <w:rPr>
          <w:rtl/>
        </w:rPr>
        <w:t>, מה תלמוד לומר? אם ללמד שלא ימותו אבות בעון בנים ובנים בעון אבות - הרי כבר נאמר</w:t>
      </w:r>
      <w:r>
        <w:rPr>
          <w:rFonts w:hint="cs"/>
          <w:rtl/>
        </w:rPr>
        <w:t>: "</w:t>
      </w:r>
      <w:r>
        <w:rPr>
          <w:rtl/>
        </w:rPr>
        <w:t>איש בחטאו יומתו</w:t>
      </w:r>
      <w:r>
        <w:rPr>
          <w:rFonts w:hint="cs"/>
          <w:rtl/>
        </w:rPr>
        <w:t>"</w:t>
      </w:r>
      <w:r>
        <w:rPr>
          <w:rtl/>
        </w:rPr>
        <w:t>. אלא, לא יומתו אבות על בנים - בעדות בנים, ובנים לא יומתו על אבות - בעדות אבות.</w:t>
      </w:r>
      <w:r>
        <w:rPr>
          <w:rStyle w:val="a5"/>
          <w:rtl/>
        </w:rPr>
        <w:footnoteReference w:id="19"/>
      </w:r>
      <w:r>
        <w:rPr>
          <w:rtl/>
        </w:rPr>
        <w:t xml:space="preserve"> ובנים בעון אבות לא? והכתיב</w:t>
      </w:r>
      <w:r>
        <w:rPr>
          <w:rFonts w:hint="cs"/>
          <w:rtl/>
        </w:rPr>
        <w:t>:</w:t>
      </w:r>
      <w:r>
        <w:rPr>
          <w:rtl/>
        </w:rPr>
        <w:t xml:space="preserve"> </w:t>
      </w:r>
      <w:r>
        <w:rPr>
          <w:rFonts w:hint="cs"/>
          <w:rtl/>
        </w:rPr>
        <w:t>"</w:t>
      </w:r>
      <w:r>
        <w:rPr>
          <w:rtl/>
        </w:rPr>
        <w:t>פוקד עון אבות על בנים!</w:t>
      </w:r>
      <w:r>
        <w:rPr>
          <w:rFonts w:hint="cs"/>
          <w:rtl/>
        </w:rPr>
        <w:t>"</w:t>
      </w:r>
      <w:r w:rsidRPr="00FE5A1B">
        <w:rPr>
          <w:rtl/>
        </w:rPr>
        <w:t xml:space="preserve"> </w:t>
      </w:r>
      <w:r>
        <w:rPr>
          <w:rFonts w:hint="cs"/>
          <w:rtl/>
        </w:rPr>
        <w:t>(</w:t>
      </w:r>
      <w:r>
        <w:rPr>
          <w:rtl/>
        </w:rPr>
        <w:t>שמות לד</w:t>
      </w:r>
      <w:r>
        <w:rPr>
          <w:rFonts w:hint="cs"/>
          <w:rtl/>
        </w:rPr>
        <w:t xml:space="preserve">) </w:t>
      </w:r>
      <w:r>
        <w:rPr>
          <w:rtl/>
        </w:rPr>
        <w:t xml:space="preserve">- התם כשאוחזין מעשה אבותיהן בידיהן. כדתניא: </w:t>
      </w:r>
      <w:r>
        <w:rPr>
          <w:rFonts w:hint="cs"/>
          <w:rtl/>
        </w:rPr>
        <w:t>"</w:t>
      </w:r>
      <w:r>
        <w:rPr>
          <w:rtl/>
        </w:rPr>
        <w:t>ואף בעונות אבותם אתם ימקו</w:t>
      </w:r>
      <w:r>
        <w:rPr>
          <w:rFonts w:hint="cs"/>
          <w:rtl/>
        </w:rPr>
        <w:t>" (</w:t>
      </w:r>
      <w:r>
        <w:rPr>
          <w:rtl/>
        </w:rPr>
        <w:t>ויקרא כו</w:t>
      </w:r>
      <w:r>
        <w:rPr>
          <w:rFonts w:hint="cs"/>
          <w:rtl/>
        </w:rPr>
        <w:t xml:space="preserve"> לט)</w:t>
      </w:r>
      <w:r>
        <w:rPr>
          <w:rtl/>
        </w:rPr>
        <w:t xml:space="preserve">  - כשאוחזין מעשה אבותיהם בידיהם.</w:t>
      </w:r>
      <w:r>
        <w:rPr>
          <w:rStyle w:val="a5"/>
          <w:rtl/>
        </w:rPr>
        <w:footnoteReference w:id="20"/>
      </w:r>
      <w:r>
        <w:rPr>
          <w:rtl/>
        </w:rPr>
        <w:t xml:space="preserve"> </w:t>
      </w:r>
      <w:r>
        <w:rPr>
          <w:rFonts w:hint="cs"/>
          <w:rtl/>
        </w:rPr>
        <w:t xml:space="preserve">... </w:t>
      </w:r>
      <w:r>
        <w:rPr>
          <w:rtl/>
        </w:rPr>
        <w:t xml:space="preserve">ולא? והכתיב: </w:t>
      </w:r>
      <w:r w:rsidR="00BE3584">
        <w:rPr>
          <w:rFonts w:hint="cs"/>
          <w:rtl/>
        </w:rPr>
        <w:t>"</w:t>
      </w:r>
      <w:r>
        <w:rPr>
          <w:rtl/>
        </w:rPr>
        <w:t>וכשלו איש באחיו</w:t>
      </w:r>
      <w:r w:rsidR="00BE3584">
        <w:rPr>
          <w:rFonts w:hint="cs"/>
          <w:rtl/>
        </w:rPr>
        <w:t>" (</w:t>
      </w:r>
      <w:r w:rsidR="00BE3584">
        <w:rPr>
          <w:rtl/>
        </w:rPr>
        <w:t xml:space="preserve">ויקרא </w:t>
      </w:r>
      <w:r w:rsidR="00BE3584">
        <w:rPr>
          <w:rFonts w:hint="cs"/>
          <w:rtl/>
        </w:rPr>
        <w:t>כו</w:t>
      </w:r>
      <w:r w:rsidR="0056664A">
        <w:rPr>
          <w:rFonts w:hint="cs"/>
          <w:rtl/>
        </w:rPr>
        <w:t xml:space="preserve"> </w:t>
      </w:r>
      <w:r w:rsidR="00BE3584">
        <w:rPr>
          <w:rFonts w:hint="cs"/>
          <w:rtl/>
        </w:rPr>
        <w:t>לז)</w:t>
      </w:r>
      <w:r>
        <w:rPr>
          <w:rtl/>
        </w:rPr>
        <w:t xml:space="preserve"> - איש בעון אחיו, מלמד שכולן ערבים זה בזה! - התם שהיה בידם למחות ולא מיחו.</w:t>
      </w:r>
      <w:r w:rsidR="00BE3584">
        <w:rPr>
          <w:rStyle w:val="a5"/>
          <w:rtl/>
        </w:rPr>
        <w:footnoteReference w:id="21"/>
      </w:r>
    </w:p>
    <w:p w:rsidR="00B823FF" w:rsidRDefault="00B823FF" w:rsidP="00D26492">
      <w:pPr>
        <w:pStyle w:val="ab"/>
        <w:rPr>
          <w:rtl/>
        </w:rPr>
      </w:pPr>
      <w:r>
        <w:rPr>
          <w:rtl/>
        </w:rPr>
        <w:t xml:space="preserve">מסכת ברכות דף ז עמוד א </w:t>
      </w:r>
    </w:p>
    <w:p w:rsidR="00B823FF" w:rsidRDefault="00B823FF" w:rsidP="0056664A">
      <w:pPr>
        <w:pStyle w:val="ac"/>
        <w:rPr>
          <w:rtl/>
        </w:rPr>
      </w:pPr>
      <w:r>
        <w:rPr>
          <w:rtl/>
        </w:rPr>
        <w:t xml:space="preserve">ואמר רבי יוחנן משום רבי יוסי: שלשה דברים בקש משה מלפני </w:t>
      </w:r>
      <w:r w:rsidR="00C82B5C">
        <w:rPr>
          <w:rtl/>
        </w:rPr>
        <w:t>הקב"ה</w:t>
      </w:r>
      <w:r>
        <w:rPr>
          <w:rtl/>
        </w:rPr>
        <w:t xml:space="preserve"> ונתן לו</w:t>
      </w:r>
      <w:r w:rsidR="0056664A">
        <w:rPr>
          <w:rFonts w:hint="cs"/>
          <w:rtl/>
        </w:rPr>
        <w:t>.</w:t>
      </w:r>
      <w:r>
        <w:rPr>
          <w:rtl/>
        </w:rPr>
        <w:t xml:space="preserve"> בקש שתשרה שכינה על ישראל ונתן לו</w:t>
      </w:r>
      <w:r w:rsidR="00D26492">
        <w:rPr>
          <w:rFonts w:hint="cs"/>
          <w:rtl/>
        </w:rPr>
        <w:t xml:space="preserve"> ... ב</w:t>
      </w:r>
      <w:r>
        <w:rPr>
          <w:rtl/>
        </w:rPr>
        <w:t>קש שלא תשרה שכינה על אומות העולם ונתן לו</w:t>
      </w:r>
      <w:r w:rsidR="00D26492">
        <w:rPr>
          <w:rFonts w:hint="cs"/>
          <w:rtl/>
        </w:rPr>
        <w:t xml:space="preserve"> ... </w:t>
      </w:r>
      <w:r>
        <w:rPr>
          <w:rtl/>
        </w:rPr>
        <w:t xml:space="preserve">בקש להודיעו דרכיו של </w:t>
      </w:r>
      <w:r w:rsidR="00C82B5C">
        <w:rPr>
          <w:rtl/>
        </w:rPr>
        <w:t>הקב"ה</w:t>
      </w:r>
      <w:r>
        <w:rPr>
          <w:rtl/>
        </w:rPr>
        <w:t xml:space="preserve"> ונתן לו, שנאמר: </w:t>
      </w:r>
      <w:r w:rsidR="00D26492">
        <w:rPr>
          <w:rFonts w:hint="cs"/>
          <w:rtl/>
        </w:rPr>
        <w:t>"</w:t>
      </w:r>
      <w:r>
        <w:rPr>
          <w:rtl/>
        </w:rPr>
        <w:t>הודיעני נא את דרכיך</w:t>
      </w:r>
      <w:r w:rsidR="00D26492">
        <w:rPr>
          <w:rFonts w:hint="cs"/>
          <w:rtl/>
        </w:rPr>
        <w:t xml:space="preserve"> ואדעך" (</w:t>
      </w:r>
      <w:r w:rsidR="00D26492">
        <w:rPr>
          <w:rtl/>
        </w:rPr>
        <w:t>שמות לג</w:t>
      </w:r>
      <w:r w:rsidR="00D26492">
        <w:rPr>
          <w:rFonts w:hint="cs"/>
          <w:rtl/>
        </w:rPr>
        <w:t xml:space="preserve"> יג)</w:t>
      </w:r>
      <w:r>
        <w:rPr>
          <w:rtl/>
        </w:rPr>
        <w:t>; אמר לפניו: ר</w:t>
      </w:r>
      <w:r w:rsidR="00D26492">
        <w:rPr>
          <w:rFonts w:hint="cs"/>
          <w:rtl/>
        </w:rPr>
        <w:t>י</w:t>
      </w:r>
      <w:r>
        <w:rPr>
          <w:rtl/>
        </w:rPr>
        <w:t>בונו של עולם! מפני מה יש צדיק וטוב לו ויש צדיק ורע לו, יש רשע וטוב לו ויש רשע ורע לו? אמר לו: משה, צדיק וטוב לו - צדיק בן צדיק, צדיק ורע לו - צדיק בן רשע, רשע וטוב לו - רשע בן צדיק, רשע ורע לו - רשע בן רשע.</w:t>
      </w:r>
      <w:r w:rsidR="00D26492">
        <w:rPr>
          <w:rStyle w:val="a5"/>
          <w:rtl/>
        </w:rPr>
        <w:footnoteReference w:id="22"/>
      </w:r>
      <w:r>
        <w:rPr>
          <w:rtl/>
        </w:rPr>
        <w:t xml:space="preserve"> </w:t>
      </w:r>
    </w:p>
    <w:p w:rsidR="006C1646" w:rsidRDefault="00B823FF" w:rsidP="00D05F21">
      <w:pPr>
        <w:pStyle w:val="ac"/>
        <w:rPr>
          <w:rFonts w:hint="cs"/>
          <w:rtl/>
        </w:rPr>
      </w:pPr>
      <w:r>
        <w:rPr>
          <w:rtl/>
        </w:rPr>
        <w:t xml:space="preserve">איני? והא כתיב: </w:t>
      </w:r>
      <w:r w:rsidR="0056664A">
        <w:rPr>
          <w:rFonts w:hint="cs"/>
          <w:rtl/>
        </w:rPr>
        <w:t>"</w:t>
      </w:r>
      <w:r>
        <w:rPr>
          <w:rtl/>
        </w:rPr>
        <w:t>פ</w:t>
      </w:r>
      <w:r w:rsidR="00D26492">
        <w:rPr>
          <w:rFonts w:hint="cs"/>
          <w:rtl/>
        </w:rPr>
        <w:t>ו</w:t>
      </w:r>
      <w:r>
        <w:rPr>
          <w:rtl/>
        </w:rPr>
        <w:t>קד עון אבות על בנים</w:t>
      </w:r>
      <w:r w:rsidR="0056664A">
        <w:rPr>
          <w:rFonts w:hint="cs"/>
          <w:rtl/>
        </w:rPr>
        <w:t>"</w:t>
      </w:r>
      <w:r>
        <w:rPr>
          <w:rtl/>
        </w:rPr>
        <w:t xml:space="preserve">, וכתיב: </w:t>
      </w:r>
      <w:r w:rsidR="0056664A">
        <w:rPr>
          <w:rFonts w:hint="cs"/>
          <w:rtl/>
        </w:rPr>
        <w:t>"</w:t>
      </w:r>
      <w:r>
        <w:rPr>
          <w:rtl/>
        </w:rPr>
        <w:t>ובנים לא יומתו על אבות</w:t>
      </w:r>
      <w:r w:rsidR="0056664A">
        <w:rPr>
          <w:rFonts w:hint="cs"/>
          <w:rtl/>
        </w:rPr>
        <w:t>"</w:t>
      </w:r>
      <w:r>
        <w:rPr>
          <w:rtl/>
        </w:rPr>
        <w:t xml:space="preserve"> ורמינן קראי אהדדי ומשנינן: לא קשיא, הא - כשאוחזין מעשה אבותיהם בידיהם, הא - כשאין אוחזין מעשה אבותיהם בידיהם!</w:t>
      </w:r>
      <w:r w:rsidR="00F72D64">
        <w:rPr>
          <w:rStyle w:val="a5"/>
          <w:rtl/>
        </w:rPr>
        <w:footnoteReference w:id="23"/>
      </w:r>
      <w:r>
        <w:rPr>
          <w:rtl/>
        </w:rPr>
        <w:t xml:space="preserve"> אלא, הכי קאמר ליה: צדיק וטוב לו - צדיק גמור, צדיק ורע לו - צדיק שאינו גמור, רשע וטוב לו - רשע שאינו גמור, רשע ורע לו - רשע גמור.</w:t>
      </w:r>
      <w:r w:rsidR="00655468">
        <w:rPr>
          <w:rStyle w:val="a5"/>
          <w:rtl/>
        </w:rPr>
        <w:footnoteReference w:id="24"/>
      </w:r>
    </w:p>
    <w:p w:rsidR="001816AF" w:rsidRPr="001816AF" w:rsidRDefault="001816AF" w:rsidP="000A0315">
      <w:pPr>
        <w:pStyle w:val="ab"/>
        <w:rPr>
          <w:rtl/>
        </w:rPr>
      </w:pPr>
      <w:r w:rsidRPr="001816AF">
        <w:rPr>
          <w:rtl/>
        </w:rPr>
        <w:t xml:space="preserve">במדבר רבה </w:t>
      </w:r>
      <w:r w:rsidR="000A0315">
        <w:rPr>
          <w:rFonts w:hint="cs"/>
          <w:rtl/>
        </w:rPr>
        <w:t xml:space="preserve">יט לג, </w:t>
      </w:r>
      <w:r w:rsidR="000A0315">
        <w:rPr>
          <w:rtl/>
        </w:rPr>
        <w:t xml:space="preserve">פרשת חקת </w:t>
      </w:r>
    </w:p>
    <w:p w:rsidR="006C08ED" w:rsidRDefault="001816AF" w:rsidP="0056664A">
      <w:pPr>
        <w:pStyle w:val="ac"/>
        <w:rPr>
          <w:rFonts w:hint="cs"/>
          <w:rtl/>
        </w:rPr>
      </w:pPr>
      <w:r w:rsidRPr="001816AF">
        <w:rPr>
          <w:rtl/>
        </w:rPr>
        <w:t xml:space="preserve">זה אחד מג' דברים שאמר משה לפני </w:t>
      </w:r>
      <w:r w:rsidR="00C82B5C">
        <w:rPr>
          <w:rtl/>
        </w:rPr>
        <w:t>הקב"ה</w:t>
      </w:r>
      <w:r w:rsidRPr="001816AF">
        <w:rPr>
          <w:rtl/>
        </w:rPr>
        <w:t xml:space="preserve"> וא"ל</w:t>
      </w:r>
      <w:r w:rsidR="006C08ED">
        <w:rPr>
          <w:rFonts w:hint="cs"/>
          <w:rtl/>
        </w:rPr>
        <w:t>:</w:t>
      </w:r>
      <w:r w:rsidRPr="001816AF">
        <w:rPr>
          <w:rtl/>
        </w:rPr>
        <w:t xml:space="preserve"> למדתני</w:t>
      </w:r>
      <w:r w:rsidR="006C08ED">
        <w:rPr>
          <w:rFonts w:hint="cs"/>
          <w:rtl/>
        </w:rPr>
        <w:t>.</w:t>
      </w:r>
      <w:r w:rsidR="006C08ED">
        <w:rPr>
          <w:rStyle w:val="a5"/>
          <w:rtl/>
        </w:rPr>
        <w:footnoteReference w:id="25"/>
      </w:r>
      <w:r w:rsidRPr="001816AF">
        <w:rPr>
          <w:rtl/>
        </w:rPr>
        <w:t xml:space="preserve"> אמר לפניו</w:t>
      </w:r>
      <w:r w:rsidR="006C08ED">
        <w:rPr>
          <w:rFonts w:hint="cs"/>
          <w:rtl/>
        </w:rPr>
        <w:t>:</w:t>
      </w:r>
      <w:r w:rsidRPr="001816AF">
        <w:rPr>
          <w:rtl/>
        </w:rPr>
        <w:t xml:space="preserve"> רבש"ע</w:t>
      </w:r>
      <w:r w:rsidR="006C08ED">
        <w:rPr>
          <w:rFonts w:hint="cs"/>
          <w:rtl/>
        </w:rPr>
        <w:t>,</w:t>
      </w:r>
      <w:r w:rsidRPr="001816AF">
        <w:rPr>
          <w:rtl/>
        </w:rPr>
        <w:t xml:space="preserve"> מנין ישראל יודעין מה עשו</w:t>
      </w:r>
      <w:r w:rsidR="006C08ED">
        <w:rPr>
          <w:rFonts w:hint="cs"/>
          <w:rtl/>
        </w:rPr>
        <w:t>?</w:t>
      </w:r>
      <w:r w:rsidRPr="001816AF">
        <w:rPr>
          <w:rtl/>
        </w:rPr>
        <w:t xml:space="preserve"> לא במצרים נתגדלו</w:t>
      </w:r>
      <w:r w:rsidR="0056664A">
        <w:rPr>
          <w:rFonts w:hint="cs"/>
          <w:rtl/>
        </w:rPr>
        <w:t>?</w:t>
      </w:r>
      <w:r w:rsidRPr="001816AF">
        <w:rPr>
          <w:rtl/>
        </w:rPr>
        <w:t xml:space="preserve"> וכל מצרים עובדי עבודת כוכבים הם</w:t>
      </w:r>
      <w:r w:rsidR="006C08ED">
        <w:rPr>
          <w:rFonts w:hint="cs"/>
          <w:rtl/>
        </w:rPr>
        <w:t>!</w:t>
      </w:r>
      <w:r w:rsidRPr="001816AF">
        <w:rPr>
          <w:rtl/>
        </w:rPr>
        <w:t xml:space="preserve"> וכשנתת את התורה לא נתת אותה להם ואף לא היו עומדין שם</w:t>
      </w:r>
      <w:r w:rsidR="00173969">
        <w:rPr>
          <w:rFonts w:hint="cs"/>
          <w:rtl/>
        </w:rPr>
        <w:t xml:space="preserve"> ... </w:t>
      </w:r>
      <w:r w:rsidRPr="001816AF">
        <w:rPr>
          <w:rtl/>
        </w:rPr>
        <w:t xml:space="preserve">ולא נתת אותה אלא לי </w:t>
      </w:r>
      <w:r w:rsidR="00173969">
        <w:rPr>
          <w:rFonts w:hint="cs"/>
          <w:rtl/>
        </w:rPr>
        <w:t xml:space="preserve">... </w:t>
      </w:r>
      <w:r w:rsidRPr="001816AF">
        <w:rPr>
          <w:rtl/>
        </w:rPr>
        <w:t>וכשנתת את הדברות לא נתת להם</w:t>
      </w:r>
      <w:r w:rsidR="00173969">
        <w:rPr>
          <w:rFonts w:hint="cs"/>
          <w:rtl/>
        </w:rPr>
        <w:t>.</w:t>
      </w:r>
      <w:r w:rsidRPr="001816AF">
        <w:rPr>
          <w:rtl/>
        </w:rPr>
        <w:t xml:space="preserve"> לא אמרת </w:t>
      </w:r>
      <w:r w:rsidR="00173969">
        <w:rPr>
          <w:rFonts w:hint="cs"/>
          <w:rtl/>
        </w:rPr>
        <w:t>"</w:t>
      </w:r>
      <w:r w:rsidRPr="001816AF">
        <w:rPr>
          <w:rtl/>
        </w:rPr>
        <w:t>אני ה' אלהיכם</w:t>
      </w:r>
      <w:r w:rsidR="00173969">
        <w:rPr>
          <w:rFonts w:hint="cs"/>
          <w:rtl/>
        </w:rPr>
        <w:t>",</w:t>
      </w:r>
      <w:r w:rsidRPr="001816AF">
        <w:rPr>
          <w:rtl/>
        </w:rPr>
        <w:t xml:space="preserve"> אלא </w:t>
      </w:r>
      <w:r w:rsidR="00173969">
        <w:rPr>
          <w:rFonts w:hint="cs"/>
          <w:rtl/>
        </w:rPr>
        <w:t>"</w:t>
      </w:r>
      <w:r w:rsidRPr="001816AF">
        <w:rPr>
          <w:rtl/>
        </w:rPr>
        <w:t>אנכי ה' אלהיך</w:t>
      </w:r>
      <w:r w:rsidR="00173969">
        <w:rPr>
          <w:rFonts w:hint="cs"/>
          <w:rtl/>
        </w:rPr>
        <w:t>",</w:t>
      </w:r>
      <w:r w:rsidRPr="001816AF">
        <w:rPr>
          <w:rtl/>
        </w:rPr>
        <w:t xml:space="preserve"> לי אמרת</w:t>
      </w:r>
      <w:r w:rsidR="00173969">
        <w:rPr>
          <w:rFonts w:hint="cs"/>
          <w:rtl/>
        </w:rPr>
        <w:t>!</w:t>
      </w:r>
      <w:r w:rsidRPr="001816AF">
        <w:rPr>
          <w:rtl/>
        </w:rPr>
        <w:t xml:space="preserve"> שמא חטאתי</w:t>
      </w:r>
      <w:r w:rsidR="00173969">
        <w:rPr>
          <w:rFonts w:hint="cs"/>
          <w:rtl/>
        </w:rPr>
        <w:t>?</w:t>
      </w:r>
      <w:r w:rsidRPr="001816AF">
        <w:rPr>
          <w:rtl/>
        </w:rPr>
        <w:t xml:space="preserve"> אמר לו </w:t>
      </w:r>
      <w:r w:rsidR="00C82B5C">
        <w:rPr>
          <w:rtl/>
        </w:rPr>
        <w:t>הקב"ה</w:t>
      </w:r>
      <w:r w:rsidR="00173969">
        <w:rPr>
          <w:rFonts w:hint="cs"/>
          <w:rtl/>
        </w:rPr>
        <w:t>:</w:t>
      </w:r>
      <w:r w:rsidRPr="001816AF">
        <w:rPr>
          <w:rtl/>
        </w:rPr>
        <w:t xml:space="preserve"> חייך יפה אמרת</w:t>
      </w:r>
      <w:r w:rsidR="0056664A">
        <w:rPr>
          <w:rFonts w:hint="cs"/>
          <w:rtl/>
        </w:rPr>
        <w:t>,</w:t>
      </w:r>
      <w:r w:rsidRPr="001816AF">
        <w:rPr>
          <w:rtl/>
        </w:rPr>
        <w:t xml:space="preserve"> למדתני</w:t>
      </w:r>
      <w:r w:rsidR="0056664A">
        <w:rPr>
          <w:rFonts w:hint="cs"/>
          <w:rtl/>
        </w:rPr>
        <w:t>.</w:t>
      </w:r>
      <w:r w:rsidRPr="001816AF">
        <w:rPr>
          <w:rtl/>
        </w:rPr>
        <w:t xml:space="preserve"> מכאן ואילך אני אומר בלשון </w:t>
      </w:r>
      <w:r w:rsidR="00A02383">
        <w:rPr>
          <w:rFonts w:hint="cs"/>
          <w:rtl/>
        </w:rPr>
        <w:t>"</w:t>
      </w:r>
      <w:r w:rsidRPr="001816AF">
        <w:rPr>
          <w:rtl/>
        </w:rPr>
        <w:t>אני ה' אלהיכם</w:t>
      </w:r>
      <w:r w:rsidR="00A02383">
        <w:rPr>
          <w:rFonts w:hint="cs"/>
          <w:rtl/>
        </w:rPr>
        <w:t>"</w:t>
      </w:r>
      <w:r w:rsidR="006C08ED">
        <w:rPr>
          <w:rFonts w:hint="cs"/>
          <w:rtl/>
        </w:rPr>
        <w:t>.</w:t>
      </w:r>
      <w:r w:rsidR="00173969">
        <w:rPr>
          <w:rStyle w:val="a5"/>
          <w:rtl/>
        </w:rPr>
        <w:footnoteReference w:id="26"/>
      </w:r>
    </w:p>
    <w:p w:rsidR="006C08ED" w:rsidRDefault="001816AF" w:rsidP="008D71C7">
      <w:pPr>
        <w:pStyle w:val="ac"/>
        <w:rPr>
          <w:rFonts w:hint="cs"/>
          <w:rtl/>
        </w:rPr>
      </w:pPr>
      <w:r w:rsidRPr="001816AF">
        <w:rPr>
          <w:rtl/>
        </w:rPr>
        <w:t>השנ</w:t>
      </w:r>
      <w:r w:rsidR="00CE3F10">
        <w:rPr>
          <w:rFonts w:hint="cs"/>
          <w:rtl/>
        </w:rPr>
        <w:t>י</w:t>
      </w:r>
      <w:r w:rsidRPr="001816AF">
        <w:rPr>
          <w:rtl/>
        </w:rPr>
        <w:t>יה</w:t>
      </w:r>
      <w:r w:rsidR="00CE3F10">
        <w:rPr>
          <w:rFonts w:hint="cs"/>
          <w:rtl/>
        </w:rPr>
        <w:t>,</w:t>
      </w:r>
      <w:r w:rsidRPr="001816AF">
        <w:rPr>
          <w:rtl/>
        </w:rPr>
        <w:t xml:space="preserve"> כשאמר לו </w:t>
      </w:r>
      <w:r w:rsidR="00C82B5C">
        <w:rPr>
          <w:rtl/>
        </w:rPr>
        <w:t>הקב"ה</w:t>
      </w:r>
      <w:r w:rsidR="008D71C7">
        <w:rPr>
          <w:rFonts w:hint="cs"/>
          <w:rtl/>
        </w:rPr>
        <w:t>:</w:t>
      </w:r>
      <w:r w:rsidRPr="001816AF">
        <w:rPr>
          <w:rtl/>
        </w:rPr>
        <w:t xml:space="preserve"> פוקד עון אבות על בנים</w:t>
      </w:r>
      <w:r w:rsidR="008D71C7">
        <w:rPr>
          <w:rFonts w:hint="cs"/>
          <w:rtl/>
        </w:rPr>
        <w:t>.</w:t>
      </w:r>
      <w:r w:rsidRPr="001816AF">
        <w:rPr>
          <w:rtl/>
        </w:rPr>
        <w:t xml:space="preserve"> אמר משה</w:t>
      </w:r>
      <w:r w:rsidR="008D71C7">
        <w:rPr>
          <w:rFonts w:hint="cs"/>
          <w:rtl/>
        </w:rPr>
        <w:t>:</w:t>
      </w:r>
      <w:r w:rsidRPr="001816AF">
        <w:rPr>
          <w:rtl/>
        </w:rPr>
        <w:t xml:space="preserve"> רבש"ע כמה רשעים הולידו צדיקים</w:t>
      </w:r>
      <w:r w:rsidR="008D71C7">
        <w:rPr>
          <w:rFonts w:hint="cs"/>
          <w:rtl/>
        </w:rPr>
        <w:t>,</w:t>
      </w:r>
      <w:r w:rsidRPr="001816AF">
        <w:rPr>
          <w:rtl/>
        </w:rPr>
        <w:t xml:space="preserve"> יהיו נוטלין מעונות אביהם</w:t>
      </w:r>
      <w:r w:rsidR="008D71C7">
        <w:rPr>
          <w:rFonts w:hint="cs"/>
          <w:rtl/>
        </w:rPr>
        <w:t>?</w:t>
      </w:r>
      <w:r w:rsidRPr="001816AF">
        <w:rPr>
          <w:rtl/>
        </w:rPr>
        <w:t xml:space="preserve"> תרח עובד צלמים ואברהם בנו צדיק</w:t>
      </w:r>
      <w:r w:rsidR="008D71C7">
        <w:rPr>
          <w:rFonts w:hint="cs"/>
          <w:rtl/>
        </w:rPr>
        <w:t>.</w:t>
      </w:r>
      <w:r w:rsidRPr="001816AF">
        <w:rPr>
          <w:rtl/>
        </w:rPr>
        <w:t xml:space="preserve"> וכן חזקיה צדיק ואחז אביו רשע</w:t>
      </w:r>
      <w:r w:rsidR="008D71C7">
        <w:rPr>
          <w:rFonts w:hint="cs"/>
          <w:rtl/>
        </w:rPr>
        <w:t>.</w:t>
      </w:r>
      <w:r w:rsidRPr="001816AF">
        <w:rPr>
          <w:rtl/>
        </w:rPr>
        <w:t xml:space="preserve"> וכן יאשיה צדיק ואמון אביו רשע</w:t>
      </w:r>
      <w:r w:rsidR="008D71C7">
        <w:rPr>
          <w:rFonts w:hint="cs"/>
          <w:rtl/>
        </w:rPr>
        <w:t>.</w:t>
      </w:r>
      <w:r w:rsidRPr="001816AF">
        <w:rPr>
          <w:rtl/>
        </w:rPr>
        <w:t xml:space="preserve"> וכן נאה שיהו הצדיקים לוקין בעון אביהם</w:t>
      </w:r>
      <w:r w:rsidR="008D71C7">
        <w:rPr>
          <w:rFonts w:hint="cs"/>
          <w:rtl/>
        </w:rPr>
        <w:t>?!</w:t>
      </w:r>
      <w:r w:rsidRPr="001816AF">
        <w:rPr>
          <w:rtl/>
        </w:rPr>
        <w:t xml:space="preserve"> אמר לו </w:t>
      </w:r>
      <w:r w:rsidR="00C82B5C">
        <w:rPr>
          <w:rtl/>
        </w:rPr>
        <w:t>הקב"ה</w:t>
      </w:r>
      <w:r w:rsidR="008D71C7">
        <w:rPr>
          <w:rFonts w:hint="cs"/>
          <w:rtl/>
        </w:rPr>
        <w:t>:</w:t>
      </w:r>
      <w:r w:rsidRPr="001816AF">
        <w:rPr>
          <w:rtl/>
        </w:rPr>
        <w:t xml:space="preserve"> למדתני, חייך שאני מבטל דברי ומקיים דבריך</w:t>
      </w:r>
      <w:r w:rsidR="008D71C7">
        <w:rPr>
          <w:rFonts w:hint="cs"/>
          <w:rtl/>
        </w:rPr>
        <w:t>,</w:t>
      </w:r>
      <w:r w:rsidRPr="001816AF">
        <w:rPr>
          <w:rtl/>
        </w:rPr>
        <w:t xml:space="preserve"> שנאמר</w:t>
      </w:r>
      <w:r w:rsidR="008D71C7">
        <w:rPr>
          <w:rFonts w:hint="cs"/>
          <w:rtl/>
        </w:rPr>
        <w:t>:</w:t>
      </w:r>
      <w:r w:rsidRPr="001816AF">
        <w:rPr>
          <w:rtl/>
        </w:rPr>
        <w:t xml:space="preserve"> </w:t>
      </w:r>
      <w:r w:rsidR="008D71C7">
        <w:rPr>
          <w:rFonts w:hint="cs"/>
          <w:rtl/>
        </w:rPr>
        <w:t>"</w:t>
      </w:r>
      <w:r w:rsidRPr="001816AF">
        <w:rPr>
          <w:rtl/>
        </w:rPr>
        <w:t>לא יומתו אבות על בנים ובנים לא יומתו על אבות</w:t>
      </w:r>
      <w:r w:rsidR="008D71C7">
        <w:rPr>
          <w:rFonts w:hint="cs"/>
          <w:rtl/>
        </w:rPr>
        <w:t xml:space="preserve">" </w:t>
      </w:r>
      <w:r w:rsidR="008D71C7" w:rsidRPr="001816AF">
        <w:rPr>
          <w:rtl/>
        </w:rPr>
        <w:t>(דברים כד</w:t>
      </w:r>
      <w:r w:rsidR="008D71C7">
        <w:rPr>
          <w:rFonts w:hint="cs"/>
          <w:rtl/>
        </w:rPr>
        <w:t xml:space="preserve"> טז</w:t>
      </w:r>
      <w:r w:rsidR="008D71C7" w:rsidRPr="001816AF">
        <w:rPr>
          <w:rtl/>
        </w:rPr>
        <w:t>)</w:t>
      </w:r>
      <w:r w:rsidRPr="001816AF">
        <w:rPr>
          <w:rtl/>
        </w:rPr>
        <w:t>, וחייך שאני כותבן לשמך שנאמר</w:t>
      </w:r>
      <w:r w:rsidR="008D71C7">
        <w:rPr>
          <w:rFonts w:hint="cs"/>
          <w:rtl/>
        </w:rPr>
        <w:t xml:space="preserve">: "ואת בני המכים לא המית </w:t>
      </w:r>
      <w:r w:rsidRPr="001816AF">
        <w:rPr>
          <w:rtl/>
        </w:rPr>
        <w:t>ככתוב בספר תורת משה אשר צוה ה' וגו'</w:t>
      </w:r>
      <w:r w:rsidR="008D71C7">
        <w:rPr>
          <w:rFonts w:hint="cs"/>
          <w:rtl/>
        </w:rPr>
        <w:t xml:space="preserve"> "</w:t>
      </w:r>
      <w:r w:rsidR="006C08ED">
        <w:rPr>
          <w:rFonts w:hint="cs"/>
          <w:rtl/>
        </w:rPr>
        <w:t>.</w:t>
      </w:r>
      <w:r w:rsidR="008D71C7" w:rsidRPr="008D71C7">
        <w:rPr>
          <w:rtl/>
        </w:rPr>
        <w:t xml:space="preserve"> </w:t>
      </w:r>
      <w:r w:rsidR="008D71C7" w:rsidRPr="001816AF">
        <w:rPr>
          <w:rtl/>
        </w:rPr>
        <w:t>(מלכים ב יד)</w:t>
      </w:r>
      <w:r w:rsidR="00060A34">
        <w:rPr>
          <w:rFonts w:hint="cs"/>
          <w:rtl/>
        </w:rPr>
        <w:t>.</w:t>
      </w:r>
      <w:r w:rsidR="00060A34">
        <w:rPr>
          <w:rStyle w:val="a5"/>
          <w:rtl/>
        </w:rPr>
        <w:footnoteReference w:id="27"/>
      </w:r>
    </w:p>
    <w:p w:rsidR="00350E7E" w:rsidRDefault="001816AF" w:rsidP="00DC486D">
      <w:pPr>
        <w:pStyle w:val="ac"/>
        <w:rPr>
          <w:rFonts w:hint="cs"/>
          <w:rtl/>
        </w:rPr>
      </w:pPr>
      <w:r w:rsidRPr="001816AF">
        <w:rPr>
          <w:rtl/>
        </w:rPr>
        <w:t xml:space="preserve">השלישית כשאמר לו </w:t>
      </w:r>
      <w:r w:rsidR="00C82B5C">
        <w:rPr>
          <w:rtl/>
        </w:rPr>
        <w:t>הקב"ה</w:t>
      </w:r>
      <w:r w:rsidRPr="001816AF">
        <w:rPr>
          <w:rtl/>
        </w:rPr>
        <w:t xml:space="preserve"> עשה מלחמה עם סיחון </w:t>
      </w:r>
      <w:r w:rsidR="00DC486D">
        <w:rPr>
          <w:rFonts w:hint="cs"/>
          <w:rtl/>
        </w:rPr>
        <w:t>...</w:t>
      </w:r>
      <w:r w:rsidRPr="001816AF">
        <w:rPr>
          <w:rtl/>
        </w:rPr>
        <w:t xml:space="preserve"> ומשה לא עשה כן</w:t>
      </w:r>
      <w:r w:rsidR="00DC486D">
        <w:rPr>
          <w:rFonts w:hint="cs"/>
          <w:rtl/>
        </w:rPr>
        <w:t xml:space="preserve"> ... </w:t>
      </w:r>
      <w:r w:rsidRPr="001816AF">
        <w:rPr>
          <w:rtl/>
        </w:rPr>
        <w:t xml:space="preserve">א"ל </w:t>
      </w:r>
      <w:r w:rsidR="00C82B5C">
        <w:rPr>
          <w:rtl/>
        </w:rPr>
        <w:t>הקב"ה</w:t>
      </w:r>
      <w:r w:rsidR="00DC486D">
        <w:rPr>
          <w:rFonts w:hint="cs"/>
          <w:rtl/>
        </w:rPr>
        <w:t>:</w:t>
      </w:r>
      <w:r w:rsidRPr="001816AF">
        <w:rPr>
          <w:rtl/>
        </w:rPr>
        <w:t xml:space="preserve"> חייך שאני מבטל דברי ומקיים דבריך</w:t>
      </w:r>
      <w:r w:rsidR="00DC486D">
        <w:rPr>
          <w:rFonts w:hint="cs"/>
          <w:rtl/>
        </w:rPr>
        <w:t>,</w:t>
      </w:r>
      <w:r w:rsidRPr="001816AF">
        <w:rPr>
          <w:rtl/>
        </w:rPr>
        <w:t xml:space="preserve"> שנא</w:t>
      </w:r>
      <w:r w:rsidR="00DC486D">
        <w:rPr>
          <w:rFonts w:hint="cs"/>
          <w:rtl/>
        </w:rPr>
        <w:t>מר: "</w:t>
      </w:r>
      <w:r w:rsidRPr="001816AF">
        <w:rPr>
          <w:rtl/>
        </w:rPr>
        <w:t>כי תקרב אל עיר לה</w:t>
      </w:r>
      <w:r w:rsidR="00DC486D">
        <w:rPr>
          <w:rFonts w:hint="cs"/>
          <w:rtl/>
        </w:rPr>
        <w:t>י</w:t>
      </w:r>
      <w:r w:rsidRPr="001816AF">
        <w:rPr>
          <w:rtl/>
        </w:rPr>
        <w:t>לחם עליה וקראת אליה לשלום</w:t>
      </w:r>
      <w:r w:rsidR="00DC486D">
        <w:rPr>
          <w:rFonts w:hint="cs"/>
          <w:rtl/>
        </w:rPr>
        <w:t xml:space="preserve">" </w:t>
      </w:r>
      <w:r w:rsidR="00DC486D" w:rsidRPr="001816AF">
        <w:rPr>
          <w:rtl/>
        </w:rPr>
        <w:t>(</w:t>
      </w:r>
      <w:r w:rsidR="00DC486D">
        <w:rPr>
          <w:rtl/>
        </w:rPr>
        <w:t>דברים</w:t>
      </w:r>
      <w:r w:rsidR="00DC486D" w:rsidRPr="001816AF">
        <w:rPr>
          <w:rtl/>
        </w:rPr>
        <w:t xml:space="preserve"> כ</w:t>
      </w:r>
      <w:r w:rsidR="00DC486D">
        <w:rPr>
          <w:rFonts w:hint="cs"/>
          <w:rtl/>
        </w:rPr>
        <w:t xml:space="preserve"> י</w:t>
      </w:r>
      <w:r w:rsidR="00DC486D" w:rsidRPr="001816AF">
        <w:rPr>
          <w:rtl/>
        </w:rPr>
        <w:t>)</w:t>
      </w:r>
      <w:r w:rsidR="00DC486D">
        <w:rPr>
          <w:rFonts w:hint="cs"/>
          <w:rtl/>
        </w:rPr>
        <w:t>.</w:t>
      </w:r>
      <w:r w:rsidR="008D71C7">
        <w:rPr>
          <w:rStyle w:val="a5"/>
          <w:rtl/>
        </w:rPr>
        <w:footnoteReference w:id="28"/>
      </w:r>
    </w:p>
    <w:p w:rsidR="005429CE" w:rsidRDefault="005429CE" w:rsidP="005429CE">
      <w:pPr>
        <w:pStyle w:val="ab"/>
        <w:rPr>
          <w:rtl/>
        </w:rPr>
      </w:pPr>
      <w:r w:rsidRPr="005429CE">
        <w:rPr>
          <w:rtl/>
        </w:rPr>
        <w:t>במדבר רבה</w:t>
      </w:r>
      <w:r>
        <w:rPr>
          <w:rFonts w:cs="David"/>
          <w:rtl/>
        </w:rPr>
        <w:t xml:space="preserve"> </w:t>
      </w:r>
      <w:r>
        <w:rPr>
          <w:rFonts w:hint="cs"/>
          <w:rtl/>
        </w:rPr>
        <w:t xml:space="preserve">ט מח, </w:t>
      </w:r>
      <w:r>
        <w:rPr>
          <w:rtl/>
        </w:rPr>
        <w:t xml:space="preserve">פרשת נשא </w:t>
      </w:r>
    </w:p>
    <w:p w:rsidR="005429CE" w:rsidRDefault="005429CE" w:rsidP="005429CE">
      <w:pPr>
        <w:pStyle w:val="ac"/>
        <w:rPr>
          <w:rFonts w:hint="cs"/>
          <w:rtl/>
        </w:rPr>
      </w:pPr>
      <w:r>
        <w:rPr>
          <w:rFonts w:hint="cs"/>
          <w:rtl/>
        </w:rPr>
        <w:t>"</w:t>
      </w:r>
      <w:r>
        <w:rPr>
          <w:rtl/>
        </w:rPr>
        <w:t>וכתב האלות האלה הכהן</w:t>
      </w:r>
      <w:r>
        <w:rPr>
          <w:rFonts w:hint="cs"/>
          <w:rtl/>
        </w:rPr>
        <w:t>" -</w:t>
      </w:r>
      <w:r>
        <w:rPr>
          <w:rtl/>
        </w:rPr>
        <w:t xml:space="preserve"> זה משה</w:t>
      </w:r>
      <w:r>
        <w:rPr>
          <w:rFonts w:hint="cs"/>
          <w:rtl/>
        </w:rPr>
        <w:t>.</w:t>
      </w:r>
      <w:r>
        <w:rPr>
          <w:rtl/>
        </w:rPr>
        <w:t xml:space="preserve"> </w:t>
      </w:r>
      <w:r>
        <w:rPr>
          <w:rFonts w:hint="cs"/>
          <w:rtl/>
        </w:rPr>
        <w:t>"</w:t>
      </w:r>
      <w:r>
        <w:rPr>
          <w:rtl/>
        </w:rPr>
        <w:t>בספר</w:t>
      </w:r>
      <w:r>
        <w:rPr>
          <w:rFonts w:hint="cs"/>
          <w:rtl/>
        </w:rPr>
        <w:t>" -</w:t>
      </w:r>
      <w:r>
        <w:rPr>
          <w:rtl/>
        </w:rPr>
        <w:t xml:space="preserve"> זה הלוח שהיה כתוב בו</w:t>
      </w:r>
      <w:r>
        <w:rPr>
          <w:rFonts w:hint="cs"/>
          <w:rtl/>
        </w:rPr>
        <w:t>:</w:t>
      </w:r>
      <w:r>
        <w:rPr>
          <w:rtl/>
        </w:rPr>
        <w:t xml:space="preserve"> </w:t>
      </w:r>
      <w:r>
        <w:rPr>
          <w:rFonts w:hint="cs"/>
          <w:rtl/>
        </w:rPr>
        <w:t>"</w:t>
      </w:r>
      <w:r>
        <w:rPr>
          <w:rtl/>
        </w:rPr>
        <w:t>פוקד עון אבות</w:t>
      </w:r>
      <w:r>
        <w:rPr>
          <w:rFonts w:hint="cs"/>
          <w:rtl/>
        </w:rPr>
        <w:t xml:space="preserve">". </w:t>
      </w:r>
      <w:r>
        <w:rPr>
          <w:rtl/>
        </w:rPr>
        <w:t>וכי הוא כתבן</w:t>
      </w:r>
      <w:r>
        <w:rPr>
          <w:rFonts w:hint="cs"/>
          <w:rtl/>
        </w:rPr>
        <w:t>?</w:t>
      </w:r>
      <w:r>
        <w:rPr>
          <w:rtl/>
        </w:rPr>
        <w:t xml:space="preserve"> והלא </w:t>
      </w:r>
      <w:r w:rsidR="002E6AB4">
        <w:rPr>
          <w:rtl/>
        </w:rPr>
        <w:t>הקב"ה</w:t>
      </w:r>
      <w:r>
        <w:rPr>
          <w:rtl/>
        </w:rPr>
        <w:t xml:space="preserve"> כתבן</w:t>
      </w:r>
      <w:r>
        <w:rPr>
          <w:rFonts w:hint="cs"/>
          <w:rtl/>
        </w:rPr>
        <w:t>!</w:t>
      </w:r>
      <w:r>
        <w:rPr>
          <w:rtl/>
        </w:rPr>
        <w:t xml:space="preserve"> אלא לפי שטעו ישראל</w:t>
      </w:r>
      <w:r>
        <w:rPr>
          <w:rFonts w:hint="cs"/>
          <w:rtl/>
        </w:rPr>
        <w:t>,</w:t>
      </w:r>
      <w:r>
        <w:rPr>
          <w:rtl/>
        </w:rPr>
        <w:t xml:space="preserve"> לא נתנן </w:t>
      </w:r>
      <w:r w:rsidR="002E6AB4">
        <w:rPr>
          <w:rtl/>
        </w:rPr>
        <w:t>הקב"ה</w:t>
      </w:r>
      <w:r>
        <w:rPr>
          <w:rtl/>
        </w:rPr>
        <w:t xml:space="preserve"> אלא למשה</w:t>
      </w:r>
      <w:r>
        <w:rPr>
          <w:rFonts w:hint="cs"/>
          <w:rtl/>
        </w:rPr>
        <w:t xml:space="preserve">. כמו שאתה אומר: "ויתן אל משה" </w:t>
      </w:r>
      <w:r>
        <w:rPr>
          <w:rtl/>
        </w:rPr>
        <w:t>(שמות לא</w:t>
      </w:r>
      <w:r w:rsidR="00C53A36">
        <w:rPr>
          <w:rFonts w:hint="cs"/>
          <w:rtl/>
        </w:rPr>
        <w:t xml:space="preserve"> יח</w:t>
      </w:r>
      <w:r>
        <w:rPr>
          <w:rtl/>
        </w:rPr>
        <w:t>)</w:t>
      </w:r>
      <w:r>
        <w:rPr>
          <w:rFonts w:hint="cs"/>
          <w:rtl/>
        </w:rPr>
        <w:t xml:space="preserve">. </w:t>
      </w:r>
      <w:r>
        <w:rPr>
          <w:rtl/>
        </w:rPr>
        <w:t>ולכך נקראו על שמו כא</w:t>
      </w:r>
      <w:r>
        <w:rPr>
          <w:rFonts w:hint="cs"/>
          <w:rtl/>
        </w:rPr>
        <w:t>י</w:t>
      </w:r>
      <w:r>
        <w:rPr>
          <w:rtl/>
        </w:rPr>
        <w:t>לו הוא כתבן</w:t>
      </w:r>
      <w:r>
        <w:rPr>
          <w:rFonts w:hint="cs"/>
          <w:rtl/>
        </w:rPr>
        <w:t>.</w:t>
      </w:r>
      <w:r w:rsidR="002E6AB4">
        <w:rPr>
          <w:rStyle w:val="a5"/>
          <w:rtl/>
        </w:rPr>
        <w:footnoteReference w:id="29"/>
      </w:r>
    </w:p>
    <w:p w:rsidR="00F81057" w:rsidRDefault="00F81057" w:rsidP="00F81057">
      <w:pPr>
        <w:pStyle w:val="ab"/>
        <w:rPr>
          <w:rtl/>
        </w:rPr>
      </w:pPr>
      <w:r>
        <w:rPr>
          <w:rtl/>
        </w:rPr>
        <w:t>מסכת מכות דף כד עמוד א</w:t>
      </w:r>
    </w:p>
    <w:p w:rsidR="007A35E1" w:rsidRDefault="007A35E1" w:rsidP="007A35E1">
      <w:pPr>
        <w:pStyle w:val="ac"/>
        <w:rPr>
          <w:rFonts w:hint="cs"/>
          <w:rtl/>
        </w:rPr>
      </w:pPr>
      <w:r w:rsidRPr="00E814DE">
        <w:rPr>
          <w:rFonts w:hint="cs"/>
          <w:rtl/>
          <w:lang w:eastAsia="en-US"/>
        </w:rPr>
        <w:t>א</w:t>
      </w:r>
      <w:r w:rsidRPr="00E814DE">
        <w:rPr>
          <w:rFonts w:hint="eastAsia"/>
          <w:rtl/>
          <w:lang w:eastAsia="en-US"/>
        </w:rPr>
        <w:t>מר</w:t>
      </w:r>
      <w:r w:rsidRPr="00E814DE">
        <w:rPr>
          <w:rtl/>
          <w:lang w:eastAsia="en-US"/>
        </w:rPr>
        <w:t xml:space="preserve"> </w:t>
      </w:r>
      <w:r w:rsidRPr="00E814DE">
        <w:rPr>
          <w:rFonts w:hint="eastAsia"/>
          <w:rtl/>
          <w:lang w:eastAsia="en-US"/>
        </w:rPr>
        <w:t>ר</w:t>
      </w:r>
      <w:r w:rsidRPr="00E814DE">
        <w:rPr>
          <w:rtl/>
          <w:lang w:eastAsia="en-US"/>
        </w:rPr>
        <w:t xml:space="preserve">' </w:t>
      </w:r>
      <w:smartTag w:uri="urn:schemas-microsoft-com:office:smarttags" w:element="PersonName">
        <w:smartTagPr>
          <w:attr w:name="ProductID" w:val="יוסי בר"/>
        </w:smartTagPr>
        <w:r w:rsidRPr="00E814DE">
          <w:rPr>
            <w:rFonts w:hint="eastAsia"/>
            <w:rtl/>
            <w:lang w:eastAsia="en-US"/>
          </w:rPr>
          <w:t>יוסי</w:t>
        </w:r>
        <w:r w:rsidRPr="00E814DE">
          <w:rPr>
            <w:rtl/>
            <w:lang w:eastAsia="en-US"/>
          </w:rPr>
          <w:t xml:space="preserve"> </w:t>
        </w:r>
        <w:r w:rsidRPr="00E814DE">
          <w:rPr>
            <w:rFonts w:hint="eastAsia"/>
            <w:rtl/>
            <w:lang w:eastAsia="en-US"/>
          </w:rPr>
          <w:t>בר</w:t>
        </w:r>
      </w:smartTag>
      <w:r w:rsidRPr="00E814DE">
        <w:rPr>
          <w:rtl/>
          <w:lang w:eastAsia="en-US"/>
        </w:rPr>
        <w:t xml:space="preserve"> </w:t>
      </w:r>
      <w:r w:rsidRPr="00E814DE">
        <w:rPr>
          <w:rFonts w:hint="eastAsia"/>
          <w:rtl/>
          <w:lang w:eastAsia="en-US"/>
        </w:rPr>
        <w:t>חנינא</w:t>
      </w:r>
      <w:r w:rsidRPr="00E814DE">
        <w:rPr>
          <w:rtl/>
          <w:lang w:eastAsia="en-US"/>
        </w:rPr>
        <w:t xml:space="preserve">: </w:t>
      </w:r>
      <w:r w:rsidRPr="00E814DE">
        <w:rPr>
          <w:rFonts w:hint="eastAsia"/>
          <w:rtl/>
          <w:lang w:eastAsia="en-US"/>
        </w:rPr>
        <w:t>ארבע</w:t>
      </w:r>
      <w:r w:rsidRPr="00E814DE">
        <w:rPr>
          <w:rtl/>
          <w:lang w:eastAsia="en-US"/>
        </w:rPr>
        <w:t xml:space="preserve"> </w:t>
      </w:r>
      <w:r w:rsidRPr="00E814DE">
        <w:rPr>
          <w:rFonts w:hint="eastAsia"/>
          <w:rtl/>
          <w:lang w:eastAsia="en-US"/>
        </w:rPr>
        <w:t>גזירות</w:t>
      </w:r>
      <w:r w:rsidRPr="00E814DE">
        <w:rPr>
          <w:rtl/>
          <w:lang w:eastAsia="en-US"/>
        </w:rPr>
        <w:t xml:space="preserve"> </w:t>
      </w:r>
      <w:r w:rsidRPr="00E814DE">
        <w:rPr>
          <w:rFonts w:hint="eastAsia"/>
          <w:rtl/>
          <w:lang w:eastAsia="en-US"/>
        </w:rPr>
        <w:t>גזר</w:t>
      </w:r>
      <w:r w:rsidRPr="00E814DE">
        <w:rPr>
          <w:rtl/>
          <w:lang w:eastAsia="en-US"/>
        </w:rPr>
        <w:t xml:space="preserve"> </w:t>
      </w:r>
      <w:r w:rsidRPr="00E814DE">
        <w:rPr>
          <w:rFonts w:hint="eastAsia"/>
          <w:rtl/>
          <w:lang w:eastAsia="en-US"/>
        </w:rPr>
        <w:t>משה</w:t>
      </w:r>
      <w:r w:rsidRPr="00E814DE">
        <w:rPr>
          <w:rtl/>
          <w:lang w:eastAsia="en-US"/>
        </w:rPr>
        <w:t xml:space="preserve"> </w:t>
      </w:r>
      <w:r w:rsidRPr="00E814DE">
        <w:rPr>
          <w:rFonts w:hint="eastAsia"/>
          <w:rtl/>
          <w:lang w:eastAsia="en-US"/>
        </w:rPr>
        <w:t>רבינו</w:t>
      </w:r>
      <w:r w:rsidRPr="00E814DE">
        <w:rPr>
          <w:rtl/>
          <w:lang w:eastAsia="en-US"/>
        </w:rPr>
        <w:t xml:space="preserve"> </w:t>
      </w:r>
      <w:r w:rsidRPr="00E814DE">
        <w:rPr>
          <w:rFonts w:hint="eastAsia"/>
          <w:rtl/>
          <w:lang w:eastAsia="en-US"/>
        </w:rPr>
        <w:t>על</w:t>
      </w:r>
      <w:r w:rsidRPr="00E814DE">
        <w:rPr>
          <w:rtl/>
          <w:lang w:eastAsia="en-US"/>
        </w:rPr>
        <w:t xml:space="preserve"> </w:t>
      </w:r>
      <w:r w:rsidRPr="00E814DE">
        <w:rPr>
          <w:rFonts w:hint="eastAsia"/>
          <w:rtl/>
          <w:lang w:eastAsia="en-US"/>
        </w:rPr>
        <w:t>ישראל</w:t>
      </w:r>
      <w:r w:rsidRPr="00E814DE">
        <w:rPr>
          <w:rtl/>
          <w:lang w:eastAsia="en-US"/>
        </w:rPr>
        <w:t xml:space="preserve">, </w:t>
      </w:r>
      <w:r w:rsidRPr="00E814DE">
        <w:rPr>
          <w:rFonts w:hint="eastAsia"/>
          <w:rtl/>
          <w:lang w:eastAsia="en-US"/>
        </w:rPr>
        <w:t>באו</w:t>
      </w:r>
      <w:r w:rsidRPr="00E814DE">
        <w:rPr>
          <w:rtl/>
          <w:lang w:eastAsia="en-US"/>
        </w:rPr>
        <w:t xml:space="preserve"> </w:t>
      </w:r>
      <w:r w:rsidRPr="00E814DE">
        <w:rPr>
          <w:rFonts w:hint="eastAsia"/>
          <w:rtl/>
          <w:lang w:eastAsia="en-US"/>
        </w:rPr>
        <w:t>ארבעה</w:t>
      </w:r>
      <w:r w:rsidRPr="00E814DE">
        <w:rPr>
          <w:rtl/>
          <w:lang w:eastAsia="en-US"/>
        </w:rPr>
        <w:t xml:space="preserve"> </w:t>
      </w:r>
      <w:r w:rsidRPr="00E814DE">
        <w:rPr>
          <w:rFonts w:hint="eastAsia"/>
          <w:rtl/>
          <w:lang w:eastAsia="en-US"/>
        </w:rPr>
        <w:t>נביאים</w:t>
      </w:r>
      <w:r w:rsidRPr="00E814DE">
        <w:rPr>
          <w:rtl/>
          <w:lang w:eastAsia="en-US"/>
        </w:rPr>
        <w:t xml:space="preserve"> </w:t>
      </w:r>
      <w:r w:rsidRPr="00E814DE">
        <w:rPr>
          <w:rFonts w:hint="eastAsia"/>
          <w:rtl/>
          <w:lang w:eastAsia="en-US"/>
        </w:rPr>
        <w:t>וביטלום</w:t>
      </w:r>
      <w:r w:rsidRPr="00E814DE">
        <w:rPr>
          <w:rtl/>
          <w:lang w:eastAsia="en-US"/>
        </w:rPr>
        <w:t xml:space="preserve">. </w:t>
      </w:r>
      <w:r w:rsidRPr="00E814DE">
        <w:rPr>
          <w:rFonts w:hint="eastAsia"/>
          <w:rtl/>
          <w:lang w:eastAsia="en-US"/>
        </w:rPr>
        <w:t>משה</w:t>
      </w:r>
      <w:r w:rsidRPr="00E814DE">
        <w:rPr>
          <w:rtl/>
          <w:lang w:eastAsia="en-US"/>
        </w:rPr>
        <w:t xml:space="preserve"> </w:t>
      </w:r>
      <w:r w:rsidRPr="00E814DE">
        <w:rPr>
          <w:rFonts w:hint="eastAsia"/>
          <w:rtl/>
          <w:lang w:eastAsia="en-US"/>
        </w:rPr>
        <w:t>אמר</w:t>
      </w:r>
      <w:r w:rsidRPr="00E814DE">
        <w:rPr>
          <w:rtl/>
          <w:lang w:eastAsia="en-US"/>
        </w:rPr>
        <w:t xml:space="preserve">: </w:t>
      </w:r>
      <w:r w:rsidRPr="00E814DE">
        <w:rPr>
          <w:rFonts w:hint="cs"/>
          <w:rtl/>
          <w:lang w:eastAsia="en-US"/>
        </w:rPr>
        <w:t>"</w:t>
      </w:r>
      <w:r w:rsidRPr="00E814DE">
        <w:rPr>
          <w:rFonts w:hint="eastAsia"/>
          <w:rtl/>
          <w:lang w:eastAsia="en-US"/>
        </w:rPr>
        <w:t>וישכון</w:t>
      </w:r>
      <w:r w:rsidRPr="00E814DE">
        <w:rPr>
          <w:rtl/>
          <w:lang w:eastAsia="en-US"/>
        </w:rPr>
        <w:t xml:space="preserve"> </w:t>
      </w:r>
      <w:r w:rsidRPr="00E814DE">
        <w:rPr>
          <w:rFonts w:hint="eastAsia"/>
          <w:rtl/>
          <w:lang w:eastAsia="en-US"/>
        </w:rPr>
        <w:t>ישראל</w:t>
      </w:r>
      <w:r w:rsidRPr="00E814DE">
        <w:rPr>
          <w:rtl/>
          <w:lang w:eastAsia="en-US"/>
        </w:rPr>
        <w:t xml:space="preserve"> </w:t>
      </w:r>
      <w:r w:rsidRPr="00E814DE">
        <w:rPr>
          <w:rFonts w:hint="eastAsia"/>
          <w:rtl/>
          <w:lang w:eastAsia="en-US"/>
        </w:rPr>
        <w:t>בטח</w:t>
      </w:r>
      <w:r w:rsidRPr="00E814DE">
        <w:rPr>
          <w:rtl/>
          <w:lang w:eastAsia="en-US"/>
        </w:rPr>
        <w:t xml:space="preserve"> </w:t>
      </w:r>
      <w:r w:rsidRPr="00E814DE">
        <w:rPr>
          <w:rFonts w:hint="eastAsia"/>
          <w:rtl/>
          <w:lang w:eastAsia="en-US"/>
        </w:rPr>
        <w:t>בדד</w:t>
      </w:r>
      <w:r w:rsidRPr="00E814DE">
        <w:rPr>
          <w:rtl/>
          <w:lang w:eastAsia="en-US"/>
        </w:rPr>
        <w:t xml:space="preserve"> </w:t>
      </w:r>
      <w:r w:rsidRPr="00E814DE">
        <w:rPr>
          <w:rFonts w:hint="eastAsia"/>
          <w:rtl/>
          <w:lang w:eastAsia="en-US"/>
        </w:rPr>
        <w:t>עין</w:t>
      </w:r>
      <w:r w:rsidRPr="00E814DE">
        <w:rPr>
          <w:rtl/>
          <w:lang w:eastAsia="en-US"/>
        </w:rPr>
        <w:t xml:space="preserve"> </w:t>
      </w:r>
      <w:r w:rsidRPr="00E814DE">
        <w:rPr>
          <w:rFonts w:hint="eastAsia"/>
          <w:rtl/>
          <w:lang w:eastAsia="en-US"/>
        </w:rPr>
        <w:t>יעקב</w:t>
      </w:r>
      <w:r w:rsidRPr="00E814DE">
        <w:rPr>
          <w:rFonts w:hint="cs"/>
          <w:rtl/>
          <w:lang w:eastAsia="en-US"/>
        </w:rPr>
        <w:t>" (</w:t>
      </w:r>
      <w:r w:rsidRPr="00E814DE">
        <w:rPr>
          <w:rFonts w:hint="eastAsia"/>
          <w:rtl/>
          <w:lang w:eastAsia="en-US"/>
        </w:rPr>
        <w:t>דברים</w:t>
      </w:r>
      <w:r w:rsidRPr="00E814DE">
        <w:rPr>
          <w:rtl/>
          <w:lang w:eastAsia="en-US"/>
        </w:rPr>
        <w:t xml:space="preserve"> </w:t>
      </w:r>
      <w:r w:rsidRPr="00E814DE">
        <w:rPr>
          <w:rFonts w:hint="eastAsia"/>
          <w:rtl/>
          <w:lang w:eastAsia="en-US"/>
        </w:rPr>
        <w:t>לג</w:t>
      </w:r>
      <w:r w:rsidRPr="00E814DE">
        <w:rPr>
          <w:rFonts w:hint="cs"/>
          <w:rtl/>
          <w:lang w:eastAsia="en-US"/>
        </w:rPr>
        <w:t xml:space="preserve"> כח) - </w:t>
      </w:r>
      <w:r w:rsidRPr="00E814DE">
        <w:rPr>
          <w:rFonts w:hint="eastAsia"/>
          <w:rtl/>
          <w:lang w:eastAsia="en-US"/>
        </w:rPr>
        <w:t>בא</w:t>
      </w:r>
      <w:r w:rsidRPr="00E814DE">
        <w:rPr>
          <w:rtl/>
          <w:lang w:eastAsia="en-US"/>
        </w:rPr>
        <w:t xml:space="preserve"> </w:t>
      </w:r>
      <w:r w:rsidRPr="00E814DE">
        <w:rPr>
          <w:rFonts w:hint="eastAsia"/>
          <w:rtl/>
          <w:lang w:eastAsia="en-US"/>
        </w:rPr>
        <w:t>עמוס</w:t>
      </w:r>
      <w:r w:rsidRPr="00E814DE">
        <w:rPr>
          <w:rtl/>
          <w:lang w:eastAsia="en-US"/>
        </w:rPr>
        <w:t xml:space="preserve"> </w:t>
      </w:r>
      <w:r w:rsidRPr="00E814DE">
        <w:rPr>
          <w:rFonts w:hint="eastAsia"/>
          <w:rtl/>
          <w:lang w:eastAsia="en-US"/>
        </w:rPr>
        <w:t>וביטלה</w:t>
      </w:r>
      <w:r w:rsidRPr="00E814DE">
        <w:rPr>
          <w:rtl/>
          <w:lang w:eastAsia="en-US"/>
        </w:rPr>
        <w:t xml:space="preserve">, </w:t>
      </w:r>
      <w:r w:rsidRPr="00E814DE">
        <w:rPr>
          <w:rFonts w:hint="eastAsia"/>
          <w:rtl/>
          <w:lang w:eastAsia="en-US"/>
        </w:rPr>
        <w:t>שנאמר</w:t>
      </w:r>
      <w:r w:rsidRPr="00E814DE">
        <w:rPr>
          <w:rtl/>
          <w:lang w:eastAsia="en-US"/>
        </w:rPr>
        <w:t xml:space="preserve">: </w:t>
      </w:r>
      <w:r w:rsidRPr="00E814DE">
        <w:rPr>
          <w:rFonts w:hint="cs"/>
          <w:rtl/>
          <w:lang w:eastAsia="en-US"/>
        </w:rPr>
        <w:t>"</w:t>
      </w:r>
      <w:r w:rsidRPr="00E814DE">
        <w:rPr>
          <w:rFonts w:hint="eastAsia"/>
          <w:rtl/>
          <w:lang w:eastAsia="en-US"/>
        </w:rPr>
        <w:t>חדל</w:t>
      </w:r>
      <w:r w:rsidRPr="00E814DE">
        <w:rPr>
          <w:rtl/>
          <w:lang w:eastAsia="en-US"/>
        </w:rPr>
        <w:t xml:space="preserve"> </w:t>
      </w:r>
      <w:r w:rsidRPr="00E814DE">
        <w:rPr>
          <w:rFonts w:hint="eastAsia"/>
          <w:rtl/>
          <w:lang w:eastAsia="en-US"/>
        </w:rPr>
        <w:t>נא</w:t>
      </w:r>
      <w:r w:rsidRPr="00E814DE">
        <w:rPr>
          <w:rtl/>
          <w:lang w:eastAsia="en-US"/>
        </w:rPr>
        <w:t xml:space="preserve"> </w:t>
      </w:r>
      <w:r w:rsidRPr="00E814DE">
        <w:rPr>
          <w:rFonts w:hint="eastAsia"/>
          <w:rtl/>
          <w:lang w:eastAsia="en-US"/>
        </w:rPr>
        <w:t>מי</w:t>
      </w:r>
      <w:r w:rsidRPr="00E814DE">
        <w:rPr>
          <w:rtl/>
          <w:lang w:eastAsia="en-US"/>
        </w:rPr>
        <w:t xml:space="preserve"> </w:t>
      </w:r>
      <w:r w:rsidRPr="00E814DE">
        <w:rPr>
          <w:rFonts w:hint="eastAsia"/>
          <w:rtl/>
          <w:lang w:eastAsia="en-US"/>
        </w:rPr>
        <w:t>יקום</w:t>
      </w:r>
      <w:r w:rsidRPr="00E814DE">
        <w:rPr>
          <w:rtl/>
          <w:lang w:eastAsia="en-US"/>
        </w:rPr>
        <w:t xml:space="preserve"> </w:t>
      </w:r>
      <w:r w:rsidRPr="00E814DE">
        <w:rPr>
          <w:rFonts w:hint="eastAsia"/>
          <w:rtl/>
          <w:lang w:eastAsia="en-US"/>
        </w:rPr>
        <w:t>יעקב</w:t>
      </w:r>
      <w:r w:rsidRPr="00E814DE">
        <w:rPr>
          <w:rFonts w:hint="cs"/>
          <w:rtl/>
          <w:lang w:eastAsia="en-US"/>
        </w:rPr>
        <w:t xml:space="preserve"> כי קטון הוא" </w:t>
      </w:r>
      <w:r>
        <w:rPr>
          <w:rFonts w:hint="cs"/>
          <w:rtl/>
          <w:lang w:eastAsia="en-US"/>
        </w:rPr>
        <w:t>...</w:t>
      </w:r>
      <w:r w:rsidRPr="00E814DE">
        <w:rPr>
          <w:rtl/>
          <w:lang w:eastAsia="en-US"/>
        </w:rPr>
        <w:t xml:space="preserve"> </w:t>
      </w:r>
      <w:r w:rsidRPr="00E814DE">
        <w:rPr>
          <w:rtl/>
        </w:rPr>
        <w:t>משה אמר: "ובגויים ההם לא תרגיע" (דברים כח סה) - בא ירמיה ואמר: "הלוך להרגיעו ישראל" (ירמיהו לא א). משה אמר: "פוקד עון אבות על בנים</w:t>
      </w:r>
      <w:r w:rsidR="00437CF7">
        <w:rPr>
          <w:rFonts w:hint="cs"/>
          <w:rtl/>
        </w:rPr>
        <w:t>"</w:t>
      </w:r>
      <w:r w:rsidRPr="00E814DE">
        <w:rPr>
          <w:rtl/>
        </w:rPr>
        <w:t xml:space="preserve"> (שמות לד ז) - בא יחזקאל וביטלה: "הנפש החוטאת היא תמות" (יחזקאל יח כ). משה אמר: "ואבדתם בגויים" (ויקרא כו לח) - בא ישעיהו ואמר: "</w:t>
      </w:r>
      <w:r w:rsidRPr="00E814DE">
        <w:rPr>
          <w:rFonts w:hint="eastAsia"/>
          <w:rtl/>
          <w:lang w:eastAsia="en-US"/>
        </w:rPr>
        <w:t>והיה</w:t>
      </w:r>
      <w:r w:rsidRPr="00E814DE">
        <w:rPr>
          <w:rtl/>
          <w:lang w:eastAsia="en-US"/>
        </w:rPr>
        <w:t xml:space="preserve"> </w:t>
      </w:r>
      <w:r w:rsidRPr="00E814DE">
        <w:rPr>
          <w:rFonts w:hint="eastAsia"/>
          <w:rtl/>
          <w:lang w:eastAsia="en-US"/>
        </w:rPr>
        <w:t>ביום</w:t>
      </w:r>
      <w:r w:rsidRPr="00E814DE">
        <w:rPr>
          <w:rtl/>
          <w:lang w:eastAsia="en-US"/>
        </w:rPr>
        <w:t xml:space="preserve"> </w:t>
      </w:r>
      <w:r w:rsidRPr="00E814DE">
        <w:rPr>
          <w:rFonts w:hint="eastAsia"/>
          <w:rtl/>
          <w:lang w:eastAsia="en-US"/>
        </w:rPr>
        <w:t>ההוא</w:t>
      </w:r>
      <w:r w:rsidRPr="00E814DE">
        <w:rPr>
          <w:rtl/>
          <w:lang w:eastAsia="en-US"/>
        </w:rPr>
        <w:t xml:space="preserve"> </w:t>
      </w:r>
      <w:r w:rsidRPr="00E814DE">
        <w:rPr>
          <w:rFonts w:hint="eastAsia"/>
          <w:rtl/>
          <w:lang w:eastAsia="en-US"/>
        </w:rPr>
        <w:t>יתקע</w:t>
      </w:r>
      <w:r w:rsidRPr="00E814DE">
        <w:rPr>
          <w:rtl/>
          <w:lang w:eastAsia="en-US"/>
        </w:rPr>
        <w:t xml:space="preserve"> </w:t>
      </w:r>
      <w:r w:rsidRPr="00E814DE">
        <w:rPr>
          <w:rFonts w:hint="eastAsia"/>
          <w:rtl/>
          <w:lang w:eastAsia="en-US"/>
        </w:rPr>
        <w:t>בשופר</w:t>
      </w:r>
      <w:r w:rsidRPr="00E814DE">
        <w:rPr>
          <w:rtl/>
          <w:lang w:eastAsia="en-US"/>
        </w:rPr>
        <w:t xml:space="preserve"> </w:t>
      </w:r>
      <w:r w:rsidRPr="00E814DE">
        <w:rPr>
          <w:rFonts w:hint="eastAsia"/>
          <w:rtl/>
          <w:lang w:eastAsia="en-US"/>
        </w:rPr>
        <w:t>גדול</w:t>
      </w:r>
      <w:r w:rsidRPr="00E814DE">
        <w:rPr>
          <w:rtl/>
        </w:rPr>
        <w:t xml:space="preserve"> ובאו האובדים בארץ אשור" (ישעיהו כז יג).</w:t>
      </w:r>
      <w:r w:rsidR="00437CF7">
        <w:rPr>
          <w:rStyle w:val="a5"/>
          <w:rtl/>
        </w:rPr>
        <w:footnoteReference w:id="30"/>
      </w:r>
    </w:p>
    <w:p w:rsidR="00C8796E" w:rsidRDefault="00C8796E" w:rsidP="00C8796E">
      <w:pPr>
        <w:pStyle w:val="ab"/>
        <w:rPr>
          <w:rFonts w:hint="cs"/>
          <w:rtl/>
        </w:rPr>
      </w:pPr>
      <w:r>
        <w:rPr>
          <w:rFonts w:hint="cs"/>
          <w:rtl/>
        </w:rPr>
        <w:t>פירוש אבן עזרא על הפסוק</w:t>
      </w:r>
    </w:p>
    <w:p w:rsidR="00C8796E" w:rsidRDefault="00C8796E" w:rsidP="007A35E1">
      <w:pPr>
        <w:pStyle w:val="ac"/>
        <w:rPr>
          <w:rFonts w:hint="cs"/>
          <w:rtl/>
        </w:rPr>
      </w:pPr>
      <w:r>
        <w:rPr>
          <w:rFonts w:hint="cs"/>
          <w:rtl/>
        </w:rPr>
        <w:t xml:space="preserve">פוקד עוון אבות </w:t>
      </w:r>
      <w:r>
        <w:rPr>
          <w:rtl/>
        </w:rPr>
        <w:t>–</w:t>
      </w:r>
      <w:r>
        <w:rPr>
          <w:rFonts w:hint="cs"/>
          <w:rtl/>
        </w:rPr>
        <w:t xml:space="preserve"> גם היא מדת רחמים.</w:t>
      </w:r>
      <w:r w:rsidR="00565EDA">
        <w:rPr>
          <w:rStyle w:val="a5"/>
          <w:rtl/>
        </w:rPr>
        <w:footnoteReference w:id="31"/>
      </w:r>
    </w:p>
    <w:p w:rsidR="00E65358" w:rsidRDefault="00E65358" w:rsidP="00A71B57">
      <w:pPr>
        <w:pStyle w:val="ad"/>
        <w:spacing w:before="240"/>
        <w:rPr>
          <w:rtl/>
        </w:rPr>
      </w:pPr>
      <w:r>
        <w:rPr>
          <w:rtl/>
        </w:rPr>
        <w:t xml:space="preserve">שבת שלום </w:t>
      </w:r>
    </w:p>
    <w:p w:rsidR="00E65358" w:rsidRDefault="00E65358">
      <w:pPr>
        <w:pStyle w:val="ad"/>
        <w:rPr>
          <w:rFonts w:hint="cs"/>
          <w:rtl/>
        </w:rPr>
      </w:pPr>
      <w:r>
        <w:rPr>
          <w:rtl/>
        </w:rPr>
        <w:t>מחלקי המים</w:t>
      </w:r>
    </w:p>
    <w:p w:rsidR="003E3F4B" w:rsidRPr="003E3F4B" w:rsidRDefault="00FE45C2" w:rsidP="002160A9">
      <w:pPr>
        <w:pStyle w:val="ad"/>
        <w:spacing w:before="120" w:line="280" w:lineRule="atLeast"/>
        <w:rPr>
          <w:b w:val="0"/>
          <w:bCs w:val="0"/>
          <w:szCs w:val="22"/>
          <w:rtl/>
        </w:rPr>
      </w:pPr>
      <w:r w:rsidRPr="00FE45C2">
        <w:rPr>
          <w:rFonts w:hint="cs"/>
          <w:b w:val="0"/>
          <w:bCs w:val="0"/>
          <w:szCs w:val="22"/>
          <w:rtl/>
        </w:rPr>
        <w:t xml:space="preserve">מים אחרונים: </w:t>
      </w:r>
      <w:r w:rsidR="003E3F4B">
        <w:rPr>
          <w:rFonts w:hint="cs"/>
          <w:b w:val="0"/>
          <w:bCs w:val="0"/>
          <w:szCs w:val="22"/>
          <w:rtl/>
        </w:rPr>
        <w:t xml:space="preserve">ראה מדרש בראשית </w:t>
      </w:r>
      <w:r w:rsidR="003E3F4B" w:rsidRPr="003E3F4B">
        <w:rPr>
          <w:b w:val="0"/>
          <w:bCs w:val="0"/>
          <w:szCs w:val="22"/>
          <w:rtl/>
        </w:rPr>
        <w:t>רבתי פרשת וישב עמוד 177</w:t>
      </w:r>
      <w:r w:rsidR="003E3F4B">
        <w:rPr>
          <w:rFonts w:hint="cs"/>
          <w:b w:val="0"/>
          <w:bCs w:val="0"/>
          <w:szCs w:val="22"/>
          <w:rtl/>
        </w:rPr>
        <w:t xml:space="preserve"> בוויכוח הגדול שהיה בין מ</w:t>
      </w:r>
      <w:r w:rsidR="002160A9">
        <w:rPr>
          <w:rFonts w:hint="cs"/>
          <w:b w:val="0"/>
          <w:bCs w:val="0"/>
          <w:szCs w:val="22"/>
          <w:rtl/>
        </w:rPr>
        <w:t>י</w:t>
      </w:r>
      <w:r w:rsidR="003E3F4B">
        <w:rPr>
          <w:rFonts w:hint="cs"/>
          <w:b w:val="0"/>
          <w:bCs w:val="0"/>
          <w:szCs w:val="22"/>
          <w:rtl/>
        </w:rPr>
        <w:t xml:space="preserve">דת הדין והמלאך מיכאל, באשר לאחריות הדורות על חטא מכירת יוסף, שאם השבטים לא נענשו, מישהו חייב היה ליתן את הדין. </w:t>
      </w:r>
      <w:r w:rsidR="00BB6643">
        <w:rPr>
          <w:rFonts w:hint="cs"/>
          <w:b w:val="0"/>
          <w:bCs w:val="0"/>
          <w:szCs w:val="22"/>
          <w:rtl/>
        </w:rPr>
        <w:t xml:space="preserve">ואלה כידוע עשרה הרוגי מלכות. ושם הדברים הפוכים. </w:t>
      </w:r>
      <w:r w:rsidR="00535FBA">
        <w:rPr>
          <w:rFonts w:hint="cs"/>
          <w:b w:val="0"/>
          <w:bCs w:val="0"/>
          <w:szCs w:val="22"/>
          <w:rtl/>
        </w:rPr>
        <w:t xml:space="preserve">מיכאל טוען </w:t>
      </w:r>
      <w:r w:rsidR="00BB6643">
        <w:rPr>
          <w:rFonts w:hint="cs"/>
          <w:b w:val="0"/>
          <w:bCs w:val="0"/>
          <w:szCs w:val="22"/>
          <w:rtl/>
        </w:rPr>
        <w:t xml:space="preserve">"לא יומתו אבות על בנים", </w:t>
      </w:r>
      <w:r w:rsidR="00535FBA">
        <w:rPr>
          <w:rFonts w:hint="cs"/>
          <w:b w:val="0"/>
          <w:bCs w:val="0"/>
          <w:szCs w:val="22"/>
          <w:rtl/>
        </w:rPr>
        <w:t>ומ</w:t>
      </w:r>
      <w:r w:rsidR="002160A9">
        <w:rPr>
          <w:rFonts w:hint="cs"/>
          <w:b w:val="0"/>
          <w:bCs w:val="0"/>
          <w:szCs w:val="22"/>
          <w:rtl/>
        </w:rPr>
        <w:t>י</w:t>
      </w:r>
      <w:r w:rsidR="00535FBA">
        <w:rPr>
          <w:rFonts w:hint="cs"/>
          <w:b w:val="0"/>
          <w:bCs w:val="0"/>
          <w:szCs w:val="22"/>
          <w:rtl/>
        </w:rPr>
        <w:t xml:space="preserve">דת הדין טוענת </w:t>
      </w:r>
      <w:r w:rsidR="00BB6643">
        <w:rPr>
          <w:rFonts w:hint="cs"/>
          <w:b w:val="0"/>
          <w:bCs w:val="0"/>
          <w:szCs w:val="22"/>
          <w:rtl/>
        </w:rPr>
        <w:t xml:space="preserve">"פוקד עוון אבות על בנים" </w:t>
      </w:r>
      <w:r w:rsidR="00535FBA">
        <w:rPr>
          <w:rFonts w:hint="cs"/>
          <w:b w:val="0"/>
          <w:bCs w:val="0"/>
          <w:szCs w:val="22"/>
          <w:rtl/>
        </w:rPr>
        <w:t>גם אם זה י</w:t>
      </w:r>
      <w:r w:rsidR="00BB6643">
        <w:rPr>
          <w:rFonts w:hint="cs"/>
          <w:b w:val="0"/>
          <w:bCs w:val="0"/>
          <w:szCs w:val="22"/>
          <w:rtl/>
        </w:rPr>
        <w:t xml:space="preserve">ותר מארבע דורות. </w:t>
      </w:r>
      <w:r w:rsidR="00C8796E">
        <w:rPr>
          <w:rFonts w:hint="cs"/>
          <w:b w:val="0"/>
          <w:bCs w:val="0"/>
          <w:szCs w:val="22"/>
          <w:rtl/>
        </w:rPr>
        <w:t xml:space="preserve">הדין חייב להיעשות. </w:t>
      </w:r>
      <w:r w:rsidR="00BB6643">
        <w:rPr>
          <w:rFonts w:hint="cs"/>
          <w:b w:val="0"/>
          <w:bCs w:val="0"/>
          <w:szCs w:val="22"/>
          <w:rtl/>
        </w:rPr>
        <w:t>הפוך מכל מה שראינו</w:t>
      </w:r>
      <w:r w:rsidR="00535FBA">
        <w:rPr>
          <w:rFonts w:hint="cs"/>
          <w:b w:val="0"/>
          <w:bCs w:val="0"/>
          <w:szCs w:val="22"/>
          <w:rtl/>
        </w:rPr>
        <w:t xml:space="preserve">. ונראה שמדרש </w:t>
      </w:r>
      <w:r w:rsidR="002160A9">
        <w:rPr>
          <w:rFonts w:hint="cs"/>
          <w:b w:val="0"/>
          <w:bCs w:val="0"/>
          <w:szCs w:val="22"/>
          <w:rtl/>
        </w:rPr>
        <w:t xml:space="preserve">זה שייך למדרשי </w:t>
      </w:r>
      <w:r w:rsidR="00BB6643">
        <w:rPr>
          <w:rFonts w:hint="cs"/>
          <w:b w:val="0"/>
          <w:bCs w:val="0"/>
          <w:szCs w:val="22"/>
          <w:rtl/>
        </w:rPr>
        <w:t>"צידוק הדין". ראה שם!</w:t>
      </w:r>
    </w:p>
    <w:sectPr w:rsidR="003E3F4B" w:rsidRPr="003E3F4B" w:rsidSect="003C4927">
      <w:headerReference w:type="default" r:id="rId7"/>
      <w:footerReference w:type="default" r:id="rId8"/>
      <w:headerReference w:type="first" r:id="rId9"/>
      <w:endnotePr>
        <w:numFmt w:val="lowerLetter"/>
      </w:endnotePr>
      <w:pgSz w:w="11907" w:h="16840" w:code="9"/>
      <w:pgMar w:top="1531" w:right="1418" w:bottom="1531" w:left="1418" w:header="720"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7E5E" w:rsidRDefault="00EA7E5E">
      <w:r>
        <w:separator/>
      </w:r>
    </w:p>
  </w:endnote>
  <w:endnote w:type="continuationSeparator" w:id="0">
    <w:p w:rsidR="00EA7E5E" w:rsidRDefault="00EA7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iriam">
    <w:panose1 w:val="020B0502050101010101"/>
    <w:charset w:val="B1"/>
    <w:family w:val="swiss"/>
    <w:pitch w:val="variable"/>
    <w:sig w:usb0="00000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28D9" w:rsidRPr="00F8747C" w:rsidRDefault="00D428D9" w:rsidP="00A72D7C">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6B7A9D">
      <w:rPr>
        <w:rStyle w:val="af"/>
        <w:noProof/>
        <w:rtl/>
      </w:rPr>
      <w:t>5</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6B7A9D">
      <w:rPr>
        <w:rStyle w:val="af"/>
        <w:noProof/>
        <w:rtl/>
      </w:rPr>
      <w:t>5</w:t>
    </w:r>
    <w:r w:rsidRPr="00F8747C">
      <w:rPr>
        <w:rStyle w:val="af"/>
      </w:rPr>
      <w:fldChar w:fldCharType="end"/>
    </w:r>
  </w:p>
  <w:p w:rsidR="00D428D9" w:rsidRDefault="00D428D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7E5E" w:rsidRDefault="00EA7E5E">
      <w:pPr>
        <w:rPr>
          <w:lang w:eastAsia="en-US"/>
        </w:rPr>
      </w:pPr>
      <w:r>
        <w:rPr>
          <w:rFonts w:cs="Miriam"/>
        </w:rPr>
        <w:separator/>
      </w:r>
    </w:p>
  </w:footnote>
  <w:footnote w:type="continuationSeparator" w:id="0">
    <w:p w:rsidR="00EA7E5E" w:rsidRDefault="00EA7E5E">
      <w:r>
        <w:continuationSeparator/>
      </w:r>
    </w:p>
  </w:footnote>
  <w:footnote w:id="1">
    <w:p w:rsidR="005E217F" w:rsidRDefault="005E217F" w:rsidP="00170639">
      <w:pPr>
        <w:pStyle w:val="a3"/>
        <w:rPr>
          <w:rFonts w:hint="cs"/>
          <w:rtl/>
        </w:rPr>
      </w:pPr>
      <w:r>
        <w:rPr>
          <w:rStyle w:val="a5"/>
        </w:rPr>
        <w:footnoteRef/>
      </w:r>
      <w:r>
        <w:rPr>
          <w:rtl/>
        </w:rPr>
        <w:t xml:space="preserve"> </w:t>
      </w:r>
      <w:r>
        <w:rPr>
          <w:rFonts w:hint="cs"/>
          <w:rtl/>
        </w:rPr>
        <w:t xml:space="preserve">בעת פסילת הלוחות השניים מתגלה הקב"ה שנית למשה (יש שרואים במעמד זה את המשך ההתוועדות בנקרת הצור שבסוף פרק לג) וקורא איתו קריאה (תפילה) מיוחדת המסמלת את התרצות הקב"ה לאחר חטא העגל, אך גם אזהרה לבאות. (ולגבי מי קרא למי ומי קרא בשם ה' ומי אמר תפילה זו בפעם הראשונה, ראה פרשני המקרא שם ובפרט רס"ג, רש"י ואבן עזרא וזה נושא נכבד שצריכים לדון בו </w:t>
      </w:r>
      <w:r w:rsidR="00134A61">
        <w:rPr>
          <w:rFonts w:hint="cs"/>
          <w:rtl/>
        </w:rPr>
        <w:t>ב</w:t>
      </w:r>
      <w:r>
        <w:rPr>
          <w:rFonts w:hint="cs"/>
          <w:rtl/>
        </w:rPr>
        <w:t>פעם אחרת). וחז"ל לקחו את פסוק ז וחתכו אותו אחרי המילה ונקה (בניגוד ברור לטעמי המקרא) וחברוהו עם פסוק ו: ה' ה' אל רחום וחנון וכו'</w:t>
      </w:r>
      <w:r w:rsidR="00170639">
        <w:rPr>
          <w:rFonts w:hint="cs"/>
          <w:rtl/>
        </w:rPr>
        <w:t xml:space="preserve"> (</w:t>
      </w:r>
      <w:r>
        <w:rPr>
          <w:rFonts w:hint="cs"/>
          <w:rtl/>
        </w:rPr>
        <w:t>ראה שם במקרא) ויצרו את תפילת יג מדות שאנו אומרים תדיר ובפרט בימים הנוראים. חיתוך זה מותיר את החלק הקשה של הפסוק: "פוקד עוון אבות על בנים וכו' " מחוץ ליג מ</w:t>
      </w:r>
      <w:r w:rsidR="00170639">
        <w:rPr>
          <w:rFonts w:hint="cs"/>
          <w:rtl/>
        </w:rPr>
        <w:t>י</w:t>
      </w:r>
      <w:r>
        <w:rPr>
          <w:rFonts w:hint="cs"/>
          <w:rtl/>
        </w:rPr>
        <w:t xml:space="preserve">דות </w:t>
      </w:r>
      <w:r w:rsidR="00C8796E">
        <w:rPr>
          <w:rFonts w:hint="cs"/>
          <w:rtl/>
        </w:rPr>
        <w:t xml:space="preserve">בסדר תפילותינו </w:t>
      </w:r>
      <w:r>
        <w:rPr>
          <w:rFonts w:hint="cs"/>
          <w:rtl/>
        </w:rPr>
        <w:t>ודווקא בו אנו מבקשים ל</w:t>
      </w:r>
      <w:r w:rsidR="00A86F4B">
        <w:rPr>
          <w:rFonts w:hint="cs"/>
          <w:rtl/>
        </w:rPr>
        <w:t>התמקד</w:t>
      </w:r>
      <w:r>
        <w:rPr>
          <w:rFonts w:hint="cs"/>
          <w:rtl/>
        </w:rPr>
        <w:t>.</w:t>
      </w:r>
    </w:p>
  </w:footnote>
  <w:footnote w:id="2">
    <w:p w:rsidR="005E217F" w:rsidRDefault="005E217F" w:rsidP="00701874">
      <w:pPr>
        <w:pStyle w:val="a3"/>
        <w:rPr>
          <w:rFonts w:hint="cs"/>
          <w:rtl/>
        </w:rPr>
      </w:pPr>
      <w:r>
        <w:rPr>
          <w:rStyle w:val="a5"/>
        </w:rPr>
        <w:footnoteRef/>
      </w:r>
      <w:r>
        <w:rPr>
          <w:rtl/>
        </w:rPr>
        <w:t xml:space="preserve"> </w:t>
      </w:r>
      <w:r>
        <w:rPr>
          <w:rFonts w:hint="cs"/>
          <w:rtl/>
        </w:rPr>
        <w:t>וחזרו הדברים בשבע מדות של פרשת שלח לך לאחר חטא המרגלים, בהם, כך נראה, נעזר משה בסוד הקריאה שלמד מפי הקב"ה בלוחות השניים. אלא שכאן משה מקצר ומונה רק שבע מדות וכבר עמדנו על ההבדל</w:t>
      </w:r>
      <w:r w:rsidR="00A86F4B">
        <w:rPr>
          <w:rFonts w:hint="cs"/>
          <w:rtl/>
        </w:rPr>
        <w:t xml:space="preserve"> זה </w:t>
      </w:r>
      <w:r>
        <w:rPr>
          <w:rFonts w:hint="cs"/>
          <w:rtl/>
        </w:rPr>
        <w:t xml:space="preserve">בדברינו </w:t>
      </w:r>
      <w:hyperlink r:id="rId1" w:history="1">
        <w:r w:rsidRPr="005E217F">
          <w:rPr>
            <w:rStyle w:val="Hyperlink"/>
            <w:rFonts w:hint="cs"/>
            <w:rtl/>
          </w:rPr>
          <w:t>שבע מדות כ</w:t>
        </w:r>
        <w:r w:rsidRPr="005E217F">
          <w:rPr>
            <w:rStyle w:val="Hyperlink"/>
            <w:rFonts w:hint="cs"/>
            <w:rtl/>
          </w:rPr>
          <w:t>נ</w:t>
        </w:r>
        <w:r w:rsidRPr="005E217F">
          <w:rPr>
            <w:rStyle w:val="Hyperlink"/>
            <w:rFonts w:hint="cs"/>
            <w:rtl/>
          </w:rPr>
          <w:t>ג</w:t>
        </w:r>
        <w:r w:rsidRPr="005E217F">
          <w:rPr>
            <w:rStyle w:val="Hyperlink"/>
            <w:rFonts w:hint="cs"/>
            <w:rtl/>
          </w:rPr>
          <w:t>ד יג מדות</w:t>
        </w:r>
      </w:hyperlink>
      <w:r>
        <w:rPr>
          <w:rFonts w:hint="cs"/>
          <w:rtl/>
        </w:rPr>
        <w:t xml:space="preserve"> בפרשת שלח לך. </w:t>
      </w:r>
      <w:r w:rsidR="00A86F4B">
        <w:rPr>
          <w:rFonts w:hint="cs"/>
          <w:rtl/>
        </w:rPr>
        <w:t>ודא עקא, ש</w:t>
      </w:r>
      <w:r>
        <w:rPr>
          <w:rFonts w:hint="cs"/>
          <w:rtl/>
        </w:rPr>
        <w:t xml:space="preserve">משה מקצר </w:t>
      </w:r>
      <w:r w:rsidR="00A86F4B">
        <w:rPr>
          <w:rFonts w:hint="cs"/>
          <w:rtl/>
        </w:rPr>
        <w:t xml:space="preserve">דווקא </w:t>
      </w:r>
      <w:r>
        <w:rPr>
          <w:rFonts w:hint="cs"/>
          <w:rtl/>
        </w:rPr>
        <w:t>במ</w:t>
      </w:r>
      <w:r w:rsidR="00170639">
        <w:rPr>
          <w:rFonts w:hint="cs"/>
          <w:rtl/>
        </w:rPr>
        <w:t>י</w:t>
      </w:r>
      <w:r>
        <w:rPr>
          <w:rFonts w:hint="cs"/>
          <w:rtl/>
        </w:rPr>
        <w:t>דות הטובות, אך לא בדברים הקשים, אותם שחז"ל הוציאו מיג המ</w:t>
      </w:r>
      <w:r w:rsidR="00170639">
        <w:rPr>
          <w:rFonts w:hint="cs"/>
          <w:rtl/>
        </w:rPr>
        <w:t>י</w:t>
      </w:r>
      <w:r>
        <w:rPr>
          <w:rFonts w:hint="cs"/>
          <w:rtl/>
        </w:rPr>
        <w:t>דות, כשהוא חוזר ואומר</w:t>
      </w:r>
      <w:r w:rsidR="00170639">
        <w:rPr>
          <w:rFonts w:hint="cs"/>
          <w:rtl/>
        </w:rPr>
        <w:t xml:space="preserve"> שם</w:t>
      </w:r>
      <w:r>
        <w:rPr>
          <w:rFonts w:hint="cs"/>
          <w:rtl/>
        </w:rPr>
        <w:t>: "פוקד עוון אבות על בנים</w:t>
      </w:r>
      <w:r w:rsidR="00A86F4B">
        <w:rPr>
          <w:rFonts w:hint="cs"/>
          <w:rtl/>
        </w:rPr>
        <w:t xml:space="preserve"> על שילשים ועל ריבעים</w:t>
      </w:r>
      <w:r>
        <w:rPr>
          <w:rFonts w:hint="cs"/>
          <w:rtl/>
        </w:rPr>
        <w:t>".</w:t>
      </w:r>
      <w:r w:rsidR="00A86F4B">
        <w:rPr>
          <w:rFonts w:hint="cs"/>
          <w:rtl/>
        </w:rPr>
        <w:t xml:space="preserve"> ואגב, נראה שיש גם הבדל בפירוש מהם בני שילשים (</w:t>
      </w:r>
      <w:r w:rsidR="00701874">
        <w:rPr>
          <w:rFonts w:hint="cs"/>
          <w:rtl/>
        </w:rPr>
        <w:t xml:space="preserve">נכדים או נינים) ובני </w:t>
      </w:r>
      <w:r w:rsidR="00A86F4B">
        <w:rPr>
          <w:rFonts w:hint="cs"/>
          <w:rtl/>
        </w:rPr>
        <w:t>ר</w:t>
      </w:r>
      <w:r w:rsidR="00701874">
        <w:rPr>
          <w:rFonts w:hint="cs"/>
          <w:rtl/>
        </w:rPr>
        <w:t>י</w:t>
      </w:r>
      <w:r w:rsidR="00A86F4B">
        <w:rPr>
          <w:rFonts w:hint="cs"/>
          <w:rtl/>
        </w:rPr>
        <w:t xml:space="preserve">בעים </w:t>
      </w:r>
      <w:r w:rsidR="00701874">
        <w:rPr>
          <w:rFonts w:hint="cs"/>
          <w:rtl/>
        </w:rPr>
        <w:t xml:space="preserve">(נינים או בני נינים) בין הפסוק בשמות ובין הפסוק בספר במדבר וזה עניין אחר </w:t>
      </w:r>
      <w:r w:rsidR="00701874">
        <w:rPr>
          <w:rtl/>
        </w:rPr>
        <w:t>–</w:t>
      </w:r>
      <w:r w:rsidR="00701874">
        <w:rPr>
          <w:rFonts w:hint="cs"/>
          <w:rtl/>
        </w:rPr>
        <w:t xml:space="preserve"> ראה המפרשים שם.</w:t>
      </w:r>
    </w:p>
  </w:footnote>
  <w:footnote w:id="3">
    <w:p w:rsidR="006A57C7" w:rsidRDefault="006A57C7">
      <w:pPr>
        <w:pStyle w:val="a3"/>
        <w:rPr>
          <w:rFonts w:hint="cs"/>
          <w:rtl/>
        </w:rPr>
      </w:pPr>
      <w:r>
        <w:rPr>
          <w:rStyle w:val="a5"/>
        </w:rPr>
        <w:footnoteRef/>
      </w:r>
      <w:r>
        <w:rPr>
          <w:rtl/>
        </w:rPr>
        <w:t xml:space="preserve"> </w:t>
      </w:r>
      <w:r>
        <w:rPr>
          <w:rFonts w:hint="cs"/>
          <w:rtl/>
        </w:rPr>
        <w:t>כבר קדמו לחטא העגל וחטא המרגלים, דברי הקב"ה במעמד הר סיני, בדיבר השני "לא יהיה לך אלהים אחרים על פני". וחזרו כמובן ונשנו ב</w:t>
      </w:r>
      <w:r w:rsidR="00170639">
        <w:rPr>
          <w:rFonts w:hint="cs"/>
          <w:rtl/>
        </w:rPr>
        <w:t xml:space="preserve">דברות </w:t>
      </w:r>
      <w:r>
        <w:rPr>
          <w:rFonts w:hint="cs"/>
          <w:rtl/>
        </w:rPr>
        <w:t>ספר דברים פרשת ואתחנן פרק ה פסוק ט. כאן אין שום מדה טובה, שום רחום וחנוך, ארך אפיים או נוצר חסד לאלפים. ובמקומם: אל קנא. מאידך, הרי הוא מסיים ואומר: "לשונאי" שאפשר שהוא פתח להקלה. בסה"כ יש לנו איפוא בתורה ארבעה אזכורים של "פוקד עוון אבות על בנים" והדבר (הקשה הזה) אומר דרשני.</w:t>
      </w:r>
    </w:p>
  </w:footnote>
  <w:footnote w:id="4">
    <w:p w:rsidR="005E1C79" w:rsidRDefault="005E1C79" w:rsidP="00170639">
      <w:pPr>
        <w:pStyle w:val="a3"/>
        <w:rPr>
          <w:rFonts w:hint="cs"/>
          <w:rtl/>
        </w:rPr>
      </w:pPr>
      <w:r>
        <w:rPr>
          <w:rStyle w:val="a5"/>
        </w:rPr>
        <w:footnoteRef/>
      </w:r>
      <w:r>
        <w:rPr>
          <w:rtl/>
        </w:rPr>
        <w:t xml:space="preserve"> </w:t>
      </w:r>
      <w:r>
        <w:rPr>
          <w:rFonts w:hint="cs"/>
          <w:rtl/>
        </w:rPr>
        <w:t xml:space="preserve">ובספר </w:t>
      </w:r>
      <w:r>
        <w:rPr>
          <w:rtl/>
        </w:rPr>
        <w:t>מלכים ב פרק יד</w:t>
      </w:r>
      <w:r>
        <w:rPr>
          <w:rFonts w:hint="cs"/>
          <w:rtl/>
        </w:rPr>
        <w:t xml:space="preserve"> מסופר על אמציה בן יואש מלך יהודה שלאחר שהתחזק בממלכתו נקם באלה שמרדו באביו, אך</w:t>
      </w:r>
      <w:r w:rsidR="008D71C7">
        <w:rPr>
          <w:rFonts w:hint="cs"/>
          <w:rtl/>
        </w:rPr>
        <w:t xml:space="preserve"> רק בהם</w:t>
      </w:r>
      <w:r>
        <w:rPr>
          <w:rFonts w:hint="cs"/>
          <w:rtl/>
        </w:rPr>
        <w:t>: "</w:t>
      </w:r>
      <w:r>
        <w:rPr>
          <w:rtl/>
        </w:rPr>
        <w:t xml:space="preserve">וְאֶת בְּנֵי הַמַּכִּים לֹא הֵמִית כַּכָּתוּב בְּסֵפֶר תּוֹרַת מֹשֶׁה אֲשֶׁר צִוָּה </w:t>
      </w:r>
      <w:r>
        <w:rPr>
          <w:rFonts w:hint="cs"/>
          <w:rtl/>
        </w:rPr>
        <w:t>ה'</w:t>
      </w:r>
      <w:r>
        <w:rPr>
          <w:rtl/>
        </w:rPr>
        <w:t xml:space="preserve"> לֵאמֹר לֹא יוּמְתוּ אָבוֹת עַל בָּנִים וּבָנִים לֹא יוּמְתוּ עַל אָבוֹת כִּי אִם אִישׁ בְּחֶטְאוֹ יוּמָת</w:t>
      </w:r>
      <w:r>
        <w:rPr>
          <w:rFonts w:hint="cs"/>
          <w:rtl/>
        </w:rPr>
        <w:t>". בהמשך נראה שניתן לנביא יחזקאל קרדיט רב על קביעת עקרון זה, עד כדי עימות עם דברי התורה (משה), אבל בתורה עצמה כבר מוצגת בספר דברים הדעה שאין פקידת עוון אבות על בנים ו"איש בחטאו יומת" ואיש בצדקתו יחיה. בשונה ממה שראינו בספרים שמות ובמדבר (וגם בדברים פרשת ואתחנן).</w:t>
      </w:r>
    </w:p>
  </w:footnote>
  <w:footnote w:id="5">
    <w:p w:rsidR="00B823FF" w:rsidRDefault="00B823FF">
      <w:pPr>
        <w:pStyle w:val="a3"/>
        <w:rPr>
          <w:rFonts w:hint="cs"/>
          <w:rtl/>
        </w:rPr>
      </w:pPr>
      <w:r>
        <w:rPr>
          <w:rStyle w:val="a5"/>
        </w:rPr>
        <w:footnoteRef/>
      </w:r>
      <w:r>
        <w:rPr>
          <w:rtl/>
        </w:rPr>
        <w:t xml:space="preserve"> </w:t>
      </w:r>
      <w:r>
        <w:rPr>
          <w:rFonts w:hint="cs"/>
          <w:rtl/>
        </w:rPr>
        <w:t>פרק שלם מקדיש יחזקאל לנושא חטאי אבות ובנים, נכון יותר למוטיב התשובה וההשתנות, לאפשרות של קלקול מחד גיסא ותשובה ותיקון מאידך גיסא. ראה הפרק המיוחד הזה שם: "</w:t>
      </w:r>
      <w:r>
        <w:rPr>
          <w:rtl/>
        </w:rPr>
        <w:t>מַה לָּכֶם אַתֶּם מֹשְׁלִים אֶת הַמָּשָׁל הַזֶּה עַל אַדְמַת יִשְׂרָאֵל לֵאמֹר אָבוֹת יֹאכְלוּ בֹסֶר וְשִׁנֵּי הַבָּנִים תִקְהֶינָה</w:t>
      </w:r>
      <w:r>
        <w:rPr>
          <w:rFonts w:hint="cs"/>
          <w:rtl/>
        </w:rPr>
        <w:t xml:space="preserve"> ... </w:t>
      </w:r>
      <w:r>
        <w:rPr>
          <w:rtl/>
        </w:rPr>
        <w:t>הֵן כָּל הַנְּפָשׁוֹת לִי הֵנָּה כְּנֶפֶשׁ הָאָב וּכְנֶפֶשׁ הַבֵּן לִי הֵנָּה הַנֶּפֶשׁ הַחֹטֵאת הִיא תָמוּת</w:t>
      </w:r>
      <w:r>
        <w:rPr>
          <w:rFonts w:hint="cs"/>
          <w:rtl/>
        </w:rPr>
        <w:t>". עיקר הפרק הוא המשל של אב צדיק שהוליד בן רשע והבן הרשע הוליד בן (נכד) שחזר להיות צדיק כסבא שלו. כל אחד מהם נידון לפי מעשיו, אומר יחזקאל וקובע כאמור: "</w:t>
      </w:r>
      <w:r>
        <w:rPr>
          <w:rtl/>
        </w:rPr>
        <w:t>הַנֶּפֶשׁ הַחֹטֵאת הִיא תָמוּת בֵּן לֹא יִשָּׂא בַּעֲוֹן הָאָב וְאָב לֹא יִשָּׂא בַּעֲוֹן הַבֵּן צִדְקַת הַצַּדִּיק עָלָיו תִּהְיֶה וְרִשְׁעַת רשע הָרָשָׁע עָלָיו תִּהְיֶה</w:t>
      </w:r>
      <w:r>
        <w:rPr>
          <w:rFonts w:hint="cs"/>
          <w:rtl/>
        </w:rPr>
        <w:t>". בני ישראל, קהל שומעיו של יחזקאל אומרים: "</w:t>
      </w:r>
      <w:r>
        <w:rPr>
          <w:rtl/>
        </w:rPr>
        <w:t>לֹא יִתָּכֵן דֶּרֶךְ אֲדֹנָי</w:t>
      </w:r>
      <w:r>
        <w:rPr>
          <w:rFonts w:hint="cs"/>
          <w:rtl/>
        </w:rPr>
        <w:t>" והוא שב ועונה להם: "</w:t>
      </w:r>
      <w:r>
        <w:rPr>
          <w:rtl/>
        </w:rPr>
        <w:t>הֲדַרְכִּי לֹא יִתָּכֵן הֲלֹא דַרְכֵיכֶם לֹא יִתָּכֵנוּ:</w:t>
      </w:r>
      <w:r>
        <w:rPr>
          <w:rFonts w:hint="cs"/>
          <w:rtl/>
        </w:rPr>
        <w:t xml:space="preserve"> </w:t>
      </w:r>
      <w:r>
        <w:rPr>
          <w:rtl/>
        </w:rPr>
        <w:t>בְּשׁוּב צַדִּיק מִצִּדְקָתוֹ וְעָשָׂה עָוֶל וּמֵת עֲלֵיהֶם בְּעַוְלוֹ אֲשֶׁר עָשָׂה יָמוּת:</w:t>
      </w:r>
      <w:r>
        <w:rPr>
          <w:rFonts w:hint="cs"/>
          <w:rtl/>
        </w:rPr>
        <w:t xml:space="preserve"> </w:t>
      </w:r>
      <w:r>
        <w:rPr>
          <w:rtl/>
        </w:rPr>
        <w:t>וּבְשׁוּב רָשָׁע מֵרִשְׁעָתוֹ אֲשֶׁר עָשָׂה וַיַּעַשׂ מִשְׁפָּט וּצְדָקָה הוּא אֶת נַפְשׁוֹ יְחַיֶּה</w:t>
      </w:r>
      <w:r>
        <w:rPr>
          <w:rFonts w:hint="cs"/>
          <w:rtl/>
        </w:rPr>
        <w:t>". וכך מתברר שלא רק בדיון על שכר ועונש עסקינן, אלא במוטיב התשובה. מדיון פילוסופי על שכר ועונש, צדק ורשע בין דורות, עובר יחזקאל לקריאה לעם לחזור בתשובה, לחזור לחיים, ולא להתייאש מהסבל והפורענות, כפי שהוא מסיים שם בפסוקים שאנו מצטטים בהרחבה בתפילות הימים הנוראים: "</w:t>
      </w:r>
      <w:r>
        <w:rPr>
          <w:rtl/>
        </w:rPr>
        <w:t>הֶחָפֹץ אֶחְפֹּץ מוֹת רָשָׁע נְאֻם אֲדֹנָי ה' הֲלוֹא בְּשׁוּבוֹ מִדְּרָכָיו וְחָיָה</w:t>
      </w:r>
      <w:r>
        <w:rPr>
          <w:rFonts w:hint="cs"/>
          <w:rtl/>
        </w:rPr>
        <w:t xml:space="preserve"> ... </w:t>
      </w:r>
      <w:r>
        <w:rPr>
          <w:rtl/>
        </w:rPr>
        <w:t>כִּי לֹא אֶחְפֹּץ בְּמוֹת הַמֵּת נְאֻם אֲדֹנָי ה' וְהָשִׁיבוּ וִחְיוּ</w:t>
      </w:r>
      <w:r>
        <w:rPr>
          <w:rFonts w:hint="cs"/>
          <w:rtl/>
        </w:rPr>
        <w:t>". לא בכדי מסומן פרק זה כפרק ח"י.</w:t>
      </w:r>
    </w:p>
  </w:footnote>
  <w:footnote w:id="6">
    <w:p w:rsidR="005B240C" w:rsidRDefault="005B240C" w:rsidP="00330ED8">
      <w:pPr>
        <w:pStyle w:val="a3"/>
        <w:rPr>
          <w:rFonts w:hint="cs"/>
          <w:rtl/>
        </w:rPr>
      </w:pPr>
      <w:r>
        <w:rPr>
          <w:rStyle w:val="a5"/>
        </w:rPr>
        <w:footnoteRef/>
      </w:r>
      <w:r>
        <w:rPr>
          <w:rtl/>
        </w:rPr>
        <w:t xml:space="preserve"> </w:t>
      </w:r>
      <w:r>
        <w:rPr>
          <w:rFonts w:hint="cs"/>
          <w:rtl/>
        </w:rPr>
        <w:t>לא מצאנו משניות בנושא, לפיכך נלך כסדר ממדרשי ההלכה אל הגמרא ו</w:t>
      </w:r>
      <w:r w:rsidR="00330ED8">
        <w:rPr>
          <w:rFonts w:hint="cs"/>
          <w:rtl/>
        </w:rPr>
        <w:t xml:space="preserve">מם אל </w:t>
      </w:r>
      <w:r>
        <w:rPr>
          <w:rFonts w:hint="cs"/>
          <w:rtl/>
        </w:rPr>
        <w:t>מדרשי האגדה ונשלים במפרשי המקרא ככל ש</w:t>
      </w:r>
      <w:r w:rsidR="00330ED8">
        <w:rPr>
          <w:rFonts w:hint="cs"/>
          <w:rtl/>
        </w:rPr>
        <w:t>נ</w:t>
      </w:r>
      <w:r>
        <w:rPr>
          <w:rFonts w:hint="cs"/>
          <w:rtl/>
        </w:rPr>
        <w:t>ספיק</w:t>
      </w:r>
      <w:r w:rsidR="00330ED8">
        <w:rPr>
          <w:rFonts w:hint="cs"/>
          <w:rtl/>
        </w:rPr>
        <w:t>. ובוודאי שלא נכסה את כל המקורות והמפרשים בעניין חשוב ומורכב זה.</w:t>
      </w:r>
      <w:r>
        <w:rPr>
          <w:rFonts w:hint="cs"/>
          <w:rtl/>
        </w:rPr>
        <w:t xml:space="preserve"> </w:t>
      </w:r>
    </w:p>
  </w:footnote>
  <w:footnote w:id="7">
    <w:p w:rsidR="0010128C" w:rsidRDefault="0010128C" w:rsidP="000D3303">
      <w:pPr>
        <w:pStyle w:val="a3"/>
        <w:rPr>
          <w:rFonts w:hint="cs"/>
          <w:rtl/>
        </w:rPr>
      </w:pPr>
      <w:r>
        <w:rPr>
          <w:rStyle w:val="a5"/>
        </w:rPr>
        <w:footnoteRef/>
      </w:r>
      <w:r>
        <w:rPr>
          <w:rtl/>
        </w:rPr>
        <w:t xml:space="preserve"> </w:t>
      </w:r>
      <w:r w:rsidR="000D3303">
        <w:rPr>
          <w:rFonts w:hint="cs"/>
          <w:rtl/>
        </w:rPr>
        <w:t>או מש</w:t>
      </w:r>
      <w:r w:rsidR="000D3303">
        <w:rPr>
          <w:rFonts w:hint="eastAsia"/>
          <w:rtl/>
        </w:rPr>
        <w:t>ׂ</w:t>
      </w:r>
      <w:r w:rsidR="000D3303">
        <w:rPr>
          <w:rFonts w:hint="cs"/>
          <w:rtl/>
        </w:rPr>
        <w:t xml:space="preserve">ורגין, </w:t>
      </w:r>
      <w:r>
        <w:rPr>
          <w:rFonts w:hint="cs"/>
          <w:rtl/>
        </w:rPr>
        <w:t>ה</w:t>
      </w:r>
      <w:r w:rsidR="00134A61">
        <w:rPr>
          <w:rFonts w:hint="cs"/>
          <w:rtl/>
        </w:rPr>
        <w:t>י</w:t>
      </w:r>
      <w:r>
        <w:rPr>
          <w:rFonts w:hint="cs"/>
          <w:rtl/>
        </w:rPr>
        <w:t>ינו שכולם ברצף עוברי עבירה</w:t>
      </w:r>
      <w:r w:rsidR="00134A61">
        <w:rPr>
          <w:rFonts w:hint="cs"/>
          <w:rtl/>
        </w:rPr>
        <w:t xml:space="preserve"> ולא אחד צדיק ואחד רשע, כמו לסירוגין בלשון ימינו</w:t>
      </w:r>
      <w:r w:rsidR="000D3303">
        <w:rPr>
          <w:rFonts w:hint="cs"/>
          <w:rtl/>
        </w:rPr>
        <w:t>, או ההפך?</w:t>
      </w:r>
    </w:p>
  </w:footnote>
  <w:footnote w:id="8">
    <w:p w:rsidR="00134A61" w:rsidRDefault="00134A61" w:rsidP="002160A9">
      <w:pPr>
        <w:pStyle w:val="a3"/>
        <w:rPr>
          <w:rFonts w:hint="cs"/>
          <w:rtl/>
        </w:rPr>
      </w:pPr>
      <w:r>
        <w:rPr>
          <w:rStyle w:val="a5"/>
        </w:rPr>
        <w:footnoteRef/>
      </w:r>
      <w:r>
        <w:rPr>
          <w:rtl/>
        </w:rPr>
        <w:t xml:space="preserve"> </w:t>
      </w:r>
      <w:r>
        <w:rPr>
          <w:rFonts w:hint="cs"/>
          <w:rtl/>
        </w:rPr>
        <w:t>ומכאן כנראה לקח הקליר את פיוטו הידוע לפורים: "אץ קוצץ בן קוצץ". והרי לנו גם מענייני דיומא, פורים אחר כותלנו.</w:t>
      </w:r>
    </w:p>
  </w:footnote>
  <w:footnote w:id="9">
    <w:p w:rsidR="00134A61" w:rsidRDefault="00134A61" w:rsidP="000D3303">
      <w:pPr>
        <w:pStyle w:val="a3"/>
        <w:rPr>
          <w:rFonts w:hint="cs"/>
        </w:rPr>
      </w:pPr>
      <w:r>
        <w:rPr>
          <w:rStyle w:val="a5"/>
        </w:rPr>
        <w:footnoteRef/>
      </w:r>
      <w:r>
        <w:rPr>
          <w:rtl/>
        </w:rPr>
        <w:t xml:space="preserve"> </w:t>
      </w:r>
      <w:r>
        <w:rPr>
          <w:rFonts w:hint="cs"/>
          <w:rtl/>
        </w:rPr>
        <w:t xml:space="preserve">היינו שהאזהרה "פוקד עוון אבות על בנים" וכו' היא תיאורטית </w:t>
      </w:r>
      <w:r w:rsidR="00771E51">
        <w:rPr>
          <w:rFonts w:hint="cs"/>
          <w:rtl/>
        </w:rPr>
        <w:t xml:space="preserve">ו"אין מצב" של </w:t>
      </w:r>
      <w:r>
        <w:rPr>
          <w:rFonts w:hint="cs"/>
          <w:rtl/>
        </w:rPr>
        <w:t>שלושה דורות של רשעים</w:t>
      </w:r>
      <w:r w:rsidR="00771E51">
        <w:rPr>
          <w:rFonts w:hint="cs"/>
          <w:rtl/>
        </w:rPr>
        <w:t xml:space="preserve"> ברצף</w:t>
      </w:r>
      <w:r>
        <w:rPr>
          <w:rFonts w:hint="cs"/>
          <w:rtl/>
        </w:rPr>
        <w:t>. אך מה עם בן ישיר</w:t>
      </w:r>
      <w:r w:rsidR="00771E51">
        <w:rPr>
          <w:rFonts w:hint="cs"/>
          <w:rtl/>
        </w:rPr>
        <w:t>, שני דורות, רשע בן רשע</w:t>
      </w:r>
      <w:r>
        <w:rPr>
          <w:rFonts w:hint="cs"/>
          <w:rtl/>
        </w:rPr>
        <w:t>? מכאן, עכ"פ ממשיך המדרש בשבח המידה הטובה כנגד הפורענות.</w:t>
      </w:r>
    </w:p>
  </w:footnote>
  <w:footnote w:id="10">
    <w:p w:rsidR="00741030" w:rsidRDefault="00741030" w:rsidP="000D3303">
      <w:pPr>
        <w:pStyle w:val="a3"/>
        <w:rPr>
          <w:rFonts w:hint="cs"/>
          <w:rtl/>
        </w:rPr>
      </w:pPr>
      <w:r>
        <w:rPr>
          <w:rStyle w:val="a5"/>
        </w:rPr>
        <w:footnoteRef/>
      </w:r>
      <w:r>
        <w:rPr>
          <w:rtl/>
        </w:rPr>
        <w:t xml:space="preserve"> </w:t>
      </w:r>
      <w:r w:rsidR="00386032">
        <w:rPr>
          <w:rFonts w:hint="cs"/>
          <w:rtl/>
        </w:rPr>
        <w:t>ראה הפסוקים שם בדברים, פרשת ואתחנן: "</w:t>
      </w:r>
      <w:r w:rsidR="00386032">
        <w:rPr>
          <w:rtl/>
        </w:rPr>
        <w:t xml:space="preserve">וְיָדַעְתָּ כִּי </w:t>
      </w:r>
      <w:r w:rsidR="0001346C">
        <w:rPr>
          <w:rFonts w:hint="cs"/>
          <w:rtl/>
        </w:rPr>
        <w:t>ה'</w:t>
      </w:r>
      <w:r w:rsidR="00386032">
        <w:rPr>
          <w:rtl/>
        </w:rPr>
        <w:t xml:space="preserve"> אֱלֹהֶיךָ הוּא הָאֱלֹהִים הָאֵל הַנֶּאֱמָן שֹׁמֵר הַבְּרִית וְהַחֶסֶד לְאֹהֲבָיו וּלְשֹׁמְרֵי מִצְוֹתָיו לְאֶלֶף דּוֹר:</w:t>
      </w:r>
      <w:r w:rsidR="00386032">
        <w:rPr>
          <w:rFonts w:hint="cs"/>
          <w:rtl/>
        </w:rPr>
        <w:t xml:space="preserve"> </w:t>
      </w:r>
      <w:r w:rsidR="00386032">
        <w:rPr>
          <w:rtl/>
        </w:rPr>
        <w:t>וּמְשַׁלֵּם לְשֹׂנְאָיו אֶל פָּנָיו לְהַאֲבִידוֹ לֹא יְאַחֵר לְשֹׂנְאוֹ אֶל פָּנָיו יְשַׁלֶּם לוֹ</w:t>
      </w:r>
      <w:r w:rsidR="00386032">
        <w:rPr>
          <w:rFonts w:hint="cs"/>
          <w:rtl/>
        </w:rPr>
        <w:t xml:space="preserve">". לא זכינו להבין מדוע "לאלף דור" הוא יותר מאשר "לאלפים" (ראה רש"י ואבן עזרא על הפסוקים שם בפרשת ואתחנן). עכ"פ ראה מדרשים משלימים </w:t>
      </w:r>
      <w:r>
        <w:rPr>
          <w:rtl/>
        </w:rPr>
        <w:t>תוספתא סוטה פרק ד</w:t>
      </w:r>
      <w:r>
        <w:rPr>
          <w:rFonts w:hint="cs"/>
          <w:rtl/>
        </w:rPr>
        <w:t>: "</w:t>
      </w:r>
      <w:r>
        <w:rPr>
          <w:rtl/>
        </w:rPr>
        <w:t>אין לי אלא מדת פורענות שבמדה שאדם מודד בה מודדין לו</w:t>
      </w:r>
      <w:r>
        <w:rPr>
          <w:rFonts w:hint="cs"/>
          <w:rtl/>
        </w:rPr>
        <w:t>,</w:t>
      </w:r>
      <w:r>
        <w:rPr>
          <w:rtl/>
        </w:rPr>
        <w:t xml:space="preserve"> מדת הטוב מנין</w:t>
      </w:r>
      <w:r>
        <w:rPr>
          <w:rFonts w:hint="cs"/>
          <w:rtl/>
        </w:rPr>
        <w:t>?</w:t>
      </w:r>
      <w:r>
        <w:rPr>
          <w:rtl/>
        </w:rPr>
        <w:t xml:space="preserve"> אמרת מרובה מדת הטוב ממדת הפורענות על אחת מחמש מאות</w:t>
      </w:r>
      <w:r w:rsidR="00386032">
        <w:rPr>
          <w:rFonts w:hint="cs"/>
          <w:rtl/>
        </w:rPr>
        <w:t>.</w:t>
      </w:r>
      <w:r>
        <w:rPr>
          <w:rtl/>
        </w:rPr>
        <w:t xml:space="preserve"> במדת פורענות כת</w:t>
      </w:r>
      <w:r>
        <w:rPr>
          <w:rFonts w:hint="cs"/>
          <w:rtl/>
        </w:rPr>
        <w:t>יב</w:t>
      </w:r>
      <w:r>
        <w:rPr>
          <w:rtl/>
        </w:rPr>
        <w:t xml:space="preserve"> פוקד עון אבות על בנים ועל בני בנים על שלשים ועל רבעים</w:t>
      </w:r>
      <w:r w:rsidR="00386032">
        <w:rPr>
          <w:rFonts w:hint="cs"/>
          <w:rtl/>
        </w:rPr>
        <w:t>,</w:t>
      </w:r>
      <w:r>
        <w:rPr>
          <w:rtl/>
        </w:rPr>
        <w:t xml:space="preserve"> במדת הטוב כת</w:t>
      </w:r>
      <w:r>
        <w:rPr>
          <w:rFonts w:hint="cs"/>
          <w:rtl/>
        </w:rPr>
        <w:t>יב</w:t>
      </w:r>
      <w:r>
        <w:rPr>
          <w:rtl/>
        </w:rPr>
        <w:t xml:space="preserve"> ועושה חסד לאלפים</w:t>
      </w:r>
      <w:r w:rsidR="00386032">
        <w:rPr>
          <w:rFonts w:hint="cs"/>
          <w:rtl/>
        </w:rPr>
        <w:t>.</w:t>
      </w:r>
      <w:r>
        <w:rPr>
          <w:rtl/>
        </w:rPr>
        <w:t xml:space="preserve"> הוי אומ</w:t>
      </w:r>
      <w:r w:rsidR="00386032">
        <w:rPr>
          <w:rFonts w:hint="cs"/>
          <w:rtl/>
        </w:rPr>
        <w:t>ר:</w:t>
      </w:r>
      <w:r>
        <w:rPr>
          <w:rtl/>
        </w:rPr>
        <w:t xml:space="preserve"> מרובה מדת הטוב ממדת פורענות על אחד מחמש מאות</w:t>
      </w:r>
      <w:r>
        <w:rPr>
          <w:rFonts w:hint="cs"/>
          <w:rtl/>
        </w:rPr>
        <w:t xml:space="preserve">". וראה עוד </w:t>
      </w:r>
      <w:r>
        <w:rPr>
          <w:rtl/>
        </w:rPr>
        <w:t>מדרש תנאים לדברים פרק ה</w:t>
      </w:r>
      <w:r>
        <w:rPr>
          <w:rFonts w:hint="cs"/>
          <w:rtl/>
        </w:rPr>
        <w:t>: "</w:t>
      </w:r>
      <w:r>
        <w:rPr>
          <w:rtl/>
        </w:rPr>
        <w:t>פוקד עון אב</w:t>
      </w:r>
      <w:r w:rsidR="00386032">
        <w:rPr>
          <w:rFonts w:hint="cs"/>
          <w:rtl/>
        </w:rPr>
        <w:t>ו</w:t>
      </w:r>
      <w:r>
        <w:rPr>
          <w:rtl/>
        </w:rPr>
        <w:t xml:space="preserve">ת על בנים </w:t>
      </w:r>
      <w:r w:rsidR="00386032">
        <w:rPr>
          <w:rFonts w:hint="cs"/>
          <w:rtl/>
        </w:rPr>
        <w:t xml:space="preserve">- </w:t>
      </w:r>
      <w:r>
        <w:rPr>
          <w:rtl/>
        </w:rPr>
        <w:t>כששמע משה כך</w:t>
      </w:r>
      <w:r w:rsidR="00386032">
        <w:rPr>
          <w:rFonts w:hint="cs"/>
          <w:rtl/>
        </w:rPr>
        <w:t>,</w:t>
      </w:r>
      <w:r>
        <w:rPr>
          <w:rtl/>
        </w:rPr>
        <w:t xml:space="preserve"> נרתע לאח</w:t>
      </w:r>
      <w:r w:rsidR="00386032">
        <w:rPr>
          <w:rFonts w:hint="cs"/>
          <w:rtl/>
        </w:rPr>
        <w:t>ו</w:t>
      </w:r>
      <w:r>
        <w:rPr>
          <w:rtl/>
        </w:rPr>
        <w:t>ריו ונבהל</w:t>
      </w:r>
      <w:r w:rsidR="00386032">
        <w:rPr>
          <w:rFonts w:hint="cs"/>
          <w:rtl/>
        </w:rPr>
        <w:t>,</w:t>
      </w:r>
      <w:r>
        <w:rPr>
          <w:rtl/>
        </w:rPr>
        <w:t xml:space="preserve"> עד שאמר לו</w:t>
      </w:r>
      <w:r w:rsidR="00386032">
        <w:rPr>
          <w:rFonts w:hint="cs"/>
          <w:rtl/>
        </w:rPr>
        <w:t>:</w:t>
      </w:r>
      <w:r>
        <w:rPr>
          <w:rtl/>
        </w:rPr>
        <w:t xml:space="preserve"> בזמן שאינן מסורגין</w:t>
      </w:r>
      <w:r w:rsidR="00386032">
        <w:rPr>
          <w:rFonts w:hint="cs"/>
          <w:rtl/>
        </w:rPr>
        <w:t>.</w:t>
      </w:r>
      <w:r>
        <w:rPr>
          <w:rtl/>
        </w:rPr>
        <w:t xml:space="preserve"> או אפ</w:t>
      </w:r>
      <w:r w:rsidR="00386032">
        <w:rPr>
          <w:rFonts w:hint="cs"/>
          <w:rtl/>
        </w:rPr>
        <w:t>י</w:t>
      </w:r>
      <w:r>
        <w:rPr>
          <w:rtl/>
        </w:rPr>
        <w:t>לו הן מסורגין</w:t>
      </w:r>
      <w:r w:rsidR="00386032">
        <w:rPr>
          <w:rFonts w:hint="cs"/>
          <w:rtl/>
        </w:rPr>
        <w:t>?</w:t>
      </w:r>
      <w:r>
        <w:rPr>
          <w:rtl/>
        </w:rPr>
        <w:t xml:space="preserve"> </w:t>
      </w:r>
      <w:r w:rsidR="000D3303">
        <w:rPr>
          <w:rtl/>
        </w:rPr>
        <w:t>תלמוד לומר:</w:t>
      </w:r>
      <w:r>
        <w:rPr>
          <w:rtl/>
        </w:rPr>
        <w:t xml:space="preserve"> לש</w:t>
      </w:r>
      <w:r w:rsidR="000D3303">
        <w:rPr>
          <w:rFonts w:hint="cs"/>
          <w:rtl/>
        </w:rPr>
        <w:t>ו</w:t>
      </w:r>
      <w:r>
        <w:rPr>
          <w:rtl/>
        </w:rPr>
        <w:t xml:space="preserve">נאי </w:t>
      </w:r>
      <w:r w:rsidR="000D3303">
        <w:rPr>
          <w:rFonts w:hint="cs"/>
          <w:rtl/>
        </w:rPr>
        <w:t xml:space="preserve">- </w:t>
      </w:r>
      <w:r>
        <w:rPr>
          <w:rtl/>
        </w:rPr>
        <w:t>רשע בן רשע בן רשע</w:t>
      </w:r>
      <w:r w:rsidR="000D3303">
        <w:rPr>
          <w:rFonts w:hint="cs"/>
          <w:rtl/>
        </w:rPr>
        <w:t>.</w:t>
      </w:r>
      <w:r>
        <w:rPr>
          <w:rtl/>
        </w:rPr>
        <w:t xml:space="preserve"> ר' נתן אומר</w:t>
      </w:r>
      <w:r w:rsidR="000D3303">
        <w:rPr>
          <w:rFonts w:hint="cs"/>
          <w:rtl/>
        </w:rPr>
        <w:t>:</w:t>
      </w:r>
      <w:r>
        <w:rPr>
          <w:rtl/>
        </w:rPr>
        <w:t xml:space="preserve"> קוצץ בן קוצץ בן קוצץ</w:t>
      </w:r>
      <w:r w:rsidR="000D3303">
        <w:rPr>
          <w:rFonts w:hint="cs"/>
          <w:rtl/>
        </w:rPr>
        <w:t>.</w:t>
      </w:r>
      <w:r>
        <w:rPr>
          <w:rtl/>
        </w:rPr>
        <w:t xml:space="preserve"> כיון ששמע משה את הדבר הזה</w:t>
      </w:r>
      <w:r w:rsidR="000D3303">
        <w:rPr>
          <w:rFonts w:hint="cs"/>
          <w:rtl/>
        </w:rPr>
        <w:t>,</w:t>
      </w:r>
      <w:r>
        <w:rPr>
          <w:rtl/>
        </w:rPr>
        <w:t xml:space="preserve"> מיד וימהר משה ויקוד ארצה וישתחו (שמות לד ח)</w:t>
      </w:r>
      <w:r w:rsidR="000D3303">
        <w:rPr>
          <w:rFonts w:hint="cs"/>
          <w:rtl/>
        </w:rPr>
        <w:t>.</w:t>
      </w:r>
      <w:r>
        <w:rPr>
          <w:rtl/>
        </w:rPr>
        <w:t xml:space="preserve"> אמר</w:t>
      </w:r>
      <w:r w:rsidR="000D3303">
        <w:rPr>
          <w:rFonts w:hint="cs"/>
          <w:rtl/>
        </w:rPr>
        <w:t>:</w:t>
      </w:r>
      <w:r>
        <w:rPr>
          <w:rtl/>
        </w:rPr>
        <w:t xml:space="preserve"> חס ושלום אין בישראל קוצץ בן קוצץ בן קוצץ</w:t>
      </w:r>
      <w:r w:rsidR="000D3303">
        <w:rPr>
          <w:rFonts w:hint="cs"/>
          <w:rtl/>
        </w:rPr>
        <w:t>.</w:t>
      </w:r>
      <w:r>
        <w:rPr>
          <w:rtl/>
        </w:rPr>
        <w:t xml:space="preserve"> ועושה חסד לאלפים </w:t>
      </w:r>
      <w:r w:rsidR="000D3303">
        <w:rPr>
          <w:rFonts w:hint="cs"/>
          <w:rtl/>
        </w:rPr>
        <w:t xml:space="preserve">- </w:t>
      </w:r>
      <w:r>
        <w:rPr>
          <w:rtl/>
        </w:rPr>
        <w:t>יכול כשם שמדת פורענות לארבעה דורות</w:t>
      </w:r>
      <w:r w:rsidR="000D3303">
        <w:rPr>
          <w:rFonts w:hint="cs"/>
          <w:rtl/>
        </w:rPr>
        <w:t>,</w:t>
      </w:r>
      <w:r>
        <w:rPr>
          <w:rtl/>
        </w:rPr>
        <w:t xml:space="preserve"> כך מדה טובה לארבע דורות</w:t>
      </w:r>
      <w:r w:rsidR="000D3303">
        <w:rPr>
          <w:rFonts w:hint="cs"/>
          <w:rtl/>
        </w:rPr>
        <w:t>?</w:t>
      </w:r>
      <w:r>
        <w:rPr>
          <w:rtl/>
        </w:rPr>
        <w:t xml:space="preserve"> </w:t>
      </w:r>
      <w:r w:rsidR="000D3303">
        <w:rPr>
          <w:rtl/>
        </w:rPr>
        <w:t>תלמוד לומר:</w:t>
      </w:r>
      <w:r>
        <w:rPr>
          <w:rtl/>
        </w:rPr>
        <w:t xml:space="preserve"> ועושה חסד לאלפים</w:t>
      </w:r>
      <w:r w:rsidR="000D3303">
        <w:rPr>
          <w:rFonts w:hint="cs"/>
          <w:rtl/>
        </w:rPr>
        <w:t>.</w:t>
      </w:r>
      <w:r>
        <w:rPr>
          <w:rtl/>
        </w:rPr>
        <w:t xml:space="preserve"> או לאלפים שומע אני מיעוט אלפים שנים</w:t>
      </w:r>
      <w:r w:rsidR="000D3303">
        <w:rPr>
          <w:rFonts w:hint="cs"/>
          <w:rtl/>
        </w:rPr>
        <w:t>?</w:t>
      </w:r>
      <w:r>
        <w:rPr>
          <w:rtl/>
        </w:rPr>
        <w:t xml:space="preserve"> ת</w:t>
      </w:r>
      <w:r w:rsidR="000D3303">
        <w:rPr>
          <w:rFonts w:hint="cs"/>
          <w:rtl/>
        </w:rPr>
        <w:t xml:space="preserve">למוד לומר: </w:t>
      </w:r>
      <w:r>
        <w:rPr>
          <w:rtl/>
        </w:rPr>
        <w:t>לאהבי ולשומרי מצותי לאלף דור</w:t>
      </w:r>
      <w:r w:rsidR="0056664A">
        <w:rPr>
          <w:rFonts w:hint="cs"/>
          <w:rtl/>
        </w:rPr>
        <w:t>,</w:t>
      </w:r>
      <w:r>
        <w:rPr>
          <w:rtl/>
        </w:rPr>
        <w:t xml:space="preserve"> דורים לאין חקר ולאין מספר</w:t>
      </w:r>
      <w:r w:rsidR="0056664A">
        <w:rPr>
          <w:rFonts w:hint="cs"/>
          <w:rtl/>
        </w:rPr>
        <w:t>,</w:t>
      </w:r>
      <w:r>
        <w:rPr>
          <w:rtl/>
        </w:rPr>
        <w:t xml:space="preserve"> כענין שנ</w:t>
      </w:r>
      <w:r w:rsidR="000D3303">
        <w:rPr>
          <w:rFonts w:hint="cs"/>
          <w:rtl/>
        </w:rPr>
        <w:t xml:space="preserve">אמר: </w:t>
      </w:r>
      <w:r>
        <w:rPr>
          <w:rtl/>
        </w:rPr>
        <w:t>וחסדי ה' מעולם ועד עולם על יריאיו</w:t>
      </w:r>
      <w:r w:rsidR="000D3303">
        <w:rPr>
          <w:rFonts w:hint="cs"/>
          <w:rtl/>
        </w:rPr>
        <w:t xml:space="preserve"> </w:t>
      </w:r>
      <w:r w:rsidR="000D3303">
        <w:rPr>
          <w:rtl/>
        </w:rPr>
        <w:t>(תה</w:t>
      </w:r>
      <w:r w:rsidR="000D3303">
        <w:rPr>
          <w:rFonts w:hint="cs"/>
          <w:rtl/>
        </w:rPr>
        <w:t xml:space="preserve">לים </w:t>
      </w:r>
      <w:r w:rsidR="000D3303">
        <w:rPr>
          <w:rtl/>
        </w:rPr>
        <w:t>קג יז)</w:t>
      </w:r>
      <w:r w:rsidR="000D3303">
        <w:rPr>
          <w:rFonts w:hint="cs"/>
          <w:rtl/>
        </w:rPr>
        <w:t>.</w:t>
      </w:r>
    </w:p>
  </w:footnote>
  <w:footnote w:id="11">
    <w:p w:rsidR="0001346C" w:rsidRDefault="0001346C" w:rsidP="00D05774">
      <w:pPr>
        <w:pStyle w:val="a3"/>
        <w:rPr>
          <w:rFonts w:hint="cs"/>
          <w:rtl/>
        </w:rPr>
      </w:pPr>
      <w:r>
        <w:rPr>
          <w:rStyle w:val="a5"/>
        </w:rPr>
        <w:footnoteRef/>
      </w:r>
      <w:r>
        <w:rPr>
          <w:rtl/>
        </w:rPr>
        <w:t xml:space="preserve"> </w:t>
      </w:r>
      <w:r>
        <w:rPr>
          <w:rFonts w:hint="cs"/>
          <w:rtl/>
        </w:rPr>
        <w:t xml:space="preserve">מדרש מכילתא דרשב"י הוא הראשון שמצאנו שמעורר את השאלה של הסתירה בין "פוקד עוון אבות" ובין "איש בחטאו יומת", אלא שמשום מה הוא מעדיף את הפסוקים ביחזקאל על פני הפסוק בדברים (ראה הפסוקים שהבאנו בעמוד הראשון). ומה תשובתו? </w:t>
      </w:r>
      <w:r w:rsidR="00D05774">
        <w:rPr>
          <w:rFonts w:hint="cs"/>
          <w:rtl/>
        </w:rPr>
        <w:t>"</w:t>
      </w:r>
      <w:r>
        <w:rPr>
          <w:rtl/>
        </w:rPr>
        <w:t>אם היו אבות זכאין תולה להן ואם לאו אין תולה להן</w:t>
      </w:r>
      <w:r w:rsidR="00D05774">
        <w:rPr>
          <w:rFonts w:hint="cs"/>
          <w:rtl/>
        </w:rPr>
        <w:t xml:space="preserve">". </w:t>
      </w:r>
      <w:r>
        <w:rPr>
          <w:rFonts w:hint="cs"/>
          <w:rtl/>
        </w:rPr>
        <w:t>נראה להסבירה כך:</w:t>
      </w:r>
      <w:r w:rsidR="00D05774">
        <w:rPr>
          <w:rFonts w:hint="cs"/>
          <w:rtl/>
        </w:rPr>
        <w:t xml:space="preserve"> הכלל של יחזקאל וספר דברים הוא הקובע ואת הפסוק "פוקד עוון אבות" יש להסביר במוטיב ההתחשבות בזכות אבות. אם היו האבות צדיקים, אפשר שייתלה (יומתק, יידחה) עונשם של הבנים, אבל אם לא, אזי ייפקד עליהם עוונם. כפי שהוא ממשיך ומסביר במשל מיוחד. </w:t>
      </w:r>
      <w:r>
        <w:rPr>
          <w:rFonts w:hint="cs"/>
          <w:rtl/>
        </w:rPr>
        <w:t xml:space="preserve"> </w:t>
      </w:r>
    </w:p>
  </w:footnote>
  <w:footnote w:id="12">
    <w:p w:rsidR="00D05774" w:rsidRDefault="00D05774">
      <w:pPr>
        <w:pStyle w:val="a3"/>
        <w:rPr>
          <w:rFonts w:hint="cs"/>
          <w:rtl/>
        </w:rPr>
      </w:pPr>
      <w:r>
        <w:rPr>
          <w:rStyle w:val="a5"/>
        </w:rPr>
        <w:footnoteRef/>
      </w:r>
      <w:r>
        <w:rPr>
          <w:rtl/>
        </w:rPr>
        <w:t xml:space="preserve"> </w:t>
      </w:r>
      <w:r>
        <w:rPr>
          <w:rFonts w:hint="cs"/>
          <w:rtl/>
        </w:rPr>
        <w:t>כפר, התכחש לחוב, או שמא אמר כפר במלך עצמו.</w:t>
      </w:r>
    </w:p>
  </w:footnote>
  <w:footnote w:id="13">
    <w:p w:rsidR="00E17B24" w:rsidRDefault="00E17B24" w:rsidP="0056664A">
      <w:pPr>
        <w:pStyle w:val="a3"/>
        <w:rPr>
          <w:rFonts w:hint="cs"/>
        </w:rPr>
      </w:pPr>
      <w:r>
        <w:rPr>
          <w:rStyle w:val="a5"/>
        </w:rPr>
        <w:footnoteRef/>
      </w:r>
      <w:r>
        <w:rPr>
          <w:rtl/>
        </w:rPr>
        <w:t xml:space="preserve"> </w:t>
      </w:r>
      <w:r>
        <w:rPr>
          <w:rFonts w:hint="cs"/>
          <w:rtl/>
        </w:rPr>
        <w:t xml:space="preserve">מדובר ברצף של רשעים שלווים מהמלך וכופרים בו. אילו בשרשרת הדורות היה גם אב צדיק אחד, שלווה וגם </w:t>
      </w:r>
      <w:r w:rsidR="0056664A">
        <w:rPr>
          <w:rFonts w:hint="cs"/>
          <w:rtl/>
        </w:rPr>
        <w:t>ה</w:t>
      </w:r>
      <w:r>
        <w:rPr>
          <w:rFonts w:hint="cs"/>
          <w:rtl/>
        </w:rPr>
        <w:t xml:space="preserve">חזיר, היינו תולים לבנים, נותנים להם הזדמנות, וסולחים לכמה מחטאיהם בשל זכות אבות. אבל אין המצב כך, אלא דומה לרשע בן רשע בן רשע (שאינן מסורגין) במכילתא דרבי ישמעאל לעיל. </w:t>
      </w:r>
      <w:r w:rsidR="0056664A">
        <w:rPr>
          <w:rFonts w:hint="cs"/>
          <w:rtl/>
        </w:rPr>
        <w:t xml:space="preserve">אבל </w:t>
      </w:r>
      <w:r>
        <w:rPr>
          <w:rFonts w:hint="cs"/>
          <w:rtl/>
        </w:rPr>
        <w:t>עיקר העונש הוא על "חטאי נפשותינו" וחלקם של האבות הוא רק בזה שלא תלו לבנים. ראה איך "על הדרך" הדרשן גם פותר את הפסוק באיכה: "</w:t>
      </w:r>
      <w:r>
        <w:rPr>
          <w:rtl/>
        </w:rPr>
        <w:t>אבותינו חטאו ואינם ואנחנו עונותיהם סבלנו</w:t>
      </w:r>
      <w:r>
        <w:rPr>
          <w:rFonts w:hint="cs"/>
          <w:rtl/>
        </w:rPr>
        <w:t xml:space="preserve">" </w:t>
      </w:r>
      <w:r>
        <w:rPr>
          <w:rtl/>
        </w:rPr>
        <w:t>–</w:t>
      </w:r>
      <w:r>
        <w:rPr>
          <w:rFonts w:hint="cs"/>
          <w:rtl/>
        </w:rPr>
        <w:t xml:space="preserve"> "עוונותינו סבלנו", אומר הדרשן. ונשאיר לדולי המים להסביר מה בדיוק הפירוש של ההלוואה מהמלך ולמהר ולשלוח לנו את תשובותיהם.</w:t>
      </w:r>
    </w:p>
  </w:footnote>
  <w:footnote w:id="14">
    <w:p w:rsidR="00E17B24" w:rsidRDefault="00E17B24">
      <w:pPr>
        <w:pStyle w:val="a3"/>
        <w:rPr>
          <w:rFonts w:hint="cs"/>
          <w:rtl/>
        </w:rPr>
      </w:pPr>
      <w:r>
        <w:rPr>
          <w:rStyle w:val="a5"/>
        </w:rPr>
        <w:footnoteRef/>
      </w:r>
      <w:r>
        <w:rPr>
          <w:rtl/>
        </w:rPr>
        <w:t xml:space="preserve"> </w:t>
      </w:r>
      <w:r>
        <w:rPr>
          <w:rFonts w:hint="cs"/>
          <w:rtl/>
        </w:rPr>
        <w:t xml:space="preserve">הרי לנו סיום מפתיע ומאד אופטימי של פירוש "פוקד עוון אבות" עד דור רביעי. לא שהנין סובל בשל חטאי סבא רבה שלו, אלא ההפך בדיוק, </w:t>
      </w:r>
      <w:r w:rsidR="0056664A">
        <w:rPr>
          <w:rFonts w:hint="cs"/>
          <w:rtl/>
        </w:rPr>
        <w:t>ה</w:t>
      </w:r>
      <w:r>
        <w:rPr>
          <w:rFonts w:hint="cs"/>
          <w:rtl/>
        </w:rPr>
        <w:t>סבא יכול היה לתלות גם לנכד וגם לנין, מספיק שיהיו מסורגין, אבל מה לעשות וכולם רשעים. רק במקרה קיצוני זה  מתקיים "פוקד עוון אבות על בנים". ראה שוב לעיל שעל בשורה זו שמח משה: "</w:t>
      </w:r>
      <w:r>
        <w:rPr>
          <w:rtl/>
        </w:rPr>
        <w:t>כיון ששמע משה את הדבר הזה</w:t>
      </w:r>
      <w:r>
        <w:rPr>
          <w:rFonts w:hint="cs"/>
          <w:rtl/>
        </w:rPr>
        <w:t xml:space="preserve">: </w:t>
      </w:r>
      <w:r>
        <w:rPr>
          <w:rtl/>
        </w:rPr>
        <w:t>ויק</w:t>
      </w:r>
      <w:r>
        <w:rPr>
          <w:rFonts w:hint="cs"/>
          <w:rtl/>
        </w:rPr>
        <w:t>ו</w:t>
      </w:r>
      <w:r>
        <w:rPr>
          <w:rtl/>
        </w:rPr>
        <w:t>ד ארצה וישתחו</w:t>
      </w:r>
      <w:r>
        <w:rPr>
          <w:rFonts w:hint="cs"/>
          <w:rtl/>
        </w:rPr>
        <w:t xml:space="preserve">, </w:t>
      </w:r>
      <w:r>
        <w:rPr>
          <w:rtl/>
        </w:rPr>
        <w:t>אמר</w:t>
      </w:r>
      <w:r>
        <w:rPr>
          <w:rFonts w:hint="cs"/>
          <w:rtl/>
        </w:rPr>
        <w:t>:</w:t>
      </w:r>
      <w:r>
        <w:rPr>
          <w:rtl/>
        </w:rPr>
        <w:t xml:space="preserve"> חס ושלום, אין בישראל רשע בן רשע בן רשע</w:t>
      </w:r>
      <w:r>
        <w:rPr>
          <w:rFonts w:hint="cs"/>
          <w:rtl/>
        </w:rPr>
        <w:t>"</w:t>
      </w:r>
      <w:r>
        <w:rPr>
          <w:rtl/>
        </w:rPr>
        <w:t>.</w:t>
      </w:r>
      <w:r>
        <w:rPr>
          <w:rFonts w:hint="cs"/>
          <w:rtl/>
        </w:rPr>
        <w:t xml:space="preserve"> איך שהדרשנים מצליחים להפוך את הפסוקים על פניהם ולדרוש אותם לטובה!</w:t>
      </w:r>
    </w:p>
  </w:footnote>
  <w:footnote w:id="15">
    <w:p w:rsidR="00A11C4B" w:rsidRDefault="00A11C4B">
      <w:pPr>
        <w:pStyle w:val="a3"/>
        <w:rPr>
          <w:rFonts w:hint="cs"/>
          <w:rtl/>
        </w:rPr>
      </w:pPr>
      <w:r>
        <w:rPr>
          <w:rStyle w:val="a5"/>
        </w:rPr>
        <w:footnoteRef/>
      </w:r>
      <w:r>
        <w:rPr>
          <w:rtl/>
        </w:rPr>
        <w:t xml:space="preserve"> </w:t>
      </w:r>
      <w:r>
        <w:rPr>
          <w:rFonts w:hint="cs"/>
          <w:rtl/>
        </w:rPr>
        <w:t xml:space="preserve">מדובר שם בדין המיוחד של שגגת עבודה זרה הן של הציבור (שמביאים על כך קרבן מיוחד שנקרא פר העלם דבר) והן של היחיד. ובמקצת עניין זה דנו בדברינו </w:t>
      </w:r>
      <w:hyperlink r:id="rId2" w:history="1">
        <w:r w:rsidRPr="00F849D4">
          <w:rPr>
            <w:rStyle w:val="Hyperlink"/>
            <w:rFonts w:hint="cs"/>
            <w:rtl/>
          </w:rPr>
          <w:t>וכי תשגו</w:t>
        </w:r>
      </w:hyperlink>
      <w:r>
        <w:rPr>
          <w:rFonts w:hint="cs"/>
          <w:rtl/>
        </w:rPr>
        <w:t xml:space="preserve"> בפרשת שלח לך. אך בהמשך, מדבר הכתוב על מי שעושה ביד רמה, על מזיד עבודה זרה, ככתוב שם: "</w:t>
      </w:r>
      <w:r>
        <w:rPr>
          <w:rtl/>
        </w:rPr>
        <w:t xml:space="preserve">וְהַנֶּפֶשׁ אֲשֶׁר תַּעֲשֶׂה בְּיָד רָמָה </w:t>
      </w:r>
      <w:r>
        <w:rPr>
          <w:rFonts w:hint="cs"/>
          <w:rtl/>
        </w:rPr>
        <w:t xml:space="preserve">... </w:t>
      </w:r>
      <w:r>
        <w:rPr>
          <w:rtl/>
        </w:rPr>
        <w:t>וְנִכְרְתָה הַנֶּפֶשׁ הַהִוא מִקֶּרֶב עַמָּהּ:</w:t>
      </w:r>
      <w:r>
        <w:rPr>
          <w:rFonts w:hint="cs"/>
          <w:rtl/>
        </w:rPr>
        <w:t xml:space="preserve"> </w:t>
      </w:r>
      <w:r>
        <w:rPr>
          <w:rtl/>
        </w:rPr>
        <w:t xml:space="preserve">כִּי דְבַר </w:t>
      </w:r>
      <w:r>
        <w:rPr>
          <w:rFonts w:hint="cs"/>
          <w:rtl/>
        </w:rPr>
        <w:t>ה'</w:t>
      </w:r>
      <w:r>
        <w:rPr>
          <w:rtl/>
        </w:rPr>
        <w:t xml:space="preserve"> בָּזָה וְאֶת מִצְוָתוֹ הֵפַר הִכָּרֵת תִּכָּרֵת הַנֶּפֶשׁ הַהִוא עֲוֹנָה בָהּ</w:t>
      </w:r>
      <w:r>
        <w:rPr>
          <w:rFonts w:hint="cs"/>
          <w:rtl/>
        </w:rPr>
        <w:t>".</w:t>
      </w:r>
    </w:p>
  </w:footnote>
  <w:footnote w:id="16">
    <w:p w:rsidR="008653B2" w:rsidRDefault="008653B2">
      <w:pPr>
        <w:pStyle w:val="a3"/>
        <w:rPr>
          <w:rFonts w:hint="cs"/>
          <w:rtl/>
        </w:rPr>
      </w:pPr>
      <w:r>
        <w:rPr>
          <w:rStyle w:val="a5"/>
        </w:rPr>
        <w:footnoteRef/>
      </w:r>
      <w:r>
        <w:rPr>
          <w:rtl/>
        </w:rPr>
        <w:t xml:space="preserve"> </w:t>
      </w:r>
      <w:r>
        <w:rPr>
          <w:rFonts w:hint="cs"/>
          <w:rtl/>
        </w:rPr>
        <w:t>שאולי בגלל החומרה המיוחדת של עבודה זרה וכפי שהתורה אומרת שם: "את ה' הוא מגדף", לא תועיל תשובה? והתשובה שנראה מיד היא שתשובה כן מועילה, גם במקרה זה. (וראה ברמב"ם הלכות תשובה פרק א הלכה ד שאולי אין הדברים כ"כ פשוטים</w:t>
      </w:r>
      <w:r w:rsidR="00A11C4B">
        <w:rPr>
          <w:rFonts w:hint="cs"/>
          <w:rtl/>
        </w:rPr>
        <w:t>).</w:t>
      </w:r>
    </w:p>
  </w:footnote>
  <w:footnote w:id="17">
    <w:p w:rsidR="00A11C4B" w:rsidRDefault="00A11C4B" w:rsidP="005B240C">
      <w:pPr>
        <w:pStyle w:val="a3"/>
        <w:rPr>
          <w:rFonts w:hint="cs"/>
          <w:rtl/>
        </w:rPr>
      </w:pPr>
      <w:r>
        <w:rPr>
          <w:rStyle w:val="a5"/>
        </w:rPr>
        <w:footnoteRef/>
      </w:r>
      <w:r>
        <w:rPr>
          <w:rtl/>
        </w:rPr>
        <w:t xml:space="preserve"> </w:t>
      </w:r>
      <w:r>
        <w:rPr>
          <w:rFonts w:hint="cs"/>
          <w:rtl/>
        </w:rPr>
        <w:t>לפני שאנחנו עורכים השוואות עם פסוקים ביחזקאל או אפילו בספר דברים עם</w:t>
      </w:r>
      <w:r w:rsidR="00571BFA">
        <w:rPr>
          <w:rFonts w:hint="cs"/>
          <w:rtl/>
        </w:rPr>
        <w:t xml:space="preserve"> הפסוק בספר שמות</w:t>
      </w:r>
      <w:r>
        <w:rPr>
          <w:rFonts w:hint="cs"/>
          <w:rtl/>
        </w:rPr>
        <w:t xml:space="preserve"> "פוקד עוון אבות", הרי לנו מספר</w:t>
      </w:r>
      <w:r w:rsidR="00571BFA">
        <w:rPr>
          <w:rFonts w:hint="cs"/>
          <w:rtl/>
        </w:rPr>
        <w:t>י</w:t>
      </w:r>
      <w:r>
        <w:rPr>
          <w:rFonts w:hint="cs"/>
          <w:rtl/>
        </w:rPr>
        <w:t xml:space="preserve"> במדבר שאפילו בעבודה זרה, או שמא דווקא בעבודה זרה, אין פקידת עוונות לדורות נוספים, לא על בנים, לא על שילשים ובוודאי לא על ריבעים. והכל בגלל המילה "בה" (או שמא "בו") </w:t>
      </w:r>
      <w:r>
        <w:rPr>
          <w:rtl/>
        </w:rPr>
        <w:t>–</w:t>
      </w:r>
      <w:r>
        <w:rPr>
          <w:rFonts w:hint="cs"/>
          <w:rtl/>
        </w:rPr>
        <w:t xml:space="preserve"> עוונה בה ולא בדורות הבאים. וכבר העירו פרשני הספרי שזה פלא גדול שהרי הפסוק שהוא מביא: "פוקד עוון אבות" הוא בדיוק על הדיבר השני</w:t>
      </w:r>
      <w:r w:rsidR="005B240C">
        <w:rPr>
          <w:rFonts w:hint="cs"/>
          <w:rtl/>
        </w:rPr>
        <w:t xml:space="preserve">: לא יהיה לך אלהים אחרים על פני </w:t>
      </w:r>
      <w:r w:rsidR="005B240C">
        <w:rPr>
          <w:rtl/>
        </w:rPr>
        <w:t>–</w:t>
      </w:r>
      <w:r w:rsidR="005B240C">
        <w:rPr>
          <w:rFonts w:hint="cs"/>
          <w:rtl/>
        </w:rPr>
        <w:t xml:space="preserve"> על איסור עבודה זרה שעליו נאמר "אל קנא". ראה </w:t>
      </w:r>
      <w:r w:rsidR="005B240C">
        <w:rPr>
          <w:rtl/>
        </w:rPr>
        <w:t>מדרש תנאים לדברים פרק ה</w:t>
      </w:r>
      <w:r w:rsidR="005B240C">
        <w:rPr>
          <w:rFonts w:hint="cs"/>
          <w:rtl/>
        </w:rPr>
        <w:t>: אל קנא -</w:t>
      </w:r>
      <w:r w:rsidR="005B240C">
        <w:rPr>
          <w:rtl/>
        </w:rPr>
        <w:t xml:space="preserve"> בקנאה אני נפרע מע"ז אבל בדברים אחרים אל רחום וחנון</w:t>
      </w:r>
      <w:r w:rsidR="005B240C">
        <w:rPr>
          <w:rFonts w:hint="cs"/>
          <w:rtl/>
        </w:rPr>
        <w:t>". ושם גם: "</w:t>
      </w:r>
      <w:r w:rsidR="005B240C">
        <w:rPr>
          <w:rtl/>
        </w:rPr>
        <w:t xml:space="preserve">אל קנא </w:t>
      </w:r>
      <w:r w:rsidR="005B240C">
        <w:rPr>
          <w:rFonts w:hint="cs"/>
          <w:rtl/>
        </w:rPr>
        <w:t xml:space="preserve">- </w:t>
      </w:r>
      <w:r w:rsidR="005B240C">
        <w:rPr>
          <w:rtl/>
        </w:rPr>
        <w:t>אני שליט בקנאה ואין הקנאה שולטה בי</w:t>
      </w:r>
      <w:r w:rsidR="005B240C">
        <w:rPr>
          <w:rFonts w:hint="cs"/>
          <w:rtl/>
        </w:rPr>
        <w:t>". בא ספר במדבר ומגביל את הקנאה של ספר שמות, אם לא מפקיע לגמרי את הפשט של "פוקד עוון אבות על בנים".</w:t>
      </w:r>
      <w:r w:rsidR="00571BFA">
        <w:rPr>
          <w:rFonts w:hint="cs"/>
          <w:rtl/>
        </w:rPr>
        <w:t xml:space="preserve"> ולא ברור מה דעתו לגבי עבירות שאינן עבודה זרה. האם יצטרף לדעת המכילתות לעיל? האם בהן כן יהיה "פוקד עוון אבות" הגם שאינן חמורות כעבודה זרה. מדרש זה דורש ללא ספק עיון מיוחד.</w:t>
      </w:r>
    </w:p>
  </w:footnote>
  <w:footnote w:id="18">
    <w:p w:rsidR="00571BFA" w:rsidRDefault="00571BFA" w:rsidP="00571BFA">
      <w:pPr>
        <w:pStyle w:val="a3"/>
        <w:rPr>
          <w:rFonts w:hint="cs"/>
        </w:rPr>
      </w:pPr>
      <w:r>
        <w:rPr>
          <w:rStyle w:val="a5"/>
        </w:rPr>
        <w:footnoteRef/>
      </w:r>
      <w:r>
        <w:rPr>
          <w:rtl/>
        </w:rPr>
        <w:t xml:space="preserve"> </w:t>
      </w:r>
      <w:r>
        <w:rPr>
          <w:rFonts w:hint="cs"/>
          <w:rtl/>
        </w:rPr>
        <w:t xml:space="preserve">הגמרא דנה בדין קרובים שפסולים להעיד, בעקבות המשנה שם הקובעת: "ואלו הן הקרובים: אחיו ואחי אביו, ואחי אמו וכו' ". </w:t>
      </w:r>
    </w:p>
  </w:footnote>
  <w:footnote w:id="19">
    <w:p w:rsidR="00571BFA" w:rsidRDefault="00571BFA" w:rsidP="00571BFA">
      <w:pPr>
        <w:pStyle w:val="a3"/>
        <w:rPr>
          <w:rFonts w:hint="cs"/>
          <w:rtl/>
        </w:rPr>
      </w:pPr>
      <w:r>
        <w:rPr>
          <w:rStyle w:val="a5"/>
        </w:rPr>
        <w:footnoteRef/>
      </w:r>
      <w:r>
        <w:rPr>
          <w:rtl/>
        </w:rPr>
        <w:t xml:space="preserve"> </w:t>
      </w:r>
      <w:r>
        <w:rPr>
          <w:rFonts w:hint="cs"/>
          <w:rtl/>
        </w:rPr>
        <w:t>זה הדין העיקרי שהגמרא ב</w:t>
      </w:r>
      <w:r w:rsidR="0056664A">
        <w:rPr>
          <w:rFonts w:hint="cs"/>
          <w:rtl/>
        </w:rPr>
        <w:t>י</w:t>
      </w:r>
      <w:r>
        <w:rPr>
          <w:rFonts w:hint="cs"/>
          <w:rtl/>
        </w:rPr>
        <w:t>קשה להסיק מפסוק זה. לגבי העקרון שאדם מת רק בגין חטאיו הוא, מספיק הסיפא של הפסוק: "איש בחטאו יומתו". מכאן עוברת הגמרא לנושא שלנו והעימות הוא בין פסוקי התורה בלי להזדקק לספרות הנביאים כנ"ל במכילתא.</w:t>
      </w:r>
    </w:p>
  </w:footnote>
  <w:footnote w:id="20">
    <w:p w:rsidR="00571BFA" w:rsidRDefault="00571BFA" w:rsidP="002160A9">
      <w:pPr>
        <w:pStyle w:val="a3"/>
        <w:rPr>
          <w:rFonts w:hint="cs"/>
          <w:rtl/>
        </w:rPr>
      </w:pPr>
      <w:r>
        <w:rPr>
          <w:rStyle w:val="a5"/>
        </w:rPr>
        <w:footnoteRef/>
      </w:r>
      <w:r>
        <w:rPr>
          <w:rtl/>
        </w:rPr>
        <w:t xml:space="preserve"> </w:t>
      </w:r>
      <w:r>
        <w:rPr>
          <w:rFonts w:hint="cs"/>
          <w:rtl/>
        </w:rPr>
        <w:t xml:space="preserve">זה התירוץ המרכזי שהתלמוד מציע, </w:t>
      </w:r>
      <w:r w:rsidR="00771E51">
        <w:rPr>
          <w:rFonts w:hint="cs"/>
          <w:rtl/>
        </w:rPr>
        <w:t xml:space="preserve">שמצוטט במקורות רבים, כולל רש"י בפרשתנו שמוסיף חיזוק מהמילה "לשונאי" שבפסוק (בשמות כ). </w:t>
      </w:r>
      <w:r>
        <w:rPr>
          <w:rFonts w:hint="cs"/>
          <w:rtl/>
        </w:rPr>
        <w:t xml:space="preserve">ולא ברור אם </w:t>
      </w:r>
      <w:r w:rsidR="00771E51">
        <w:rPr>
          <w:rFonts w:hint="cs"/>
          <w:rtl/>
        </w:rPr>
        <w:t xml:space="preserve">הסבר זה </w:t>
      </w:r>
      <w:r>
        <w:rPr>
          <w:rFonts w:hint="cs"/>
          <w:rtl/>
        </w:rPr>
        <w:t>מצטרף לדעה של המכילתות</w:t>
      </w:r>
      <w:r w:rsidR="00771E51">
        <w:rPr>
          <w:rFonts w:hint="cs"/>
          <w:rtl/>
        </w:rPr>
        <w:t>,</w:t>
      </w:r>
      <w:r>
        <w:rPr>
          <w:rFonts w:hint="cs"/>
          <w:rtl/>
        </w:rPr>
        <w:t xml:space="preserve"> ומפרשים </w:t>
      </w:r>
      <w:r w:rsidR="0056664A">
        <w:rPr>
          <w:rFonts w:hint="cs"/>
          <w:rtl/>
        </w:rPr>
        <w:t xml:space="preserve">הספרי אכן </w:t>
      </w:r>
      <w:r>
        <w:rPr>
          <w:rFonts w:hint="cs"/>
          <w:rtl/>
        </w:rPr>
        <w:t>נחלקים אם הבן הרשע שאוחז במעשה אביו הרשע נענש גם על מעשי אביו</w:t>
      </w:r>
      <w:r w:rsidR="00771E51">
        <w:rPr>
          <w:rFonts w:hint="cs"/>
          <w:rtl/>
        </w:rPr>
        <w:t>,</w:t>
      </w:r>
      <w:r>
        <w:rPr>
          <w:rFonts w:hint="cs"/>
          <w:rtl/>
        </w:rPr>
        <w:t xml:space="preserve"> או רק שאין תולים לו כמכילתות לעיל. ועכ"פ, ראה המשל ב</w:t>
      </w:r>
      <w:r>
        <w:rPr>
          <w:rtl/>
        </w:rPr>
        <w:t>פסיקתא דרב כהנא</w:t>
      </w:r>
      <w:r>
        <w:rPr>
          <w:rFonts w:hint="cs"/>
          <w:rtl/>
        </w:rPr>
        <w:t xml:space="preserve"> </w:t>
      </w:r>
      <w:r>
        <w:rPr>
          <w:rtl/>
        </w:rPr>
        <w:t>כה – סליחות</w:t>
      </w:r>
      <w:r w:rsidR="00A02383">
        <w:rPr>
          <w:rFonts w:hint="cs"/>
          <w:rtl/>
        </w:rPr>
        <w:t>,</w:t>
      </w:r>
      <w:r>
        <w:rPr>
          <w:rFonts w:hint="cs"/>
          <w:rtl/>
        </w:rPr>
        <w:t xml:space="preserve"> שאוחז לשון הגמרא אבל מצטרף למכילתות לעיל: "</w:t>
      </w:r>
      <w:r>
        <w:rPr>
          <w:rtl/>
        </w:rPr>
        <w:t>פוקד עון אבות על בנים ועל בני בנים על שלשים ועל רבעים</w:t>
      </w:r>
      <w:r w:rsidR="00BE3584">
        <w:rPr>
          <w:rFonts w:hint="cs"/>
          <w:rtl/>
        </w:rPr>
        <w:t xml:space="preserve">. (משל) </w:t>
      </w:r>
      <w:r>
        <w:rPr>
          <w:rtl/>
        </w:rPr>
        <w:t>לארבע דיוטות זו למעלה מזו וזו למעלה מזו</w:t>
      </w:r>
      <w:r w:rsidR="00BE3584">
        <w:rPr>
          <w:rFonts w:hint="cs"/>
          <w:rtl/>
        </w:rPr>
        <w:t>.</w:t>
      </w:r>
      <w:r>
        <w:rPr>
          <w:rtl/>
        </w:rPr>
        <w:t xml:space="preserve"> בזו יין ובזו שמן, ובזו דבש ובזו מים</w:t>
      </w:r>
      <w:r w:rsidR="00BE3584">
        <w:rPr>
          <w:rFonts w:hint="cs"/>
          <w:rtl/>
        </w:rPr>
        <w:t>.</w:t>
      </w:r>
      <w:r>
        <w:rPr>
          <w:rtl/>
        </w:rPr>
        <w:t xml:space="preserve"> נפלה דליקה באחת מהן</w:t>
      </w:r>
      <w:r w:rsidR="00BE3584">
        <w:rPr>
          <w:rFonts w:hint="cs"/>
          <w:rtl/>
        </w:rPr>
        <w:t>,</w:t>
      </w:r>
      <w:r>
        <w:rPr>
          <w:rtl/>
        </w:rPr>
        <w:t xml:space="preserve"> הם מכבות זו את זו</w:t>
      </w:r>
      <w:r w:rsidR="00BE3584">
        <w:rPr>
          <w:rFonts w:hint="cs"/>
          <w:rtl/>
        </w:rPr>
        <w:t>.</w:t>
      </w:r>
      <w:r>
        <w:rPr>
          <w:rtl/>
        </w:rPr>
        <w:t xml:space="preserve"> אבל אם היו כולם של שמן</w:t>
      </w:r>
      <w:r w:rsidR="00BE3584">
        <w:rPr>
          <w:rFonts w:hint="cs"/>
          <w:rtl/>
        </w:rPr>
        <w:t>,</w:t>
      </w:r>
      <w:r>
        <w:rPr>
          <w:rtl/>
        </w:rPr>
        <w:t xml:space="preserve"> כולן נשרפות</w:t>
      </w:r>
      <w:r w:rsidR="00BE3584">
        <w:rPr>
          <w:rFonts w:hint="cs"/>
          <w:rtl/>
        </w:rPr>
        <w:t>.</w:t>
      </w:r>
      <w:r>
        <w:rPr>
          <w:rtl/>
        </w:rPr>
        <w:t xml:space="preserve"> כך</w:t>
      </w:r>
      <w:r w:rsidR="00BE3584">
        <w:rPr>
          <w:rFonts w:hint="cs"/>
          <w:rtl/>
        </w:rPr>
        <w:t>,</w:t>
      </w:r>
      <w:r>
        <w:rPr>
          <w:rtl/>
        </w:rPr>
        <w:t xml:space="preserve"> בזמן שהם תופשין מעשה אב</w:t>
      </w:r>
      <w:r w:rsidR="00BE3584">
        <w:rPr>
          <w:rFonts w:hint="cs"/>
          <w:rtl/>
        </w:rPr>
        <w:t>ו</w:t>
      </w:r>
      <w:r>
        <w:rPr>
          <w:rtl/>
        </w:rPr>
        <w:t>תם</w:t>
      </w:r>
      <w:r w:rsidR="00BE3584">
        <w:rPr>
          <w:rFonts w:hint="cs"/>
          <w:rtl/>
        </w:rPr>
        <w:t>,</w:t>
      </w:r>
      <w:r>
        <w:rPr>
          <w:rtl/>
        </w:rPr>
        <w:t xml:space="preserve"> דור אחר דור</w:t>
      </w:r>
      <w:r w:rsidR="00BE3584">
        <w:rPr>
          <w:rFonts w:hint="cs"/>
          <w:rtl/>
        </w:rPr>
        <w:t>,</w:t>
      </w:r>
      <w:r>
        <w:rPr>
          <w:rtl/>
        </w:rPr>
        <w:t xml:space="preserve"> דור אחר דור</w:t>
      </w:r>
      <w:r w:rsidR="00BE3584">
        <w:rPr>
          <w:rFonts w:hint="cs"/>
          <w:rtl/>
        </w:rPr>
        <w:t>,</w:t>
      </w:r>
      <w:r>
        <w:rPr>
          <w:rtl/>
        </w:rPr>
        <w:t xml:space="preserve"> הם נידונין על ידם</w:t>
      </w:r>
      <w:r w:rsidR="00BE3584">
        <w:rPr>
          <w:rFonts w:hint="cs"/>
          <w:rtl/>
        </w:rPr>
        <w:t>.</w:t>
      </w:r>
      <w:r>
        <w:rPr>
          <w:rtl/>
        </w:rPr>
        <w:t xml:space="preserve"> אבל אם היו משורגין</w:t>
      </w:r>
      <w:r w:rsidR="00BE3584">
        <w:rPr>
          <w:rFonts w:hint="cs"/>
          <w:rtl/>
        </w:rPr>
        <w:t>,</w:t>
      </w:r>
      <w:r>
        <w:rPr>
          <w:rtl/>
        </w:rPr>
        <w:t xml:space="preserve"> דור אחד צדיק דור אחד רשע</w:t>
      </w:r>
      <w:r w:rsidR="00BE3584">
        <w:rPr>
          <w:rFonts w:hint="cs"/>
          <w:rtl/>
        </w:rPr>
        <w:t xml:space="preserve"> - </w:t>
      </w:r>
      <w:r>
        <w:rPr>
          <w:rtl/>
        </w:rPr>
        <w:t>לא יומתו אבות על בנים ובנים לא יומתו על אבות (דברים כד טז). באותה שעה שמח משה וא</w:t>
      </w:r>
      <w:r w:rsidR="00BE3584">
        <w:rPr>
          <w:rFonts w:hint="cs"/>
          <w:rtl/>
        </w:rPr>
        <w:t xml:space="preserve">מר: </w:t>
      </w:r>
      <w:r>
        <w:rPr>
          <w:rtl/>
        </w:rPr>
        <w:t>אין בישר</w:t>
      </w:r>
      <w:r w:rsidR="00BE3584">
        <w:rPr>
          <w:rFonts w:hint="cs"/>
          <w:rtl/>
        </w:rPr>
        <w:t>אל</w:t>
      </w:r>
      <w:r>
        <w:rPr>
          <w:rtl/>
        </w:rPr>
        <w:t xml:space="preserve"> קוצץ בן קוצץ</w:t>
      </w:r>
      <w:r w:rsidR="00BE3584">
        <w:rPr>
          <w:rFonts w:hint="cs"/>
          <w:rtl/>
        </w:rPr>
        <w:t>"</w:t>
      </w:r>
      <w:r>
        <w:rPr>
          <w:rtl/>
        </w:rPr>
        <w:t xml:space="preserve">. </w:t>
      </w:r>
      <w:r w:rsidR="00BE3584">
        <w:rPr>
          <w:rFonts w:hint="cs"/>
          <w:rtl/>
        </w:rPr>
        <w:t>המשל של חביות של שמן שמבעירות ומלבות זו את זו</w:t>
      </w:r>
      <w:r w:rsidR="0056664A">
        <w:rPr>
          <w:rFonts w:hint="cs"/>
          <w:rtl/>
        </w:rPr>
        <w:t>,</w:t>
      </w:r>
      <w:r w:rsidR="00BE3584">
        <w:rPr>
          <w:rFonts w:hint="cs"/>
          <w:rtl/>
        </w:rPr>
        <w:t xml:space="preserve"> יכול אולי לתת גם הבנה </w:t>
      </w:r>
      <w:r w:rsidR="0056664A">
        <w:rPr>
          <w:rFonts w:hint="cs"/>
          <w:rtl/>
        </w:rPr>
        <w:t xml:space="preserve">טובה </w:t>
      </w:r>
      <w:r w:rsidR="00BE3584">
        <w:rPr>
          <w:rFonts w:hint="cs"/>
          <w:rtl/>
        </w:rPr>
        <w:t xml:space="preserve">בנמשל. יש השפעה בין הדורות. </w:t>
      </w:r>
      <w:r w:rsidR="0056664A">
        <w:rPr>
          <w:rFonts w:hint="cs"/>
          <w:rtl/>
        </w:rPr>
        <w:t xml:space="preserve">רשע </w:t>
      </w:r>
      <w:r w:rsidR="00BE3584">
        <w:rPr>
          <w:rFonts w:hint="cs"/>
          <w:rtl/>
        </w:rPr>
        <w:t xml:space="preserve">בן רשע בן רשע, אף פעם לא יכול להיות נדון בפני עצמו. יש השפעה של הדורות ויש השלכות. ברור שהוא סובל </w:t>
      </w:r>
      <w:r w:rsidR="0056664A">
        <w:rPr>
          <w:rFonts w:hint="cs"/>
          <w:rtl/>
        </w:rPr>
        <w:t xml:space="preserve">ומושפע </w:t>
      </w:r>
      <w:r w:rsidR="00BE3584">
        <w:rPr>
          <w:rFonts w:hint="cs"/>
          <w:rtl/>
        </w:rPr>
        <w:t>ממעשי אבותיו. אף אדם איננו עולם סגור לעצמו.</w:t>
      </w:r>
      <w:r w:rsidR="002160A9">
        <w:rPr>
          <w:rFonts w:hint="cs"/>
          <w:rtl/>
        </w:rPr>
        <w:t xml:space="preserve"> ראה הניסוח המיוחד של הדילמה המרכזית בה אנו דנים ב</w:t>
      </w:r>
      <w:r w:rsidR="002160A9">
        <w:rPr>
          <w:rtl/>
        </w:rPr>
        <w:t>משנת רבי אליעזר פרשה ה עמוד 95</w:t>
      </w:r>
      <w:r w:rsidR="002160A9">
        <w:rPr>
          <w:rFonts w:hint="cs"/>
          <w:rtl/>
        </w:rPr>
        <w:t>: "</w:t>
      </w:r>
      <w:r w:rsidR="002160A9">
        <w:rPr>
          <w:rtl/>
        </w:rPr>
        <w:t>אין אתה יכול לומ</w:t>
      </w:r>
      <w:r w:rsidR="002160A9">
        <w:rPr>
          <w:rFonts w:hint="cs"/>
          <w:rtl/>
        </w:rPr>
        <w:t>ר</w:t>
      </w:r>
      <w:r w:rsidR="002160A9">
        <w:rPr>
          <w:rtl/>
        </w:rPr>
        <w:t xml:space="preserve"> שאם היה האב רשע והבנים צדיקים, שהוא פוקד את רשע האב עליהן, שאין זה מדת הדין. ואין אתה יכול לומ</w:t>
      </w:r>
      <w:r w:rsidR="002160A9">
        <w:rPr>
          <w:rFonts w:hint="cs"/>
          <w:rtl/>
        </w:rPr>
        <w:t>ר</w:t>
      </w:r>
      <w:r w:rsidR="002160A9">
        <w:rPr>
          <w:rtl/>
        </w:rPr>
        <w:t xml:space="preserve"> שהוא תופס כל אחד בחובתו, שאין כאן מדת רחמים</w:t>
      </w:r>
      <w:r w:rsidR="002160A9">
        <w:rPr>
          <w:rFonts w:hint="cs"/>
          <w:rtl/>
        </w:rPr>
        <w:t>"</w:t>
      </w:r>
      <w:r w:rsidR="002160A9">
        <w:rPr>
          <w:rtl/>
        </w:rPr>
        <w:t>.</w:t>
      </w:r>
      <w:r w:rsidR="002160A9">
        <w:rPr>
          <w:rFonts w:hint="cs"/>
          <w:rtl/>
        </w:rPr>
        <w:t xml:space="preserve"> לדון כל אדם לעצמו, אין זו מידת הרחמים!</w:t>
      </w:r>
    </w:p>
  </w:footnote>
  <w:footnote w:id="21">
    <w:p w:rsidR="00BE3584" w:rsidRDefault="00BE3584" w:rsidP="00771E51">
      <w:pPr>
        <w:pStyle w:val="a3"/>
        <w:rPr>
          <w:rFonts w:hint="cs"/>
        </w:rPr>
      </w:pPr>
      <w:r>
        <w:rPr>
          <w:rStyle w:val="a5"/>
        </w:rPr>
        <w:footnoteRef/>
      </w:r>
      <w:r>
        <w:rPr>
          <w:rtl/>
        </w:rPr>
        <w:t xml:space="preserve"> </w:t>
      </w:r>
      <w:r>
        <w:rPr>
          <w:rFonts w:hint="cs"/>
          <w:rtl/>
        </w:rPr>
        <w:t xml:space="preserve">כאן גלשנו לנושא של הערבות ההדדית, עליו הרחבנו בדברינו </w:t>
      </w:r>
      <w:hyperlink r:id="rId3" w:history="1">
        <w:r w:rsidRPr="00F849D4">
          <w:rPr>
            <w:rStyle w:val="Hyperlink"/>
            <w:rFonts w:hint="cs"/>
            <w:rtl/>
          </w:rPr>
          <w:t>כל ישראל ערבים זה בזה</w:t>
        </w:r>
      </w:hyperlink>
      <w:r>
        <w:rPr>
          <w:rFonts w:hint="cs"/>
          <w:rtl/>
        </w:rPr>
        <w:t xml:space="preserve"> בפרשת בחוקותי. ראה בפרט המשל שם על האגוז שאם מוזז כל הערימה מתדרדרת וכן על השה שאם לוקה באחד מאבריו, </w:t>
      </w:r>
      <w:r w:rsidR="00771E51">
        <w:rPr>
          <w:rFonts w:hint="cs"/>
          <w:rtl/>
        </w:rPr>
        <w:t xml:space="preserve">מיד </w:t>
      </w:r>
      <w:r>
        <w:rPr>
          <w:rFonts w:hint="cs"/>
          <w:rtl/>
        </w:rPr>
        <w:t>כל שאר האיברים מרגישים.</w:t>
      </w:r>
    </w:p>
  </w:footnote>
  <w:footnote w:id="22">
    <w:p w:rsidR="00D26492" w:rsidRDefault="00D26492" w:rsidP="00C53A36">
      <w:pPr>
        <w:pStyle w:val="a3"/>
        <w:rPr>
          <w:rFonts w:hint="cs"/>
          <w:rtl/>
        </w:rPr>
      </w:pPr>
      <w:r>
        <w:rPr>
          <w:rStyle w:val="a5"/>
        </w:rPr>
        <w:footnoteRef/>
      </w:r>
      <w:r>
        <w:rPr>
          <w:rtl/>
        </w:rPr>
        <w:t xml:space="preserve"> </w:t>
      </w:r>
      <w:r>
        <w:rPr>
          <w:rFonts w:hint="cs"/>
          <w:rtl/>
        </w:rPr>
        <w:t xml:space="preserve">הדיון כאן הוא בשכר ועונש, צדיק ורע לו רשע וטוב לו, ואנו חוזרים לפרק לג בספר שמות </w:t>
      </w:r>
      <w:r w:rsidR="00D05F21">
        <w:rPr>
          <w:rFonts w:hint="cs"/>
          <w:rtl/>
        </w:rPr>
        <w:t>לנקרת הצור וליג מדות. ראה הערה מס' 1 לעיל. להבין את נושא שכר ועונש הוא להבין את הנהגת ה' בעולם הוא סוד טמיר ונעלם, הוא לדעת את ה'. ראה בגמרא שם ש</w:t>
      </w:r>
      <w:r w:rsidR="00D05F21" w:rsidRPr="00D05F21">
        <w:rPr>
          <w:rtl/>
        </w:rPr>
        <w:t>רבי מאיר</w:t>
      </w:r>
      <w:r w:rsidR="00D05F21">
        <w:rPr>
          <w:rFonts w:hint="cs"/>
          <w:rtl/>
        </w:rPr>
        <w:t xml:space="preserve"> סבור שמשה באמת לא נענה במשאלה זו: "</w:t>
      </w:r>
      <w:r w:rsidR="00D05F21" w:rsidRPr="00D05F21">
        <w:rPr>
          <w:rtl/>
        </w:rPr>
        <w:t>שתים נתנו לו ואחת לא נתנו לו, שנאמר: וח</w:t>
      </w:r>
      <w:r w:rsidR="00D05F21">
        <w:rPr>
          <w:rFonts w:hint="cs"/>
          <w:rtl/>
        </w:rPr>
        <w:t>ו</w:t>
      </w:r>
      <w:r w:rsidR="00D05F21" w:rsidRPr="00D05F21">
        <w:rPr>
          <w:rtl/>
        </w:rPr>
        <w:t>נתי את אשר אחן - אף על פי שאינו הגון, - ורחמתי את אשר ארחם - אף על פי שאינו הגון</w:t>
      </w:r>
      <w:r w:rsidR="00D05F21">
        <w:rPr>
          <w:rFonts w:hint="cs"/>
          <w:rtl/>
        </w:rPr>
        <w:t xml:space="preserve">". זה רבי מאיר שהיה תלמידו הנאמן של אלישע בן אבויה שיצא לתרבות רעה בשל שאלות קשות על שכר ועונש </w:t>
      </w:r>
      <w:r w:rsidR="00C53A36">
        <w:rPr>
          <w:rFonts w:hint="cs"/>
          <w:rtl/>
        </w:rPr>
        <w:t xml:space="preserve">כשראה בן שהלך בשליחות אביו למצוות שילוח הקן </w:t>
      </w:r>
      <w:r w:rsidR="00D05F21">
        <w:rPr>
          <w:rFonts w:hint="cs"/>
          <w:rtl/>
        </w:rPr>
        <w:t>(ירושלמי חגיגה ב א, רות רבה ו ד)</w:t>
      </w:r>
      <w:r w:rsidR="00D05F21" w:rsidRPr="00D05F21">
        <w:rPr>
          <w:rtl/>
        </w:rPr>
        <w:t xml:space="preserve">. </w:t>
      </w:r>
    </w:p>
  </w:footnote>
  <w:footnote w:id="23">
    <w:p w:rsidR="00F72D64" w:rsidRDefault="00F72D64" w:rsidP="006C1646">
      <w:pPr>
        <w:pStyle w:val="a3"/>
        <w:rPr>
          <w:rFonts w:hint="cs"/>
          <w:rtl/>
        </w:rPr>
      </w:pPr>
      <w:r>
        <w:rPr>
          <w:rStyle w:val="a5"/>
        </w:rPr>
        <w:footnoteRef/>
      </w:r>
      <w:r>
        <w:rPr>
          <w:rtl/>
        </w:rPr>
        <w:t xml:space="preserve"> </w:t>
      </w:r>
      <w:r>
        <w:rPr>
          <w:rFonts w:hint="cs"/>
          <w:rtl/>
        </w:rPr>
        <w:t>הגמרא שואלת מהגמרא בברכות (מהעיקרון של אוחזים או לא אוחזים מעשה אבותיהם). כיצד זה רע לצדיק בן רשע אם אינו אוחז מעשה אבותיו!</w:t>
      </w:r>
      <w:r w:rsidR="006C1646">
        <w:rPr>
          <w:rFonts w:hint="cs"/>
          <w:rtl/>
        </w:rPr>
        <w:t xml:space="preserve"> ראה במדרש במדבר רבה להלן שזו בדיוק שאלת משה "</w:t>
      </w:r>
      <w:r w:rsidR="006C1646" w:rsidRPr="001816AF">
        <w:rPr>
          <w:rtl/>
        </w:rPr>
        <w:t>כמה רשעים הולידו צדיקים</w:t>
      </w:r>
      <w:r w:rsidR="006C1646">
        <w:rPr>
          <w:rFonts w:hint="cs"/>
          <w:rtl/>
        </w:rPr>
        <w:t>", כגון אברהם בן תרח.</w:t>
      </w:r>
    </w:p>
  </w:footnote>
  <w:footnote w:id="24">
    <w:p w:rsidR="00655468" w:rsidRDefault="00655468" w:rsidP="00C53A36">
      <w:pPr>
        <w:pStyle w:val="a3"/>
        <w:rPr>
          <w:rFonts w:hint="cs"/>
          <w:rtl/>
        </w:rPr>
      </w:pPr>
      <w:r>
        <w:rPr>
          <w:rStyle w:val="a5"/>
        </w:rPr>
        <w:footnoteRef/>
      </w:r>
      <w:r>
        <w:rPr>
          <w:rtl/>
        </w:rPr>
        <w:t xml:space="preserve"> </w:t>
      </w:r>
      <w:r>
        <w:rPr>
          <w:rFonts w:hint="cs"/>
          <w:rtl/>
        </w:rPr>
        <w:t xml:space="preserve">תשובת הגמרא היא בכיוון אחר של צדיק גמור וצדיק שאינו גמור. ולפי שאין צדיקים גמורים ואין רשעים גמורים, מכאן סלולה הדרך לתשובה הקלאסית שצדיקים מקבלים את עונש מעט עבירותיהם בעולם הזה ע"מ שינחלו העולם הבא, והרשעים מקבלים שכר </w:t>
      </w:r>
      <w:r w:rsidR="00C53A36">
        <w:rPr>
          <w:rFonts w:hint="cs"/>
          <w:rtl/>
        </w:rPr>
        <w:t xml:space="preserve">מעט </w:t>
      </w:r>
      <w:r>
        <w:rPr>
          <w:rFonts w:hint="cs"/>
          <w:rtl/>
        </w:rPr>
        <w:t>מצוות שעשו בעולם הזה, כדי שיקבלו את מלוא עונשם בעולם הבא (</w:t>
      </w:r>
      <w:r>
        <w:rPr>
          <w:rtl/>
        </w:rPr>
        <w:t>ספרי דברים פרשת האזינו פיסקא שז</w:t>
      </w:r>
      <w:r>
        <w:rPr>
          <w:rFonts w:hint="cs"/>
          <w:rtl/>
        </w:rPr>
        <w:t xml:space="preserve"> "אל אמונה ואין עוול" הוא המקור?). נושא שכר ועונש הוא כידוע מהשאלות הקשות באמונה ולא זכינו לדעת נסתרות דרכי הבורא</w:t>
      </w:r>
      <w:r w:rsidR="00C53A36">
        <w:rPr>
          <w:rFonts w:hint="cs"/>
          <w:rtl/>
        </w:rPr>
        <w:t xml:space="preserve"> ואכמ"ל</w:t>
      </w:r>
      <w:r>
        <w:rPr>
          <w:rFonts w:hint="cs"/>
          <w:rtl/>
        </w:rPr>
        <w:t>.</w:t>
      </w:r>
    </w:p>
  </w:footnote>
  <w:footnote w:id="25">
    <w:p w:rsidR="006C08ED" w:rsidRDefault="006C08ED" w:rsidP="006C08ED">
      <w:pPr>
        <w:pStyle w:val="a3"/>
        <w:rPr>
          <w:rFonts w:hint="cs"/>
          <w:rtl/>
        </w:rPr>
      </w:pPr>
      <w:r>
        <w:rPr>
          <w:rStyle w:val="a5"/>
        </w:rPr>
        <w:footnoteRef/>
      </w:r>
      <w:r>
        <w:rPr>
          <w:rtl/>
        </w:rPr>
        <w:t xml:space="preserve"> </w:t>
      </w:r>
      <w:r>
        <w:rPr>
          <w:rFonts w:hint="cs"/>
          <w:rtl/>
        </w:rPr>
        <w:t>הקב"ה הודה למשה שלימד אותו.</w:t>
      </w:r>
    </w:p>
  </w:footnote>
  <w:footnote w:id="26">
    <w:p w:rsidR="00173969" w:rsidRDefault="00173969" w:rsidP="00C53A36">
      <w:pPr>
        <w:pStyle w:val="a3"/>
        <w:rPr>
          <w:rFonts w:hint="cs"/>
          <w:rtl/>
        </w:rPr>
      </w:pPr>
      <w:r>
        <w:rPr>
          <w:rStyle w:val="a5"/>
        </w:rPr>
        <w:footnoteRef/>
      </w:r>
      <w:r>
        <w:rPr>
          <w:rtl/>
        </w:rPr>
        <w:t xml:space="preserve"> </w:t>
      </w:r>
      <w:r>
        <w:rPr>
          <w:rFonts w:hint="cs"/>
          <w:rtl/>
        </w:rPr>
        <w:t xml:space="preserve">זו אחת מהסניגוריות של משה על עם ישראל אחרי חטא העגל. וכבר הרחבנו בנושא זה בדברינו </w:t>
      </w:r>
      <w:hyperlink r:id="rId4" w:history="1">
        <w:r w:rsidRPr="00F849D4">
          <w:rPr>
            <w:rStyle w:val="Hyperlink"/>
            <w:rFonts w:hint="cs"/>
            <w:rtl/>
          </w:rPr>
          <w:t>והלו</w:t>
        </w:r>
        <w:r w:rsidR="00917D50" w:rsidRPr="00F849D4">
          <w:rPr>
            <w:rStyle w:val="Hyperlink"/>
            <w:rFonts w:hint="cs"/>
            <w:rtl/>
          </w:rPr>
          <w:t>א</w:t>
        </w:r>
        <w:r w:rsidRPr="00F849D4">
          <w:rPr>
            <w:rStyle w:val="Hyperlink"/>
            <w:rFonts w:hint="cs"/>
            <w:rtl/>
          </w:rPr>
          <w:t xml:space="preserve"> אין בה ממש</w:t>
        </w:r>
      </w:hyperlink>
      <w:r>
        <w:rPr>
          <w:rFonts w:hint="cs"/>
          <w:rtl/>
        </w:rPr>
        <w:t xml:space="preserve"> וכן </w:t>
      </w:r>
      <w:hyperlink r:id="rId5" w:history="1">
        <w:r w:rsidRPr="00F849D4">
          <w:rPr>
            <w:rStyle w:val="Hyperlink"/>
            <w:rFonts w:hint="cs"/>
            <w:rtl/>
          </w:rPr>
          <w:t>לא יהיו שתי הפנים בכעס</w:t>
        </w:r>
      </w:hyperlink>
      <w:r>
        <w:rPr>
          <w:rFonts w:hint="cs"/>
          <w:rtl/>
        </w:rPr>
        <w:t xml:space="preserve"> בפרשה זו. </w:t>
      </w:r>
      <w:r w:rsidR="00A02383">
        <w:rPr>
          <w:rFonts w:hint="cs"/>
          <w:rtl/>
        </w:rPr>
        <w:t xml:space="preserve">גם </w:t>
      </w:r>
      <w:r>
        <w:rPr>
          <w:rFonts w:hint="cs"/>
          <w:rtl/>
        </w:rPr>
        <w:t>את הטענה שבעשרת הדברות</w:t>
      </w:r>
      <w:r w:rsidR="00C53A36">
        <w:rPr>
          <w:rFonts w:hint="cs"/>
          <w:rtl/>
        </w:rPr>
        <w:t xml:space="preserve"> נאמר</w:t>
      </w:r>
      <w:r>
        <w:rPr>
          <w:rFonts w:hint="cs"/>
          <w:rtl/>
        </w:rPr>
        <w:t xml:space="preserve"> "אנכי ה' אלהיך" בלשון יחיד </w:t>
      </w:r>
      <w:r w:rsidR="00C53A36">
        <w:rPr>
          <w:rFonts w:hint="cs"/>
          <w:rtl/>
        </w:rPr>
        <w:t>ו</w:t>
      </w:r>
      <w:r>
        <w:rPr>
          <w:rFonts w:hint="cs"/>
          <w:rtl/>
        </w:rPr>
        <w:t xml:space="preserve">כביכול רק למשה, ראינו </w:t>
      </w:r>
      <w:r w:rsidR="00A02383">
        <w:rPr>
          <w:rFonts w:hint="cs"/>
          <w:rtl/>
        </w:rPr>
        <w:t xml:space="preserve">כבר </w:t>
      </w:r>
      <w:r>
        <w:rPr>
          <w:rFonts w:hint="cs"/>
          <w:rtl/>
        </w:rPr>
        <w:t xml:space="preserve">בדברינו </w:t>
      </w:r>
      <w:hyperlink r:id="rId6" w:history="1">
        <w:r w:rsidRPr="00F849D4">
          <w:rPr>
            <w:rStyle w:val="Hyperlink"/>
            <w:rFonts w:hint="cs"/>
            <w:rtl/>
          </w:rPr>
          <w:t>פתח באנכי</w:t>
        </w:r>
      </w:hyperlink>
      <w:r>
        <w:rPr>
          <w:rFonts w:hint="cs"/>
          <w:rtl/>
        </w:rPr>
        <w:t xml:space="preserve"> בפרשת יתרו השתא. והתיקון של הקב"ה שמכאן ואילך יאמר בלשון רבים "אני ה' אלהיכם", אפשר שהוא בבחינת</w:t>
      </w:r>
      <w:r w:rsidR="00A02383">
        <w:rPr>
          <w:rFonts w:hint="cs"/>
          <w:rtl/>
        </w:rPr>
        <w:t xml:space="preserve"> אזהרה</w:t>
      </w:r>
      <w:r>
        <w:rPr>
          <w:rFonts w:hint="cs"/>
          <w:rtl/>
        </w:rPr>
        <w:t xml:space="preserve">: יותר לא אקבל תירוצים כגון אלה (שוודאי רק לשם סניגוריה נאמרו) ואפשר שיש כאן </w:t>
      </w:r>
      <w:r w:rsidR="00A02383">
        <w:rPr>
          <w:rFonts w:hint="cs"/>
          <w:rtl/>
        </w:rPr>
        <w:t xml:space="preserve">שוב </w:t>
      </w:r>
      <w:r w:rsidR="00C53A36">
        <w:rPr>
          <w:rFonts w:hint="cs"/>
          <w:rtl/>
        </w:rPr>
        <w:t xml:space="preserve">את </w:t>
      </w:r>
      <w:r>
        <w:rPr>
          <w:rFonts w:hint="cs"/>
          <w:rtl/>
        </w:rPr>
        <w:t>הרעיון של ערבות הדדית של עם ישראל שתמנע מהם חטא רחב.</w:t>
      </w:r>
      <w:r w:rsidR="00A02383">
        <w:rPr>
          <w:rFonts w:hint="cs"/>
          <w:rtl/>
        </w:rPr>
        <w:t xml:space="preserve"> כולם שמעו "אני ה' אלהיכם" ויסייעו זה לזה.</w:t>
      </w:r>
    </w:p>
  </w:footnote>
  <w:footnote w:id="27">
    <w:p w:rsidR="00060A34" w:rsidRDefault="00060A34" w:rsidP="00C53A36">
      <w:pPr>
        <w:pStyle w:val="a3"/>
        <w:rPr>
          <w:rFonts w:hint="cs"/>
          <w:rtl/>
        </w:rPr>
      </w:pPr>
      <w:r>
        <w:rPr>
          <w:rStyle w:val="a5"/>
        </w:rPr>
        <w:footnoteRef/>
      </w:r>
      <w:r>
        <w:rPr>
          <w:rtl/>
        </w:rPr>
        <w:t xml:space="preserve"> </w:t>
      </w:r>
      <w:r w:rsidR="00173969">
        <w:rPr>
          <w:rFonts w:hint="cs"/>
          <w:rtl/>
        </w:rPr>
        <w:t xml:space="preserve">ה"למדתני" כאן שונה באופן קטגורי מה"למדתני" לעיל. ולעצם השאלה הבסיסית שלנו, </w:t>
      </w:r>
      <w:r>
        <w:rPr>
          <w:rFonts w:hint="cs"/>
          <w:rtl/>
        </w:rPr>
        <w:t>נראה שכ</w:t>
      </w:r>
      <w:r w:rsidR="002B649F">
        <w:rPr>
          <w:rFonts w:hint="cs"/>
          <w:rtl/>
        </w:rPr>
        <w:t>א</w:t>
      </w:r>
      <w:r>
        <w:rPr>
          <w:rFonts w:hint="cs"/>
          <w:rtl/>
        </w:rPr>
        <w:t>ן נאמרים הדברים באופן המפורש ביותר</w:t>
      </w:r>
      <w:r w:rsidR="002B649F">
        <w:rPr>
          <w:rFonts w:hint="cs"/>
          <w:rtl/>
        </w:rPr>
        <w:t xml:space="preserve"> ובלי להזדקק לספרות הנביאים</w:t>
      </w:r>
      <w:r>
        <w:rPr>
          <w:rFonts w:hint="cs"/>
          <w:rtl/>
        </w:rPr>
        <w:t>. ויש להם משנה תוקף בשל מעמדו המיוחד של ספר דברי</w:t>
      </w:r>
      <w:r w:rsidR="00C53A36">
        <w:rPr>
          <w:rFonts w:hint="cs"/>
          <w:rtl/>
        </w:rPr>
        <w:t>ם</w:t>
      </w:r>
      <w:r>
        <w:rPr>
          <w:rFonts w:hint="cs"/>
          <w:rtl/>
        </w:rPr>
        <w:t xml:space="preserve"> עליו הרחבנו בדברינו </w:t>
      </w:r>
      <w:hyperlink r:id="rId7" w:history="1">
        <w:r w:rsidR="002B649F" w:rsidRPr="00F849D4">
          <w:rPr>
            <w:rStyle w:val="Hyperlink"/>
            <w:rFonts w:hint="cs"/>
            <w:rtl/>
          </w:rPr>
          <w:t xml:space="preserve">ספר דברים - </w:t>
        </w:r>
        <w:r w:rsidRPr="00F849D4">
          <w:rPr>
            <w:rStyle w:val="Hyperlink"/>
            <w:rFonts w:hint="cs"/>
            <w:rtl/>
          </w:rPr>
          <w:t>משנה תורה</w:t>
        </w:r>
      </w:hyperlink>
      <w:r>
        <w:rPr>
          <w:rFonts w:hint="cs"/>
          <w:rtl/>
        </w:rPr>
        <w:t xml:space="preserve"> </w:t>
      </w:r>
      <w:r w:rsidR="002B649F">
        <w:rPr>
          <w:rFonts w:hint="cs"/>
          <w:rtl/>
        </w:rPr>
        <w:t>בפרשת דברים. בנקרת הצור ובמעמד הר סיני נאמר "פוקד עוון אבות", אך בערבות מואב, ערב הכניסה לארץ</w:t>
      </w:r>
      <w:r w:rsidR="00C53A36">
        <w:rPr>
          <w:rFonts w:hint="cs"/>
          <w:rtl/>
        </w:rPr>
        <w:t xml:space="preserve"> נאמר</w:t>
      </w:r>
      <w:r w:rsidR="002B649F">
        <w:rPr>
          <w:rFonts w:hint="cs"/>
          <w:rtl/>
        </w:rPr>
        <w:t xml:space="preserve">: "לא יומתו אבות על בנים ובנים על אבותם". והסכימה דעתו לדעת המקום ודעת המקום לדעתו וזכה משה שתיקרא התורה על שמו. ראה דברינו </w:t>
      </w:r>
      <w:hyperlink r:id="rId8" w:history="1">
        <w:r w:rsidR="00917D50" w:rsidRPr="00F849D4">
          <w:rPr>
            <w:rStyle w:val="Hyperlink"/>
            <w:rFonts w:hint="cs"/>
            <w:rtl/>
          </w:rPr>
          <w:t xml:space="preserve">זכרו </w:t>
        </w:r>
        <w:r w:rsidR="002B649F" w:rsidRPr="00F849D4">
          <w:rPr>
            <w:rStyle w:val="Hyperlink"/>
            <w:rFonts w:hint="cs"/>
            <w:rtl/>
          </w:rPr>
          <w:t>תורת משה</w:t>
        </w:r>
      </w:hyperlink>
      <w:r w:rsidR="00917D50">
        <w:rPr>
          <w:rFonts w:hint="cs"/>
          <w:rtl/>
        </w:rPr>
        <w:t xml:space="preserve"> בשבת הגדול.</w:t>
      </w:r>
      <w:r w:rsidR="002B649F">
        <w:rPr>
          <w:rFonts w:hint="cs"/>
          <w:rtl/>
        </w:rPr>
        <w:t xml:space="preserve"> </w:t>
      </w:r>
    </w:p>
  </w:footnote>
  <w:footnote w:id="28">
    <w:p w:rsidR="008D71C7" w:rsidRDefault="008D71C7">
      <w:pPr>
        <w:pStyle w:val="a3"/>
        <w:rPr>
          <w:rFonts w:hint="cs"/>
          <w:rtl/>
        </w:rPr>
      </w:pPr>
      <w:r>
        <w:rPr>
          <w:rStyle w:val="a5"/>
        </w:rPr>
        <w:footnoteRef/>
      </w:r>
      <w:r>
        <w:rPr>
          <w:rtl/>
        </w:rPr>
        <w:t xml:space="preserve"> </w:t>
      </w:r>
      <w:r>
        <w:rPr>
          <w:rFonts w:hint="cs"/>
          <w:rtl/>
        </w:rPr>
        <w:t xml:space="preserve">המקרה השלישי בו אמר מהקב"ה למשה: יפה למדתני והסכים לדעתו הוא הקריאה לעיר לשלום, כולל במלחמת סיחון שהיא לכאורה בניגוד לציווי של השמדת שבעת העמים. וכבר הרחבנו בנושא זה בדברינו </w:t>
      </w:r>
      <w:hyperlink r:id="rId9" w:history="1">
        <w:r w:rsidRPr="00F849D4">
          <w:rPr>
            <w:rStyle w:val="Hyperlink"/>
            <w:rFonts w:hint="cs"/>
            <w:rtl/>
          </w:rPr>
          <w:t>וקראת לשלום</w:t>
        </w:r>
      </w:hyperlink>
      <w:r>
        <w:rPr>
          <w:rFonts w:hint="cs"/>
          <w:rtl/>
        </w:rPr>
        <w:t xml:space="preserve"> בפרשת שופטים</w:t>
      </w:r>
      <w:r w:rsidR="00060A34">
        <w:rPr>
          <w:rFonts w:hint="cs"/>
          <w:rtl/>
        </w:rPr>
        <w:t xml:space="preserve"> והראינו שם שגם יהושע נהג כך בכיבוש הארץ (עפ"י המדרש לפחות)</w:t>
      </w:r>
      <w:r>
        <w:rPr>
          <w:rFonts w:hint="cs"/>
          <w:rtl/>
        </w:rPr>
        <w:t>. ראה מקבילה למדרש זה בדברים רבה ה יג</w:t>
      </w:r>
      <w:r w:rsidR="00C53A36">
        <w:rPr>
          <w:rFonts w:hint="cs"/>
          <w:rtl/>
        </w:rPr>
        <w:t xml:space="preserve"> ובתנחומא שופטים</w:t>
      </w:r>
      <w:r>
        <w:rPr>
          <w:rFonts w:hint="cs"/>
          <w:rtl/>
        </w:rPr>
        <w:t>.</w:t>
      </w:r>
    </w:p>
  </w:footnote>
  <w:footnote w:id="29">
    <w:p w:rsidR="002E6AB4" w:rsidRDefault="002E6AB4" w:rsidP="00DC7C04">
      <w:pPr>
        <w:pStyle w:val="a3"/>
        <w:rPr>
          <w:rFonts w:hint="cs"/>
          <w:rtl/>
        </w:rPr>
      </w:pPr>
      <w:r>
        <w:rPr>
          <w:rStyle w:val="a5"/>
        </w:rPr>
        <w:footnoteRef/>
      </w:r>
      <w:r>
        <w:rPr>
          <w:rtl/>
        </w:rPr>
        <w:t xml:space="preserve"> </w:t>
      </w:r>
      <w:r>
        <w:rPr>
          <w:rFonts w:hint="cs"/>
          <w:rtl/>
        </w:rPr>
        <w:t xml:space="preserve">ראה המדרש שם שדורש באריכות ובאופן סמלי את פרשת סוטה על עם ישראל וחטאיו. והכהן המכפר הוא משה. מדרש זה צועד צעד נוסף מול ה"למדתני" הראשון של המדרש הקודם. לא רק טענה של "אנכי ה' אלהיך" ולא "אלהיכם", אלא שבירת הלוחות ממש על מנת למחות (למחוק) את "אל קנא פוקד עוון אבות על בנים" שכתוב בהם! בסופו של דבר, ניתנו הלוחות השניים וחזר הפסוק ונחקק בהם, אבל אולי באופן רך יותר ועם מבט לדברים </w:t>
      </w:r>
      <w:r w:rsidR="002160A9">
        <w:rPr>
          <w:rFonts w:hint="cs"/>
          <w:rtl/>
        </w:rPr>
        <w:t xml:space="preserve">האחרים </w:t>
      </w:r>
      <w:r>
        <w:rPr>
          <w:rFonts w:hint="cs"/>
          <w:rtl/>
        </w:rPr>
        <w:t xml:space="preserve">שעתידים להיכתב בספר דברים. ראה דברינו </w:t>
      </w:r>
      <w:hyperlink r:id="rId10" w:history="1">
        <w:r w:rsidRPr="00F849D4">
          <w:rPr>
            <w:rStyle w:val="Hyperlink"/>
            <w:rFonts w:hint="cs"/>
            <w:rtl/>
          </w:rPr>
          <w:t>לוחות שניים כראשונים?</w:t>
        </w:r>
      </w:hyperlink>
      <w:r>
        <w:rPr>
          <w:rFonts w:hint="cs"/>
          <w:rtl/>
        </w:rPr>
        <w:t xml:space="preserve"> בפרשת עקב ובפרט את מדרש </w:t>
      </w:r>
      <w:r w:rsidRPr="0086147B">
        <w:rPr>
          <w:rFonts w:hint="eastAsia"/>
          <w:rtl/>
          <w:lang w:eastAsia="en-US"/>
        </w:rPr>
        <w:t>שמות</w:t>
      </w:r>
      <w:r w:rsidRPr="0086147B">
        <w:rPr>
          <w:rtl/>
          <w:lang w:eastAsia="en-US"/>
        </w:rPr>
        <w:t xml:space="preserve"> </w:t>
      </w:r>
      <w:r w:rsidRPr="0086147B">
        <w:rPr>
          <w:rFonts w:hint="eastAsia"/>
          <w:rtl/>
          <w:lang w:eastAsia="en-US"/>
        </w:rPr>
        <w:t>רבה</w:t>
      </w:r>
      <w:r w:rsidRPr="0086147B">
        <w:rPr>
          <w:rtl/>
          <w:lang w:eastAsia="en-US"/>
        </w:rPr>
        <w:t xml:space="preserve"> </w:t>
      </w:r>
      <w:r w:rsidRPr="0086147B">
        <w:rPr>
          <w:rFonts w:hint="eastAsia"/>
          <w:rtl/>
          <w:lang w:eastAsia="en-US"/>
        </w:rPr>
        <w:t>מו</w:t>
      </w:r>
      <w:r w:rsidRPr="0086147B">
        <w:rPr>
          <w:rtl/>
          <w:lang w:eastAsia="en-US"/>
        </w:rPr>
        <w:t xml:space="preserve"> </w:t>
      </w:r>
      <w:r w:rsidRPr="0086147B">
        <w:rPr>
          <w:rFonts w:hint="cs"/>
          <w:rtl/>
          <w:lang w:eastAsia="en-US"/>
        </w:rPr>
        <w:t>א</w:t>
      </w:r>
      <w:r>
        <w:rPr>
          <w:rFonts w:hint="cs"/>
          <w:rtl/>
          <w:lang w:eastAsia="en-US"/>
        </w:rPr>
        <w:t xml:space="preserve"> שהבאנו שם: " ... </w:t>
      </w:r>
      <w:r w:rsidRPr="0086147B">
        <w:rPr>
          <w:rFonts w:hint="eastAsia"/>
          <w:rtl/>
          <w:lang w:eastAsia="en-US"/>
        </w:rPr>
        <w:t>התחיל</w:t>
      </w:r>
      <w:r w:rsidRPr="0086147B">
        <w:rPr>
          <w:rtl/>
          <w:lang w:eastAsia="en-US"/>
        </w:rPr>
        <w:t xml:space="preserve"> </w:t>
      </w:r>
      <w:r w:rsidRPr="0086147B">
        <w:rPr>
          <w:rFonts w:hint="eastAsia"/>
          <w:rtl/>
          <w:lang w:eastAsia="en-US"/>
        </w:rPr>
        <w:t>מצטער</w:t>
      </w:r>
      <w:r w:rsidRPr="0086147B">
        <w:rPr>
          <w:rtl/>
          <w:lang w:eastAsia="en-US"/>
        </w:rPr>
        <w:t xml:space="preserve"> </w:t>
      </w:r>
      <w:r w:rsidRPr="0086147B">
        <w:rPr>
          <w:rFonts w:hint="eastAsia"/>
          <w:rtl/>
          <w:lang w:eastAsia="en-US"/>
        </w:rPr>
        <w:t>על</w:t>
      </w:r>
      <w:r w:rsidRPr="0086147B">
        <w:rPr>
          <w:rtl/>
          <w:lang w:eastAsia="en-US"/>
        </w:rPr>
        <w:t xml:space="preserve"> </w:t>
      </w:r>
      <w:r w:rsidRPr="0086147B">
        <w:rPr>
          <w:rFonts w:hint="eastAsia"/>
          <w:rtl/>
          <w:lang w:eastAsia="en-US"/>
        </w:rPr>
        <w:t>שבור</w:t>
      </w:r>
      <w:r w:rsidRPr="0086147B">
        <w:rPr>
          <w:rtl/>
          <w:lang w:eastAsia="en-US"/>
        </w:rPr>
        <w:t xml:space="preserve"> </w:t>
      </w:r>
      <w:r w:rsidRPr="0086147B">
        <w:rPr>
          <w:rFonts w:hint="eastAsia"/>
          <w:rtl/>
          <w:lang w:eastAsia="en-US"/>
        </w:rPr>
        <w:t>הלוחות</w:t>
      </w:r>
      <w:r w:rsidRPr="0086147B">
        <w:rPr>
          <w:rFonts w:hint="cs"/>
          <w:rtl/>
          <w:lang w:eastAsia="en-US"/>
        </w:rPr>
        <w:t xml:space="preserve">. </w:t>
      </w:r>
      <w:r w:rsidRPr="0086147B">
        <w:rPr>
          <w:rFonts w:hint="eastAsia"/>
          <w:rtl/>
          <w:lang w:eastAsia="en-US"/>
        </w:rPr>
        <w:t>אמר</w:t>
      </w:r>
      <w:r w:rsidRPr="0086147B">
        <w:rPr>
          <w:rtl/>
          <w:lang w:eastAsia="en-US"/>
        </w:rPr>
        <w:t xml:space="preserve"> </w:t>
      </w:r>
      <w:r w:rsidRPr="0086147B">
        <w:rPr>
          <w:rFonts w:hint="eastAsia"/>
          <w:rtl/>
          <w:lang w:eastAsia="en-US"/>
        </w:rPr>
        <w:t>לו</w:t>
      </w:r>
      <w:r w:rsidRPr="0086147B">
        <w:rPr>
          <w:rtl/>
          <w:lang w:eastAsia="en-US"/>
        </w:rPr>
        <w:t xml:space="preserve"> </w:t>
      </w:r>
      <w:r w:rsidRPr="0086147B">
        <w:rPr>
          <w:rFonts w:hint="eastAsia"/>
          <w:rtl/>
          <w:lang w:eastAsia="en-US"/>
        </w:rPr>
        <w:t>הקב</w:t>
      </w:r>
      <w:r w:rsidRPr="0086147B">
        <w:rPr>
          <w:rtl/>
          <w:lang w:eastAsia="en-US"/>
        </w:rPr>
        <w:t>"</w:t>
      </w:r>
      <w:r w:rsidRPr="0086147B">
        <w:rPr>
          <w:rFonts w:hint="eastAsia"/>
          <w:rtl/>
          <w:lang w:eastAsia="en-US"/>
        </w:rPr>
        <w:t>ה</w:t>
      </w:r>
      <w:r w:rsidRPr="0086147B">
        <w:rPr>
          <w:rFonts w:hint="cs"/>
          <w:rtl/>
          <w:lang w:eastAsia="en-US"/>
        </w:rPr>
        <w:t>:</w:t>
      </w:r>
      <w:r w:rsidRPr="0086147B">
        <w:rPr>
          <w:rtl/>
          <w:lang w:eastAsia="en-US"/>
        </w:rPr>
        <w:t xml:space="preserve"> </w:t>
      </w:r>
      <w:r w:rsidRPr="0086147B">
        <w:rPr>
          <w:rFonts w:hint="eastAsia"/>
          <w:rtl/>
          <w:lang w:eastAsia="en-US"/>
        </w:rPr>
        <w:t>אל</w:t>
      </w:r>
      <w:r w:rsidRPr="0086147B">
        <w:rPr>
          <w:rtl/>
          <w:lang w:eastAsia="en-US"/>
        </w:rPr>
        <w:t xml:space="preserve"> </w:t>
      </w:r>
      <w:r w:rsidRPr="0086147B">
        <w:rPr>
          <w:rFonts w:hint="eastAsia"/>
          <w:rtl/>
          <w:lang w:eastAsia="en-US"/>
        </w:rPr>
        <w:t>תצטער</w:t>
      </w:r>
      <w:r w:rsidRPr="0086147B">
        <w:rPr>
          <w:rFonts w:hint="cs"/>
          <w:rtl/>
          <w:lang w:eastAsia="en-US"/>
        </w:rPr>
        <w:t>.</w:t>
      </w:r>
      <w:r w:rsidRPr="0086147B">
        <w:rPr>
          <w:rtl/>
          <w:lang w:eastAsia="en-US"/>
        </w:rPr>
        <w:t xml:space="preserve"> </w:t>
      </w:r>
      <w:r w:rsidRPr="0086147B">
        <w:rPr>
          <w:rFonts w:hint="eastAsia"/>
          <w:rtl/>
          <w:lang w:eastAsia="en-US"/>
        </w:rPr>
        <w:t>בלוחות</w:t>
      </w:r>
      <w:r w:rsidRPr="0086147B">
        <w:rPr>
          <w:rtl/>
          <w:lang w:eastAsia="en-US"/>
        </w:rPr>
        <w:t xml:space="preserve"> </w:t>
      </w:r>
      <w:r w:rsidRPr="0086147B">
        <w:rPr>
          <w:rFonts w:hint="eastAsia"/>
          <w:rtl/>
          <w:lang w:eastAsia="en-US"/>
        </w:rPr>
        <w:t>הראשונות</w:t>
      </w:r>
      <w:r w:rsidRPr="0086147B">
        <w:rPr>
          <w:rtl/>
          <w:lang w:eastAsia="en-US"/>
        </w:rPr>
        <w:t xml:space="preserve"> </w:t>
      </w:r>
      <w:r w:rsidRPr="0086147B">
        <w:rPr>
          <w:rFonts w:hint="eastAsia"/>
          <w:rtl/>
          <w:lang w:eastAsia="en-US"/>
        </w:rPr>
        <w:t>לא</w:t>
      </w:r>
      <w:r w:rsidRPr="0086147B">
        <w:rPr>
          <w:rtl/>
          <w:lang w:eastAsia="en-US"/>
        </w:rPr>
        <w:t xml:space="preserve"> </w:t>
      </w:r>
      <w:r w:rsidRPr="0086147B">
        <w:rPr>
          <w:rFonts w:hint="eastAsia"/>
          <w:rtl/>
          <w:lang w:eastAsia="en-US"/>
        </w:rPr>
        <w:t>היו</w:t>
      </w:r>
      <w:r w:rsidRPr="0086147B">
        <w:rPr>
          <w:rtl/>
          <w:lang w:eastAsia="en-US"/>
        </w:rPr>
        <w:t xml:space="preserve"> </w:t>
      </w:r>
      <w:r w:rsidRPr="0086147B">
        <w:rPr>
          <w:rFonts w:hint="eastAsia"/>
          <w:rtl/>
          <w:lang w:eastAsia="en-US"/>
        </w:rPr>
        <w:t>אלא</w:t>
      </w:r>
      <w:r w:rsidRPr="0086147B">
        <w:rPr>
          <w:rtl/>
          <w:lang w:eastAsia="en-US"/>
        </w:rPr>
        <w:t xml:space="preserve"> </w:t>
      </w:r>
      <w:r w:rsidRPr="0086147B">
        <w:rPr>
          <w:rFonts w:hint="eastAsia"/>
          <w:rtl/>
          <w:lang w:eastAsia="en-US"/>
        </w:rPr>
        <w:t>עשרת</w:t>
      </w:r>
      <w:r w:rsidRPr="0086147B">
        <w:rPr>
          <w:rtl/>
          <w:lang w:eastAsia="en-US"/>
        </w:rPr>
        <w:t xml:space="preserve"> </w:t>
      </w:r>
      <w:r w:rsidRPr="0086147B">
        <w:rPr>
          <w:rFonts w:hint="eastAsia"/>
          <w:rtl/>
          <w:lang w:eastAsia="en-US"/>
        </w:rPr>
        <w:t>הדברות</w:t>
      </w:r>
      <w:r w:rsidRPr="0086147B">
        <w:rPr>
          <w:rtl/>
          <w:lang w:eastAsia="en-US"/>
        </w:rPr>
        <w:t xml:space="preserve"> </w:t>
      </w:r>
      <w:r w:rsidRPr="0086147B">
        <w:rPr>
          <w:rFonts w:hint="cs"/>
          <w:rtl/>
          <w:lang w:eastAsia="en-US"/>
        </w:rPr>
        <w:t>ב</w:t>
      </w:r>
      <w:r w:rsidRPr="0086147B">
        <w:rPr>
          <w:rFonts w:hint="eastAsia"/>
          <w:rtl/>
          <w:lang w:eastAsia="en-US"/>
        </w:rPr>
        <w:t>לבד</w:t>
      </w:r>
      <w:r>
        <w:rPr>
          <w:rFonts w:hint="cs"/>
          <w:rtl/>
          <w:lang w:eastAsia="en-US"/>
        </w:rPr>
        <w:t>,</w:t>
      </w:r>
      <w:r w:rsidRPr="0086147B">
        <w:rPr>
          <w:rtl/>
          <w:lang w:eastAsia="en-US"/>
        </w:rPr>
        <w:t xml:space="preserve"> </w:t>
      </w:r>
      <w:r w:rsidRPr="0086147B">
        <w:rPr>
          <w:rFonts w:hint="eastAsia"/>
          <w:rtl/>
          <w:lang w:eastAsia="en-US"/>
        </w:rPr>
        <w:t>ובלוחות</w:t>
      </w:r>
      <w:r w:rsidRPr="0086147B">
        <w:rPr>
          <w:rtl/>
          <w:lang w:eastAsia="en-US"/>
        </w:rPr>
        <w:t xml:space="preserve"> </w:t>
      </w:r>
      <w:r w:rsidRPr="0086147B">
        <w:rPr>
          <w:rFonts w:hint="eastAsia"/>
          <w:rtl/>
          <w:lang w:eastAsia="en-US"/>
        </w:rPr>
        <w:t>השניים</w:t>
      </w:r>
      <w:r w:rsidRPr="0086147B">
        <w:rPr>
          <w:rtl/>
          <w:lang w:eastAsia="en-US"/>
        </w:rPr>
        <w:t xml:space="preserve"> </w:t>
      </w:r>
      <w:r w:rsidRPr="0086147B">
        <w:rPr>
          <w:rFonts w:hint="eastAsia"/>
          <w:rtl/>
          <w:lang w:eastAsia="en-US"/>
        </w:rPr>
        <w:t>אני</w:t>
      </w:r>
      <w:r w:rsidRPr="0086147B">
        <w:rPr>
          <w:rtl/>
          <w:lang w:eastAsia="en-US"/>
        </w:rPr>
        <w:t xml:space="preserve"> </w:t>
      </w:r>
      <w:r w:rsidRPr="0086147B">
        <w:rPr>
          <w:rFonts w:hint="eastAsia"/>
          <w:rtl/>
          <w:lang w:eastAsia="en-US"/>
        </w:rPr>
        <w:t>נותן</w:t>
      </w:r>
      <w:r w:rsidRPr="0086147B">
        <w:rPr>
          <w:rtl/>
          <w:lang w:eastAsia="en-US"/>
        </w:rPr>
        <w:t xml:space="preserve"> </w:t>
      </w:r>
      <w:r w:rsidRPr="0086147B">
        <w:rPr>
          <w:rFonts w:hint="eastAsia"/>
          <w:rtl/>
          <w:lang w:eastAsia="en-US"/>
        </w:rPr>
        <w:t>לך</w:t>
      </w:r>
      <w:r w:rsidRPr="0086147B">
        <w:rPr>
          <w:rtl/>
          <w:lang w:eastAsia="en-US"/>
        </w:rPr>
        <w:t xml:space="preserve"> </w:t>
      </w:r>
      <w:r w:rsidRPr="0086147B">
        <w:rPr>
          <w:rFonts w:hint="eastAsia"/>
          <w:rtl/>
          <w:lang w:eastAsia="en-US"/>
        </w:rPr>
        <w:t>שיהא</w:t>
      </w:r>
      <w:r w:rsidRPr="0086147B">
        <w:rPr>
          <w:rtl/>
          <w:lang w:eastAsia="en-US"/>
        </w:rPr>
        <w:t xml:space="preserve"> </w:t>
      </w:r>
      <w:r w:rsidRPr="0086147B">
        <w:rPr>
          <w:rFonts w:hint="eastAsia"/>
          <w:rtl/>
          <w:lang w:eastAsia="en-US"/>
        </w:rPr>
        <w:t>בהם</w:t>
      </w:r>
      <w:r w:rsidRPr="0086147B">
        <w:rPr>
          <w:rtl/>
          <w:lang w:eastAsia="en-US"/>
        </w:rPr>
        <w:t xml:space="preserve"> </w:t>
      </w:r>
      <w:r w:rsidRPr="0086147B">
        <w:rPr>
          <w:rFonts w:hint="eastAsia"/>
          <w:rtl/>
          <w:lang w:eastAsia="en-US"/>
        </w:rPr>
        <w:t>הלכות</w:t>
      </w:r>
      <w:r w:rsidRPr="0086147B">
        <w:rPr>
          <w:rtl/>
          <w:lang w:eastAsia="en-US"/>
        </w:rPr>
        <w:t xml:space="preserve"> </w:t>
      </w:r>
      <w:r w:rsidRPr="0086147B">
        <w:rPr>
          <w:rFonts w:hint="eastAsia"/>
          <w:rtl/>
          <w:lang w:eastAsia="en-US"/>
        </w:rPr>
        <w:t>מדרש</w:t>
      </w:r>
      <w:r w:rsidRPr="0086147B">
        <w:rPr>
          <w:rFonts w:hint="cs"/>
          <w:rtl/>
          <w:lang w:eastAsia="en-US"/>
        </w:rPr>
        <w:t>ות</w:t>
      </w:r>
      <w:r w:rsidRPr="0086147B">
        <w:rPr>
          <w:rtl/>
          <w:lang w:eastAsia="en-US"/>
        </w:rPr>
        <w:t xml:space="preserve"> </w:t>
      </w:r>
      <w:r w:rsidRPr="0086147B">
        <w:rPr>
          <w:rFonts w:hint="eastAsia"/>
          <w:rtl/>
          <w:lang w:eastAsia="en-US"/>
        </w:rPr>
        <w:t>ואגדות</w:t>
      </w:r>
      <w:r>
        <w:rPr>
          <w:rFonts w:hint="cs"/>
          <w:rtl/>
          <w:lang w:eastAsia="en-US"/>
        </w:rPr>
        <w:t>"</w:t>
      </w:r>
      <w:r w:rsidRPr="0086147B">
        <w:rPr>
          <w:rFonts w:hint="cs"/>
          <w:rtl/>
          <w:lang w:eastAsia="en-US"/>
        </w:rPr>
        <w:t>.</w:t>
      </w:r>
      <w:r>
        <w:rPr>
          <w:rFonts w:hint="cs"/>
          <w:rtl/>
          <w:lang w:eastAsia="en-US"/>
        </w:rPr>
        <w:t xml:space="preserve"> </w:t>
      </w:r>
      <w:r w:rsidR="00DC7C04">
        <w:rPr>
          <w:rFonts w:hint="cs"/>
          <w:rtl/>
          <w:lang w:eastAsia="en-US"/>
        </w:rPr>
        <w:t>הלוחות השניים הכילו את ה</w:t>
      </w:r>
      <w:r>
        <w:rPr>
          <w:rFonts w:hint="cs"/>
          <w:rtl/>
          <w:lang w:eastAsia="en-US"/>
        </w:rPr>
        <w:t>תורה שבע"פ</w:t>
      </w:r>
      <w:r w:rsidR="00DC7C04">
        <w:rPr>
          <w:rFonts w:hint="cs"/>
          <w:rtl/>
          <w:lang w:eastAsia="en-US"/>
        </w:rPr>
        <w:t>. והין ה</w:t>
      </w:r>
      <w:r>
        <w:rPr>
          <w:rFonts w:hint="cs"/>
          <w:rtl/>
          <w:lang w:eastAsia="en-US"/>
        </w:rPr>
        <w:t xml:space="preserve">הלכות </w:t>
      </w:r>
      <w:r w:rsidR="00DC7C04">
        <w:rPr>
          <w:rFonts w:hint="cs"/>
          <w:rtl/>
          <w:lang w:eastAsia="en-US"/>
        </w:rPr>
        <w:t>ה</w:t>
      </w:r>
      <w:r>
        <w:rPr>
          <w:rFonts w:hint="cs"/>
          <w:rtl/>
          <w:lang w:eastAsia="en-US"/>
        </w:rPr>
        <w:t>דרשות ו</w:t>
      </w:r>
      <w:r w:rsidR="00DC7C04">
        <w:rPr>
          <w:rFonts w:hint="cs"/>
          <w:rtl/>
          <w:lang w:eastAsia="en-US"/>
        </w:rPr>
        <w:t>ה</w:t>
      </w:r>
      <w:r>
        <w:rPr>
          <w:rFonts w:hint="cs"/>
          <w:rtl/>
          <w:lang w:eastAsia="en-US"/>
        </w:rPr>
        <w:t>אגדות שהיו שם, היו כנראה כלולים גם המדרשים שהבאנו לעיל שמצמצמים את התוקף של "פוקד עוון אבות" ומשלימים אותו עם הכלל הנגדי: "לא יומתו אבות על בנים ובנים על אבותם".</w:t>
      </w:r>
    </w:p>
  </w:footnote>
  <w:footnote w:id="30">
    <w:p w:rsidR="00437CF7" w:rsidRDefault="00437CF7">
      <w:pPr>
        <w:pStyle w:val="a3"/>
        <w:rPr>
          <w:rFonts w:hint="cs"/>
          <w:rtl/>
        </w:rPr>
      </w:pPr>
      <w:r>
        <w:rPr>
          <w:rStyle w:val="a5"/>
        </w:rPr>
        <w:footnoteRef/>
      </w:r>
      <w:r>
        <w:rPr>
          <w:rtl/>
        </w:rPr>
        <w:t xml:space="preserve"> </w:t>
      </w:r>
      <w:r>
        <w:rPr>
          <w:rFonts w:hint="cs"/>
          <w:rtl/>
        </w:rPr>
        <w:t xml:space="preserve">זו </w:t>
      </w:r>
      <w:r>
        <w:rPr>
          <w:rtl/>
        </w:rPr>
        <w:t>הסיומת למסכת מכות</w:t>
      </w:r>
      <w:r>
        <w:rPr>
          <w:rFonts w:hint="cs"/>
          <w:rtl/>
        </w:rPr>
        <w:t xml:space="preserve"> שחזרנו והבאנו פעמים רבות</w:t>
      </w:r>
      <w:r>
        <w:rPr>
          <w:rtl/>
        </w:rPr>
        <w:t>. שלוש מהגזרות נוגעות לגלות ולמצבו של עם ישראל כלפי הגויים</w:t>
      </w:r>
      <w:r>
        <w:rPr>
          <w:rFonts w:hint="cs"/>
          <w:rtl/>
        </w:rPr>
        <w:t xml:space="preserve"> ואינם "להלכה".</w:t>
      </w:r>
      <w:r>
        <w:rPr>
          <w:rtl/>
        </w:rPr>
        <w:t xml:space="preserve"> המקרה של יחזקאל שונה מכולם</w:t>
      </w:r>
      <w:r>
        <w:rPr>
          <w:rFonts w:hint="cs"/>
          <w:rtl/>
        </w:rPr>
        <w:t>, אם לא להלכה ולמעשה, ודאי למחשבת ההלכה. והתמיהה בעינה עומדת מדוע מתעלם ר' יוסי בר חנינא מהפסוק שמשה עצמו אמר בספר דברים: "</w:t>
      </w:r>
      <w:r>
        <w:rPr>
          <w:rtl/>
        </w:rPr>
        <w:t>לֹא יוּמְתוּ אָבוֹת עַל בָּנִים וּבָנִים לֹא יוּמְתוּ עַל אָבוֹת אִישׁ בְּחֶטְאוֹ יוּמָתוּ</w:t>
      </w:r>
      <w:r>
        <w:rPr>
          <w:rFonts w:hint="cs"/>
          <w:rtl/>
        </w:rPr>
        <w:t>" ומה החידוש של יחזקאל! אולי המפתח הוא במילה "ביטול". אין צורך בהסברים ומיצוע בין הפסוקים. גם באוחזים במעשי אבותיהם, גם ברשע בן רשע בן רשע, "איש בחטאו יומת" וכל אחד לעצמו</w:t>
      </w:r>
      <w:r w:rsidR="00DC7C04">
        <w:rPr>
          <w:rFonts w:hint="cs"/>
          <w:rtl/>
        </w:rPr>
        <w:t xml:space="preserve"> ואין יותר פקידת עוונות מאב לבן</w:t>
      </w:r>
      <w:r>
        <w:rPr>
          <w:rFonts w:hint="cs"/>
          <w:rtl/>
        </w:rPr>
        <w:t>. ונשמח לשמוע הסברים מדולי המים.</w:t>
      </w:r>
    </w:p>
  </w:footnote>
  <w:footnote w:id="31">
    <w:p w:rsidR="00565EDA" w:rsidRDefault="00565EDA" w:rsidP="00DC7C04">
      <w:pPr>
        <w:pStyle w:val="a3"/>
        <w:rPr>
          <w:rFonts w:hint="cs"/>
          <w:rtl/>
        </w:rPr>
      </w:pPr>
      <w:r>
        <w:rPr>
          <w:rStyle w:val="a5"/>
        </w:rPr>
        <w:footnoteRef/>
      </w:r>
      <w:r>
        <w:rPr>
          <w:rtl/>
        </w:rPr>
        <w:t xml:space="preserve"> </w:t>
      </w:r>
      <w:r>
        <w:rPr>
          <w:rFonts w:hint="cs"/>
          <w:rtl/>
        </w:rPr>
        <w:t>התמקדנו במדרשים ולא נותר מקום רב לפרשני המקרא. איך פוקד עוון אבות הוא מדת הרחמים? שהקב"ה ממתין לרשעים עד ארבעה דורות ורק אז מתמלאת סאתם. ואופן דומה מפרש ספורנו רק בלשון קשה יותר: "ממתין לאבד רשעי ארץ עד שתמלא סאתם. וזה המילוי הוא שיגיע עוונו למדרגה מן הרע שלא תהיה עמה תשובה". וצריך להסביר בפשט הפסוק ש"פוקד" איננו מעניש, אלא מגלגל, מושך לבן, לבני הבנים, עד דור רביעי לפני שהוא מתייאש מאותה משפחה. ואפשר שגם פירוש זה חוזר לפירוש המכילת</w:t>
      </w:r>
      <w:r w:rsidR="00DC7C04">
        <w:rPr>
          <w:rFonts w:hint="cs"/>
          <w:rtl/>
        </w:rPr>
        <w:t>א</w:t>
      </w:r>
      <w:r>
        <w:rPr>
          <w:rFonts w:hint="cs"/>
          <w:rtl/>
        </w:rPr>
        <w:t>ות בהן פתחנו ועל זה שמח משה שהרי מקרה נדיר הוא שארבעה דורות לא יהיה בהם צדיק אחד ולא בעל תשובה.</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28D9" w:rsidRDefault="00D428D9" w:rsidP="00503823">
    <w:pPr>
      <w:pStyle w:val="1"/>
      <w:tabs>
        <w:tab w:val="clear" w:pos="9469"/>
        <w:tab w:val="right" w:pos="9185"/>
      </w:tabs>
      <w:rPr>
        <w:rFonts w:hint="cs"/>
        <w:rtl/>
        <w:lang w:eastAsia="en-US"/>
      </w:rPr>
    </w:pPr>
    <w:r>
      <w:rPr>
        <w:rtl/>
        <w:lang w:eastAsia="en-US"/>
      </w:rPr>
      <w:t xml:space="preserve">פרשת </w:t>
    </w:r>
    <w:r>
      <w:rPr>
        <w:rtl/>
      </w:rPr>
      <w:fldChar w:fldCharType="begin"/>
    </w:r>
    <w:r>
      <w:rPr>
        <w:rtl/>
        <w:lang w:eastAsia="en-US"/>
      </w:rPr>
      <w:instrText xml:space="preserve"> </w:instrText>
    </w:r>
    <w:r>
      <w:rPr>
        <w:lang w:eastAsia="en-US"/>
      </w:rPr>
      <w:instrText>SUBJECT  \* MERGEFORMAT</w:instrText>
    </w:r>
    <w:r>
      <w:rPr>
        <w:rtl/>
        <w:lang w:eastAsia="en-US"/>
      </w:rPr>
      <w:instrText xml:space="preserve"> </w:instrText>
    </w:r>
    <w:r>
      <w:rPr>
        <w:rtl/>
      </w:rPr>
      <w:fldChar w:fldCharType="separate"/>
    </w:r>
    <w:r w:rsidR="008B7B6A">
      <w:rPr>
        <w:rtl/>
        <w:lang w:eastAsia="en-US"/>
      </w:rPr>
      <w:t>כי תשא</w:t>
    </w:r>
    <w:r>
      <w:rPr>
        <w:rtl/>
      </w:rPr>
      <w:fldChar w:fldCharType="end"/>
    </w:r>
    <w:r>
      <w:rPr>
        <w:rtl/>
        <w:lang w:eastAsia="en-US"/>
      </w:rPr>
      <w:tab/>
    </w:r>
    <w:r>
      <w:rPr>
        <w:rFonts w:hint="cs"/>
        <w:rtl/>
        <w:lang w:eastAsia="en-US"/>
      </w:rPr>
      <w:t>תשע"</w:t>
    </w:r>
    <w:r w:rsidR="001816AF">
      <w:rPr>
        <w:rFonts w:hint="cs"/>
        <w:rtl/>
        <w:lang w:eastAsia="en-US"/>
      </w:rPr>
      <w:t>ב</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28D9" w:rsidRDefault="00D428D9">
    <w:pPr>
      <w:pStyle w:val="1"/>
      <w:rPr>
        <w:szCs w:val="22"/>
        <w:rtl/>
        <w:lang w:eastAsia="en-US"/>
      </w:rPr>
    </w:pPr>
    <w:r>
      <w:rPr>
        <w:szCs w:val="22"/>
        <w:rtl/>
        <w:lang w:eastAsia="en-US"/>
      </w:rPr>
      <w:t xml:space="preserve">פרשת </w:t>
    </w:r>
    <w:r>
      <w:rPr>
        <w:rFonts w:cs="Miriam"/>
        <w:szCs w:val="24"/>
        <w:rtl/>
      </w:rPr>
      <w:fldChar w:fldCharType="begin"/>
    </w:r>
    <w:r>
      <w:rPr>
        <w:szCs w:val="22"/>
        <w:rtl/>
        <w:lang w:eastAsia="en-US"/>
      </w:rPr>
      <w:instrText xml:space="preserve"> </w:instrText>
    </w:r>
    <w:r>
      <w:rPr>
        <w:szCs w:val="22"/>
        <w:lang w:eastAsia="en-US"/>
      </w:rPr>
      <w:instrText>SUBJECT  \* MERGEFORMAT</w:instrText>
    </w:r>
    <w:r>
      <w:rPr>
        <w:szCs w:val="22"/>
        <w:rtl/>
        <w:lang w:eastAsia="en-US"/>
      </w:rPr>
      <w:instrText xml:space="preserve"> </w:instrText>
    </w:r>
    <w:r>
      <w:rPr>
        <w:rFonts w:cs="Miriam"/>
        <w:szCs w:val="24"/>
        <w:rtl/>
      </w:rPr>
      <w:fldChar w:fldCharType="separate"/>
    </w:r>
    <w:r w:rsidR="008B7B6A">
      <w:rPr>
        <w:szCs w:val="22"/>
        <w:rtl/>
        <w:lang w:eastAsia="en-US"/>
      </w:rPr>
      <w:t>כי תשא</w:t>
    </w:r>
    <w:r>
      <w:rPr>
        <w:rFonts w:cs="Miriam"/>
        <w:szCs w:val="24"/>
        <w:rtl/>
      </w:rPr>
      <w:fldChar w:fldCharType="end"/>
    </w:r>
    <w:r>
      <w:rPr>
        <w:szCs w:val="22"/>
        <w:rtl/>
        <w:lang w:eastAsia="en-US"/>
      </w:rPr>
      <w:t xml:space="preserve"> </w:t>
    </w:r>
    <w:r>
      <w:rPr>
        <w:szCs w:val="22"/>
        <w:rtl/>
        <w:lang w:eastAsia="en-US"/>
      </w:rPr>
      <w:tab/>
    </w:r>
    <w:r>
      <w:rPr>
        <w:rFonts w:cs="Miriam"/>
        <w:szCs w:val="24"/>
        <w:rtl/>
      </w:rPr>
      <w:fldChar w:fldCharType="begin"/>
    </w:r>
    <w:r>
      <w:rPr>
        <w:szCs w:val="22"/>
        <w:rtl/>
        <w:lang w:eastAsia="en-US"/>
      </w:rPr>
      <w:instrText xml:space="preserve"> </w:instrText>
    </w:r>
    <w:r>
      <w:rPr>
        <w:szCs w:val="22"/>
        <w:lang w:eastAsia="en-US"/>
      </w:rPr>
      <w:instrText>DATE \@ "yyyy"\h  \* MERGEFORMAT</w:instrText>
    </w:r>
    <w:r>
      <w:rPr>
        <w:szCs w:val="22"/>
        <w:rtl/>
        <w:lang w:eastAsia="en-US"/>
      </w:rPr>
      <w:instrText xml:space="preserve"> </w:instrText>
    </w:r>
    <w:r>
      <w:rPr>
        <w:rFonts w:cs="Miriam"/>
        <w:szCs w:val="24"/>
        <w:rtl/>
      </w:rPr>
      <w:fldChar w:fldCharType="separate"/>
    </w:r>
    <w:r w:rsidR="006B7A9D">
      <w:rPr>
        <w:noProof/>
        <w:szCs w:val="22"/>
        <w:rtl/>
        <w:lang w:eastAsia="en-US"/>
      </w:rPr>
      <w:t>‏תשע"ז</w:t>
    </w:r>
    <w:r>
      <w:rPr>
        <w:rFonts w:cs="Miriam"/>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AEA"/>
    <w:rsid w:val="0001346C"/>
    <w:rsid w:val="00053CAF"/>
    <w:rsid w:val="00060A34"/>
    <w:rsid w:val="00063935"/>
    <w:rsid w:val="00072C68"/>
    <w:rsid w:val="000A0315"/>
    <w:rsid w:val="000A48BD"/>
    <w:rsid w:val="000B1820"/>
    <w:rsid w:val="000C4FD1"/>
    <w:rsid w:val="000C7480"/>
    <w:rsid w:val="000D3303"/>
    <w:rsid w:val="000F591F"/>
    <w:rsid w:val="0010128C"/>
    <w:rsid w:val="00125374"/>
    <w:rsid w:val="00134A61"/>
    <w:rsid w:val="00134B83"/>
    <w:rsid w:val="00140E0E"/>
    <w:rsid w:val="001570DB"/>
    <w:rsid w:val="00170639"/>
    <w:rsid w:val="00173969"/>
    <w:rsid w:val="001816AF"/>
    <w:rsid w:val="001936A0"/>
    <w:rsid w:val="001B1297"/>
    <w:rsid w:val="001C01F7"/>
    <w:rsid w:val="001C0E58"/>
    <w:rsid w:val="001C10C8"/>
    <w:rsid w:val="001D7B77"/>
    <w:rsid w:val="001E3F16"/>
    <w:rsid w:val="002017C4"/>
    <w:rsid w:val="002160A9"/>
    <w:rsid w:val="002210A5"/>
    <w:rsid w:val="00224E36"/>
    <w:rsid w:val="00241F90"/>
    <w:rsid w:val="00252C75"/>
    <w:rsid w:val="00261B6B"/>
    <w:rsid w:val="00270C00"/>
    <w:rsid w:val="00273163"/>
    <w:rsid w:val="00287AD0"/>
    <w:rsid w:val="0029626D"/>
    <w:rsid w:val="002B649F"/>
    <w:rsid w:val="002B7030"/>
    <w:rsid w:val="002C62B3"/>
    <w:rsid w:val="002D3BE3"/>
    <w:rsid w:val="002E6AB4"/>
    <w:rsid w:val="002F5ACD"/>
    <w:rsid w:val="00330ED8"/>
    <w:rsid w:val="00332E90"/>
    <w:rsid w:val="00340603"/>
    <w:rsid w:val="00350E7E"/>
    <w:rsid w:val="003617CA"/>
    <w:rsid w:val="00362558"/>
    <w:rsid w:val="00366B7C"/>
    <w:rsid w:val="00380AA3"/>
    <w:rsid w:val="00386032"/>
    <w:rsid w:val="00393D76"/>
    <w:rsid w:val="00393E90"/>
    <w:rsid w:val="00396A05"/>
    <w:rsid w:val="003A6476"/>
    <w:rsid w:val="003A7407"/>
    <w:rsid w:val="003C225E"/>
    <w:rsid w:val="003C4927"/>
    <w:rsid w:val="003D7F87"/>
    <w:rsid w:val="003E3F4B"/>
    <w:rsid w:val="003F2167"/>
    <w:rsid w:val="00400CEE"/>
    <w:rsid w:val="00437CF7"/>
    <w:rsid w:val="00442040"/>
    <w:rsid w:val="00491188"/>
    <w:rsid w:val="00497AF8"/>
    <w:rsid w:val="004D080B"/>
    <w:rsid w:val="004D276D"/>
    <w:rsid w:val="004F2166"/>
    <w:rsid w:val="00503823"/>
    <w:rsid w:val="005045CC"/>
    <w:rsid w:val="00512C6A"/>
    <w:rsid w:val="00517E91"/>
    <w:rsid w:val="00520A11"/>
    <w:rsid w:val="00535FBA"/>
    <w:rsid w:val="005429CE"/>
    <w:rsid w:val="00542D67"/>
    <w:rsid w:val="0054331E"/>
    <w:rsid w:val="00565EDA"/>
    <w:rsid w:val="0056664A"/>
    <w:rsid w:val="00571BFA"/>
    <w:rsid w:val="00573C66"/>
    <w:rsid w:val="0058219D"/>
    <w:rsid w:val="005B240C"/>
    <w:rsid w:val="005D704F"/>
    <w:rsid w:val="005E1C79"/>
    <w:rsid w:val="005E217F"/>
    <w:rsid w:val="005E2F0C"/>
    <w:rsid w:val="005F30E0"/>
    <w:rsid w:val="006513CA"/>
    <w:rsid w:val="00655468"/>
    <w:rsid w:val="006A0A4B"/>
    <w:rsid w:val="006A57C7"/>
    <w:rsid w:val="006B2ADA"/>
    <w:rsid w:val="006B353C"/>
    <w:rsid w:val="006B3A7B"/>
    <w:rsid w:val="006B7A9D"/>
    <w:rsid w:val="006C08ED"/>
    <w:rsid w:val="006C1646"/>
    <w:rsid w:val="006C3179"/>
    <w:rsid w:val="006C5278"/>
    <w:rsid w:val="006C5394"/>
    <w:rsid w:val="006C65AA"/>
    <w:rsid w:val="006D3A6C"/>
    <w:rsid w:val="00701874"/>
    <w:rsid w:val="0071527F"/>
    <w:rsid w:val="00737DDD"/>
    <w:rsid w:val="00741030"/>
    <w:rsid w:val="00745DB6"/>
    <w:rsid w:val="00751FD3"/>
    <w:rsid w:val="00771E51"/>
    <w:rsid w:val="00781DA3"/>
    <w:rsid w:val="007A35E1"/>
    <w:rsid w:val="007A4BED"/>
    <w:rsid w:val="007B2D5F"/>
    <w:rsid w:val="007B36D6"/>
    <w:rsid w:val="007C2D16"/>
    <w:rsid w:val="007D72D2"/>
    <w:rsid w:val="007E3AAE"/>
    <w:rsid w:val="007F32B8"/>
    <w:rsid w:val="007F3A9F"/>
    <w:rsid w:val="00816CFD"/>
    <w:rsid w:val="00836B77"/>
    <w:rsid w:val="00843DF4"/>
    <w:rsid w:val="00852A95"/>
    <w:rsid w:val="008653B2"/>
    <w:rsid w:val="00880B23"/>
    <w:rsid w:val="008A535A"/>
    <w:rsid w:val="008B0ADC"/>
    <w:rsid w:val="008B135E"/>
    <w:rsid w:val="008B7B6A"/>
    <w:rsid w:val="008C28B8"/>
    <w:rsid w:val="008D71C7"/>
    <w:rsid w:val="00917D50"/>
    <w:rsid w:val="00933BCB"/>
    <w:rsid w:val="0093588B"/>
    <w:rsid w:val="00946419"/>
    <w:rsid w:val="00951204"/>
    <w:rsid w:val="009513D6"/>
    <w:rsid w:val="00986850"/>
    <w:rsid w:val="0099703E"/>
    <w:rsid w:val="009B087A"/>
    <w:rsid w:val="009B1C2D"/>
    <w:rsid w:val="009B70F5"/>
    <w:rsid w:val="009E081B"/>
    <w:rsid w:val="009E0E7C"/>
    <w:rsid w:val="009E3396"/>
    <w:rsid w:val="009F4504"/>
    <w:rsid w:val="009F745D"/>
    <w:rsid w:val="00A02383"/>
    <w:rsid w:val="00A10B9A"/>
    <w:rsid w:val="00A11C4B"/>
    <w:rsid w:val="00A24794"/>
    <w:rsid w:val="00A27437"/>
    <w:rsid w:val="00A33823"/>
    <w:rsid w:val="00A46228"/>
    <w:rsid w:val="00A666D9"/>
    <w:rsid w:val="00A676C1"/>
    <w:rsid w:val="00A71B57"/>
    <w:rsid w:val="00A72D7C"/>
    <w:rsid w:val="00A86F4B"/>
    <w:rsid w:val="00A87DF5"/>
    <w:rsid w:val="00A93578"/>
    <w:rsid w:val="00AB045C"/>
    <w:rsid w:val="00AB490E"/>
    <w:rsid w:val="00AF1B01"/>
    <w:rsid w:val="00B01EA4"/>
    <w:rsid w:val="00B0480E"/>
    <w:rsid w:val="00B138C0"/>
    <w:rsid w:val="00B77117"/>
    <w:rsid w:val="00B823FF"/>
    <w:rsid w:val="00B97AEA"/>
    <w:rsid w:val="00BB6643"/>
    <w:rsid w:val="00BD5744"/>
    <w:rsid w:val="00BE3584"/>
    <w:rsid w:val="00BE3E70"/>
    <w:rsid w:val="00BF00C5"/>
    <w:rsid w:val="00BF586A"/>
    <w:rsid w:val="00C00BC5"/>
    <w:rsid w:val="00C06911"/>
    <w:rsid w:val="00C128E8"/>
    <w:rsid w:val="00C20691"/>
    <w:rsid w:val="00C416F4"/>
    <w:rsid w:val="00C53A36"/>
    <w:rsid w:val="00C7449E"/>
    <w:rsid w:val="00C82B5C"/>
    <w:rsid w:val="00C8796E"/>
    <w:rsid w:val="00C91701"/>
    <w:rsid w:val="00C92913"/>
    <w:rsid w:val="00C93718"/>
    <w:rsid w:val="00CB1E9B"/>
    <w:rsid w:val="00CB6953"/>
    <w:rsid w:val="00CB7F0F"/>
    <w:rsid w:val="00CC1A6F"/>
    <w:rsid w:val="00CC2AFF"/>
    <w:rsid w:val="00CC6E34"/>
    <w:rsid w:val="00CE3F10"/>
    <w:rsid w:val="00CF4770"/>
    <w:rsid w:val="00CF4FE1"/>
    <w:rsid w:val="00D05774"/>
    <w:rsid w:val="00D05F21"/>
    <w:rsid w:val="00D16959"/>
    <w:rsid w:val="00D26492"/>
    <w:rsid w:val="00D371BB"/>
    <w:rsid w:val="00D42548"/>
    <w:rsid w:val="00D428D9"/>
    <w:rsid w:val="00D67766"/>
    <w:rsid w:val="00D727E6"/>
    <w:rsid w:val="00D94C90"/>
    <w:rsid w:val="00D97042"/>
    <w:rsid w:val="00DA3B45"/>
    <w:rsid w:val="00DC0225"/>
    <w:rsid w:val="00DC3499"/>
    <w:rsid w:val="00DC486D"/>
    <w:rsid w:val="00DC5EB9"/>
    <w:rsid w:val="00DC7C04"/>
    <w:rsid w:val="00DD0FB8"/>
    <w:rsid w:val="00DE155B"/>
    <w:rsid w:val="00DE5AE9"/>
    <w:rsid w:val="00DF3CFE"/>
    <w:rsid w:val="00E175BE"/>
    <w:rsid w:val="00E17686"/>
    <w:rsid w:val="00E17B24"/>
    <w:rsid w:val="00E30800"/>
    <w:rsid w:val="00E456C1"/>
    <w:rsid w:val="00E501FE"/>
    <w:rsid w:val="00E65358"/>
    <w:rsid w:val="00EA328D"/>
    <w:rsid w:val="00EA7E5E"/>
    <w:rsid w:val="00EB6993"/>
    <w:rsid w:val="00EB6B6E"/>
    <w:rsid w:val="00EE43CD"/>
    <w:rsid w:val="00EF1621"/>
    <w:rsid w:val="00F05451"/>
    <w:rsid w:val="00F72D64"/>
    <w:rsid w:val="00F76CC8"/>
    <w:rsid w:val="00F81057"/>
    <w:rsid w:val="00F849D4"/>
    <w:rsid w:val="00F85E14"/>
    <w:rsid w:val="00FA66B9"/>
    <w:rsid w:val="00FC3FDC"/>
    <w:rsid w:val="00FD4DC1"/>
    <w:rsid w:val="00FE45C2"/>
    <w:rsid w:val="00FE49B5"/>
    <w:rsid w:val="00FE5A1B"/>
    <w:rsid w:val="00FF003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25A1AC80-00C6-4175-A8E3-4483827ED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6B7A9D"/>
    <w:pPr>
      <w:bidi/>
    </w:pPr>
    <w:rPr>
      <w:rFonts w:cs="Narkisim"/>
      <w:sz w:val="22"/>
      <w:szCs w:val="22"/>
      <w:lang w:eastAsia="he-IL"/>
    </w:rPr>
  </w:style>
  <w:style w:type="paragraph" w:styleId="1">
    <w:name w:val="heading 1"/>
    <w:basedOn w:val="a"/>
    <w:next w:val="a"/>
    <w:link w:val="10"/>
    <w:qFormat/>
    <w:rsid w:val="006B7A9D"/>
    <w:pPr>
      <w:keepNext/>
      <w:tabs>
        <w:tab w:val="right" w:pos="9469"/>
      </w:tabs>
      <w:jc w:val="both"/>
      <w:outlineLvl w:val="0"/>
    </w:pPr>
    <w:rPr>
      <w:rFonts w:cs="David"/>
      <w:b/>
      <w:bCs/>
      <w:szCs w:val="28"/>
    </w:rPr>
  </w:style>
  <w:style w:type="character" w:default="1" w:styleId="a0">
    <w:name w:val="Default Paragraph Font"/>
    <w:uiPriority w:val="1"/>
    <w:semiHidden/>
    <w:unhideWhenUsed/>
    <w:rsid w:val="006B7A9D"/>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6B7A9D"/>
  </w:style>
  <w:style w:type="paragraph" w:styleId="a3">
    <w:name w:val="footnote text"/>
    <w:basedOn w:val="a"/>
    <w:link w:val="a4"/>
    <w:rsid w:val="006B7A9D"/>
    <w:pPr>
      <w:ind w:left="170" w:hanging="170"/>
      <w:jc w:val="both"/>
    </w:pPr>
    <w:rPr>
      <w:sz w:val="20"/>
      <w:szCs w:val="20"/>
    </w:rPr>
  </w:style>
  <w:style w:type="character" w:styleId="a5">
    <w:name w:val="footnote reference"/>
    <w:semiHidden/>
    <w:rsid w:val="006B7A9D"/>
    <w:rPr>
      <w:vertAlign w:val="superscript"/>
    </w:rPr>
  </w:style>
  <w:style w:type="paragraph" w:styleId="a6">
    <w:name w:val="header"/>
    <w:basedOn w:val="a"/>
    <w:link w:val="a7"/>
    <w:rsid w:val="006B7A9D"/>
    <w:pPr>
      <w:tabs>
        <w:tab w:val="center" w:pos="4153"/>
        <w:tab w:val="right" w:pos="8306"/>
      </w:tabs>
    </w:pPr>
  </w:style>
  <w:style w:type="paragraph" w:styleId="a8">
    <w:name w:val="footer"/>
    <w:basedOn w:val="a"/>
    <w:link w:val="a9"/>
    <w:rsid w:val="006B7A9D"/>
    <w:pPr>
      <w:tabs>
        <w:tab w:val="center" w:pos="4153"/>
        <w:tab w:val="right" w:pos="8306"/>
      </w:tabs>
    </w:pPr>
  </w:style>
  <w:style w:type="paragraph" w:customStyle="1" w:styleId="aa">
    <w:name w:val="כותרת"/>
    <w:basedOn w:val="a"/>
    <w:rsid w:val="006B7A9D"/>
    <w:pPr>
      <w:spacing w:before="240" w:line="320" w:lineRule="atLeast"/>
      <w:jc w:val="center"/>
    </w:pPr>
    <w:rPr>
      <w:rFonts w:cs="David"/>
      <w:b/>
      <w:bCs/>
      <w:spacing w:val="20"/>
      <w:szCs w:val="32"/>
    </w:rPr>
  </w:style>
  <w:style w:type="paragraph" w:customStyle="1" w:styleId="ab">
    <w:name w:val="כותרת קטע"/>
    <w:basedOn w:val="a"/>
    <w:rsid w:val="006B7A9D"/>
    <w:pPr>
      <w:spacing w:before="240" w:line="300" w:lineRule="atLeast"/>
    </w:pPr>
    <w:rPr>
      <w:rFonts w:cs="Arial"/>
      <w:b/>
      <w:bCs/>
      <w:szCs w:val="24"/>
    </w:rPr>
  </w:style>
  <w:style w:type="paragraph" w:customStyle="1" w:styleId="ac">
    <w:name w:val="מקור"/>
    <w:basedOn w:val="a"/>
    <w:rsid w:val="006B7A9D"/>
    <w:pPr>
      <w:spacing w:line="320" w:lineRule="atLeast"/>
      <w:jc w:val="both"/>
    </w:pPr>
    <w:rPr>
      <w:rFonts w:cs="David"/>
      <w:szCs w:val="24"/>
    </w:rPr>
  </w:style>
  <w:style w:type="paragraph" w:customStyle="1" w:styleId="ad">
    <w:name w:val="מחלקי המים"/>
    <w:basedOn w:val="a"/>
    <w:rsid w:val="006B7A9D"/>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Hyperlink">
    <w:name w:val="Hyperlink"/>
    <w:rsid w:val="006B7A9D"/>
    <w:rPr>
      <w:color w:val="0000FF"/>
      <w:u w:val="single"/>
    </w:rPr>
  </w:style>
  <w:style w:type="character" w:styleId="af">
    <w:name w:val="page number"/>
    <w:basedOn w:val="a0"/>
    <w:rsid w:val="00A72D7C"/>
  </w:style>
  <w:style w:type="character" w:styleId="FollowedHyperlink">
    <w:name w:val="FollowedHyperlink"/>
    <w:rsid w:val="007D72D2"/>
    <w:rPr>
      <w:color w:val="800080"/>
      <w:u w:val="single"/>
    </w:rPr>
  </w:style>
  <w:style w:type="character" w:customStyle="1" w:styleId="a4">
    <w:name w:val="טקסט הערת שוליים תו"/>
    <w:link w:val="a3"/>
    <w:rsid w:val="006B7A9D"/>
    <w:rPr>
      <w:rFonts w:cs="Narkisim"/>
      <w:lang w:eastAsia="he-IL"/>
    </w:rPr>
  </w:style>
  <w:style w:type="character" w:customStyle="1" w:styleId="10">
    <w:name w:val="כותרת 1 תו"/>
    <w:link w:val="1"/>
    <w:rsid w:val="006B7A9D"/>
    <w:rPr>
      <w:rFonts w:cs="David"/>
      <w:b/>
      <w:bCs/>
      <w:sz w:val="22"/>
      <w:szCs w:val="28"/>
      <w:lang w:eastAsia="he-IL"/>
    </w:rPr>
  </w:style>
  <w:style w:type="character" w:customStyle="1" w:styleId="a7">
    <w:name w:val="כותרת עליונה תו"/>
    <w:link w:val="a6"/>
    <w:rsid w:val="006B7A9D"/>
    <w:rPr>
      <w:rFonts w:cs="Narkisim"/>
      <w:sz w:val="22"/>
      <w:szCs w:val="22"/>
      <w:lang w:eastAsia="he-IL"/>
    </w:rPr>
  </w:style>
  <w:style w:type="character" w:customStyle="1" w:styleId="a9">
    <w:name w:val="כותרת תחתונה תו"/>
    <w:link w:val="a8"/>
    <w:rsid w:val="006B7A9D"/>
    <w:rPr>
      <w:rFonts w:cs="Narkisim"/>
      <w:sz w:val="22"/>
      <w:szCs w:val="22"/>
      <w:lang w:eastAsia="he-IL"/>
    </w:rPr>
  </w:style>
  <w:style w:type="paragraph" w:styleId="af0">
    <w:name w:val="Balloon Text"/>
    <w:basedOn w:val="a"/>
    <w:link w:val="af1"/>
    <w:uiPriority w:val="99"/>
    <w:unhideWhenUsed/>
    <w:rsid w:val="006B7A9D"/>
    <w:rPr>
      <w:rFonts w:ascii="Tahoma" w:hAnsi="Tahoma" w:cs="Tahoma"/>
      <w:sz w:val="16"/>
      <w:szCs w:val="16"/>
    </w:rPr>
  </w:style>
  <w:style w:type="character" w:customStyle="1" w:styleId="af1">
    <w:name w:val="טקסט בלונים תו"/>
    <w:link w:val="af0"/>
    <w:uiPriority w:val="99"/>
    <w:rsid w:val="006B7A9D"/>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holiday=%D7%96%D7%9B%D7%A8%D7%95-%D7%AA%D7%95%D7%A8%D7%AA-%D7%9E%D7%A9%D7%941" TargetMode="External"/><Relationship Id="rId3" Type="http://schemas.openxmlformats.org/officeDocument/2006/relationships/hyperlink" Target="http://www.mayim.org.il/?parasha=%D7%9B%D7%9C-%D7%99%D7%A9%D7%A8%D7%90%D7%9C-%D7%A2%D7%A8%D7%91%D7%99%D7%9D-%D7%96%D7%94-%D7%91%D7%96%D7%941" TargetMode="External"/><Relationship Id="rId7" Type="http://schemas.openxmlformats.org/officeDocument/2006/relationships/hyperlink" Target="http://www.mayim.org.il/?parasha=%D7%A1%D7%A4%D7%A8-%D7%93%D7%91%D7%A8%D7%99%D7%9D-%D7%9E%D7%A9%D7%A0%D7%94-%D7%AA%D7%95%D7%A8%D7%941" TargetMode="External"/><Relationship Id="rId2" Type="http://schemas.openxmlformats.org/officeDocument/2006/relationships/hyperlink" Target="http://www.mayim.org.il/?parasha=%d7%95%d7%9b%d7%99-%d7%aa%d7%a9%d7%92%d7%95" TargetMode="External"/><Relationship Id="rId1" Type="http://schemas.openxmlformats.org/officeDocument/2006/relationships/hyperlink" Target="http://www.mayim.org.il/?parasha=%D7%A9%D7%91%D7%A2-%D7%9E%D7%99%D7%93%D7%95%D7%AA-%D7%9B%D7%A0%D7%92%D7%93-%D7%99%D7%92-%D7%9E%D7%99%D7%93%D7%95%D7%AA1" TargetMode="External"/><Relationship Id="rId6" Type="http://schemas.openxmlformats.org/officeDocument/2006/relationships/hyperlink" Target="http://www.mayim.org.il/?parasha=%d7%a4%d7%aa%d7%97-%d7%91%d7%90%d7%a0%d7%9b%d7%991" TargetMode="External"/><Relationship Id="rId5" Type="http://schemas.openxmlformats.org/officeDocument/2006/relationships/hyperlink" Target="http://www.mayim.org.il/?parasha=%d7%9c%d7%90-%d7%99%d7%94%d7%99%d7%95-%d7%a9%d7%aa%d7%99-%d7%94%d7%a4%d7%a0%d7%99%d7%9d-%d7%91%d7%9b%d7%a2%d7%a1" TargetMode="External"/><Relationship Id="rId10" Type="http://schemas.openxmlformats.org/officeDocument/2006/relationships/hyperlink" Target="http://www.mayim.org.il/?parasha=%D7%9C%D7%95%D7%97%D7%95%D7%AA-%D7%A9%D7%A0%D7%99%D7%99%D7%9D-%D7%9B%D7%A8%D7%90%D7%A9%D7%95%D7%A0%D7%99%D7%9D" TargetMode="External"/><Relationship Id="rId4" Type="http://schemas.openxmlformats.org/officeDocument/2006/relationships/hyperlink" Target="http://www.mayim.org.il/?parasha=%d7%95%d7%94%d7%9c%d7%95%d7%90-%d7%90%d7%99%d7%9f-%d7%91%d7%95-%d7%91%d7%94-%d7%9e%d7%9e%d7%a91" TargetMode="External"/><Relationship Id="rId9" Type="http://schemas.openxmlformats.org/officeDocument/2006/relationships/hyperlink" Target="http://www.mayim.org.il/?parasha=%D7%95%D7%A7%D7%A8%D7%90%D7%AA-%D7%9C%D7%A9%D7%9C%D7%95%D7%9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A90D16-3FE8-4525-A54F-9D89F8302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5</Pages>
  <Words>1031</Words>
  <Characters>5156</Characters>
  <Application>Microsoft Office Word</Application>
  <DocSecurity>4</DocSecurity>
  <Lines>42</Lines>
  <Paragraphs>12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פוקד עוון אבות על בנים</vt:lpstr>
      <vt:lpstr>הפטרת השבת - אליהו בהר הכרמל</vt:lpstr>
    </vt:vector>
  </TitlesOfParts>
  <Company>Microsoft</Company>
  <LinksUpToDate>false</LinksUpToDate>
  <CharactersWithSpaces>6175</CharactersWithSpaces>
  <SharedDoc>false</SharedDoc>
  <HLinks>
    <vt:vector size="60" baseType="variant">
      <vt:variant>
        <vt:i4>2490417</vt:i4>
      </vt:variant>
      <vt:variant>
        <vt:i4>27</vt:i4>
      </vt:variant>
      <vt:variant>
        <vt:i4>0</vt:i4>
      </vt:variant>
      <vt:variant>
        <vt:i4>5</vt:i4>
      </vt:variant>
      <vt:variant>
        <vt:lpwstr>http://www.mayim.org.il/?parasha=%D7%9C%D7%95%D7%97%D7%95%D7%AA-%D7%A9%D7%A0%D7%99%D7%99%D7%9D-%D7%9B%D7%A8%D7%90%D7%A9%D7%95%D7%A0%D7%99%D7%9D</vt:lpwstr>
      </vt:variant>
      <vt:variant>
        <vt:lpwstr/>
      </vt:variant>
      <vt:variant>
        <vt:i4>8061045</vt:i4>
      </vt:variant>
      <vt:variant>
        <vt:i4>24</vt:i4>
      </vt:variant>
      <vt:variant>
        <vt:i4>0</vt:i4>
      </vt:variant>
      <vt:variant>
        <vt:i4>5</vt:i4>
      </vt:variant>
      <vt:variant>
        <vt:lpwstr>http://www.mayim.org.il/?parasha=%D7%95%D7%A7%D7%A8%D7%90%D7%AA-%D7%9C%D7%A9%D7%9C%D7%95%D7%9D</vt:lpwstr>
      </vt:variant>
      <vt:variant>
        <vt:lpwstr/>
      </vt:variant>
      <vt:variant>
        <vt:i4>4128806</vt:i4>
      </vt:variant>
      <vt:variant>
        <vt:i4>21</vt:i4>
      </vt:variant>
      <vt:variant>
        <vt:i4>0</vt:i4>
      </vt:variant>
      <vt:variant>
        <vt:i4>5</vt:i4>
      </vt:variant>
      <vt:variant>
        <vt:lpwstr>http://www.mayim.org.il/?holiday=%D7%96%D7%9B%D7%A8%D7%95-%D7%AA%D7%95%D7%A8%D7%AA-%D7%9E%D7%A9%D7%941</vt:lpwstr>
      </vt:variant>
      <vt:variant>
        <vt:lpwstr/>
      </vt:variant>
      <vt:variant>
        <vt:i4>65622</vt:i4>
      </vt:variant>
      <vt:variant>
        <vt:i4>18</vt:i4>
      </vt:variant>
      <vt:variant>
        <vt:i4>0</vt:i4>
      </vt:variant>
      <vt:variant>
        <vt:i4>5</vt:i4>
      </vt:variant>
      <vt:variant>
        <vt:lpwstr>http://www.mayim.org.il/?parasha=%D7%A1%D7%A4%D7%A8-%D7%93%D7%91%D7%A8%D7%99%D7%9D-%D7%9E%D7%A9%D7%A0%D7%94-%D7%AA%D7%95%D7%A8%D7%941</vt:lpwstr>
      </vt:variant>
      <vt:variant>
        <vt:lpwstr/>
      </vt:variant>
      <vt:variant>
        <vt:i4>2162812</vt:i4>
      </vt:variant>
      <vt:variant>
        <vt:i4>15</vt:i4>
      </vt:variant>
      <vt:variant>
        <vt:i4>0</vt:i4>
      </vt:variant>
      <vt:variant>
        <vt:i4>5</vt:i4>
      </vt:variant>
      <vt:variant>
        <vt:lpwstr>http://www.mayim.org.il/?parasha=%d7%a4%d7%aa%d7%97-%d7%91%d7%90%d7%a0%d7%9b%d7%991</vt:lpwstr>
      </vt:variant>
      <vt:variant>
        <vt:lpwstr/>
      </vt:variant>
      <vt:variant>
        <vt:i4>655381</vt:i4>
      </vt:variant>
      <vt:variant>
        <vt:i4>12</vt:i4>
      </vt:variant>
      <vt:variant>
        <vt:i4>0</vt:i4>
      </vt:variant>
      <vt:variant>
        <vt:i4>5</vt:i4>
      </vt:variant>
      <vt:variant>
        <vt:lpwstr>http://www.mayim.org.il/?parasha=%d7%9c%d7%90-%d7%99%d7%94%d7%99%d7%95-%d7%a9%d7%aa%d7%99-%d7%94%d7%a4%d7%a0%d7%99%d7%9d-%d7%91%d7%9b%d7%a2%d7%a1</vt:lpwstr>
      </vt:variant>
      <vt:variant>
        <vt:lpwstr/>
      </vt:variant>
      <vt:variant>
        <vt:i4>5111901</vt:i4>
      </vt:variant>
      <vt:variant>
        <vt:i4>9</vt:i4>
      </vt:variant>
      <vt:variant>
        <vt:i4>0</vt:i4>
      </vt:variant>
      <vt:variant>
        <vt:i4>5</vt:i4>
      </vt:variant>
      <vt:variant>
        <vt:lpwstr>http://www.mayim.org.il/?parasha=%d7%95%d7%94%d7%9c%d7%95%d7%90-%d7%90%d7%99%d7%9f-%d7%91%d7%95-%d7%91%d7%94-%d7%9e%d7%9e%d7%a91</vt:lpwstr>
      </vt:variant>
      <vt:variant>
        <vt:lpwstr/>
      </vt:variant>
      <vt:variant>
        <vt:i4>1376339</vt:i4>
      </vt:variant>
      <vt:variant>
        <vt:i4>6</vt:i4>
      </vt:variant>
      <vt:variant>
        <vt:i4>0</vt:i4>
      </vt:variant>
      <vt:variant>
        <vt:i4>5</vt:i4>
      </vt:variant>
      <vt:variant>
        <vt:lpwstr>http://www.mayim.org.il/?parasha=%D7%9B%D7%9C-%D7%99%D7%A9%D7%A8%D7%90%D7%9C-%D7%A2%D7%A8%D7%91%D7%99%D7%9D-%D7%96%D7%94-%D7%91%D7%96%D7%941</vt:lpwstr>
      </vt:variant>
      <vt:variant>
        <vt:lpwstr/>
      </vt:variant>
      <vt:variant>
        <vt:i4>5570563</vt:i4>
      </vt:variant>
      <vt:variant>
        <vt:i4>3</vt:i4>
      </vt:variant>
      <vt:variant>
        <vt:i4>0</vt:i4>
      </vt:variant>
      <vt:variant>
        <vt:i4>5</vt:i4>
      </vt:variant>
      <vt:variant>
        <vt:lpwstr>http://www.mayim.org.il/?parasha=%d7%95%d7%9b%d7%99-%d7%aa%d7%a9%d7%92%d7%95</vt:lpwstr>
      </vt:variant>
      <vt:variant>
        <vt:lpwstr/>
      </vt:variant>
      <vt:variant>
        <vt:i4>4980749</vt:i4>
      </vt:variant>
      <vt:variant>
        <vt:i4>0</vt:i4>
      </vt:variant>
      <vt:variant>
        <vt:i4>0</vt:i4>
      </vt:variant>
      <vt:variant>
        <vt:i4>5</vt:i4>
      </vt:variant>
      <vt:variant>
        <vt:lpwstr>http://www.mayim.org.il/?parasha=%D7%A9%D7%91%D7%A2-%D7%9E%D7%99%D7%93%D7%95%D7%AA-%D7%9B%D7%A0%D7%92%D7%93-%D7%99%D7%92-%D7%9E%D7%99%D7%93%D7%95%D7%AA1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פוקד עוון אבות על בנים</dc:title>
  <dc:subject>כי תשא</dc:subject>
  <dc:creator>אשר יובל</dc:creator>
  <cp:keywords/>
  <cp:lastModifiedBy>שמעון אפק</cp:lastModifiedBy>
  <cp:revision>2</cp:revision>
  <cp:lastPrinted>2012-03-07T22:17:00Z</cp:lastPrinted>
  <dcterms:created xsi:type="dcterms:W3CDTF">2017-01-05T06:44:00Z</dcterms:created>
  <dcterms:modified xsi:type="dcterms:W3CDTF">2017-01-05T06:44:00Z</dcterms:modified>
</cp:coreProperties>
</file>