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E10120">
        <w:rPr>
          <w:rtl/>
        </w:rPr>
        <w:t>אהובה ושנואה</w:t>
      </w:r>
      <w:r w:rsidRPr="00B92A7A">
        <w:rPr>
          <w:rtl/>
        </w:rPr>
        <w:fldChar w:fldCharType="end"/>
      </w:r>
    </w:p>
    <w:p w:rsidR="00D04FC9" w:rsidRPr="00AA63E1" w:rsidRDefault="00D04FC9" w:rsidP="003640FA">
      <w:pPr>
        <w:spacing w:before="240" w:line="320" w:lineRule="atLeast"/>
        <w:jc w:val="both"/>
        <w:rPr>
          <w:rFonts w:cs="David" w:hint="cs"/>
          <w:szCs w:val="24"/>
          <w:rtl/>
        </w:rPr>
      </w:pPr>
      <w:r w:rsidRPr="00D04FC9">
        <w:rPr>
          <w:rFonts w:cs="David"/>
          <w:b/>
          <w:bCs/>
          <w:szCs w:val="24"/>
          <w:rtl/>
        </w:rPr>
        <w:t>כִּי תִהְיֶיןָ לְאִישׁ שְׁתֵּי נָשִׁים הָאַחַת אֲהוּבָה וְהָאַחַת שְׂנוּאָה וְיָלְדוּ לוֹ בָנִים הָאֲהוּבָה וְהַשְּׂנוּאָה וְהָיָה הַבֵּן הַבְּכוֹר לַשְּׂנִיאָה:וְהָיָה בְּיוֹם הַנְחִילוֹ אֶת בָּנָיו אֵת אֲשֶׁר יִהְיֶה לוֹ לֹא יוּכַל לְבַכֵּר אֶת בֶּן הָאֲהוּבָה עַל פְּנֵי בֶן הַשְּׂנוּאָה הַבְּכֹר:</w:t>
      </w:r>
      <w:r w:rsidRPr="00D04FC9">
        <w:rPr>
          <w:rFonts w:cs="David" w:hint="cs"/>
          <w:b/>
          <w:bCs/>
          <w:szCs w:val="24"/>
          <w:rtl/>
        </w:rPr>
        <w:t xml:space="preserve"> </w:t>
      </w:r>
      <w:r w:rsidRPr="00D04FC9">
        <w:rPr>
          <w:rFonts w:cs="David"/>
          <w:b/>
          <w:bCs/>
          <w:szCs w:val="24"/>
          <w:rtl/>
        </w:rPr>
        <w:t>כִּי אֶת הַבְּכֹר בֶּן הַשְּׂנוּאָה יַכִּיר לָתֶת לוֹ פִּי שְׁנַיִם בְּכֹל אֲשֶׁר יִמָּצֵא לוֹ כִּי הוּא רֵאשִׁית אֹנוֹ לוֹ מִשְׁפַּט הַבְּכֹרָה</w:t>
      </w:r>
      <w:r w:rsidR="003640FA">
        <w:rPr>
          <w:rFonts w:cs="David" w:hint="cs"/>
          <w:b/>
          <w:bCs/>
          <w:szCs w:val="24"/>
          <w:rtl/>
        </w:rPr>
        <w:t>:</w:t>
      </w:r>
      <w:r w:rsidRPr="00D04FC9">
        <w:rPr>
          <w:rFonts w:cs="David"/>
          <w:rtl/>
        </w:rPr>
        <w:t xml:space="preserve"> </w:t>
      </w:r>
      <w:r w:rsidRPr="00AA63E1">
        <w:rPr>
          <w:rtl/>
        </w:rPr>
        <w:t xml:space="preserve">(דברים </w:t>
      </w:r>
      <w:r w:rsidRPr="00AA63E1">
        <w:rPr>
          <w:rFonts w:hint="cs"/>
          <w:rtl/>
        </w:rPr>
        <w:t>כ</w:t>
      </w:r>
      <w:r>
        <w:rPr>
          <w:rFonts w:hint="cs"/>
          <w:rtl/>
        </w:rPr>
        <w:t>א טו-יז</w:t>
      </w:r>
      <w:r w:rsidRPr="00AA63E1">
        <w:rPr>
          <w:rtl/>
        </w:rPr>
        <w:t>)</w:t>
      </w:r>
      <w:r w:rsidRPr="00AA63E1">
        <w:rPr>
          <w:rFonts w:cs="David" w:hint="cs"/>
          <w:szCs w:val="24"/>
          <w:rtl/>
        </w:rPr>
        <w:t>.</w:t>
      </w:r>
    </w:p>
    <w:p w:rsidR="00B0145F" w:rsidRDefault="00B0145F" w:rsidP="00B0145F">
      <w:pPr>
        <w:pStyle w:val="ab"/>
      </w:pPr>
      <w:r>
        <w:rPr>
          <w:rtl/>
        </w:rPr>
        <w:t xml:space="preserve">מדרש תנחומא (בובר) פרשת כי תצא סימן א </w:t>
      </w:r>
    </w:p>
    <w:p w:rsidR="00B0145F" w:rsidRDefault="00E05EB8" w:rsidP="009A496C">
      <w:pPr>
        <w:pStyle w:val="ac"/>
        <w:rPr>
          <w:rFonts w:hint="cs"/>
          <w:rtl/>
        </w:rPr>
      </w:pPr>
      <w:r>
        <w:rPr>
          <w:rFonts w:hint="cs"/>
          <w:rtl/>
        </w:rPr>
        <w:t>"</w:t>
      </w:r>
      <w:r w:rsidR="00B0145F">
        <w:rPr>
          <w:rtl/>
        </w:rPr>
        <w:t>כי תצא למלחמה וגו' ושבית שביו</w:t>
      </w:r>
      <w:r>
        <w:rPr>
          <w:rFonts w:hint="cs"/>
          <w:rtl/>
        </w:rPr>
        <w:t>"</w:t>
      </w:r>
      <w:r w:rsidR="00B0145F">
        <w:rPr>
          <w:rtl/>
        </w:rPr>
        <w:t xml:space="preserve"> (דברים כא י). שנו רבותינו</w:t>
      </w:r>
      <w:r w:rsidR="009A496C">
        <w:rPr>
          <w:rFonts w:hint="cs"/>
          <w:rtl/>
        </w:rPr>
        <w:t>:</w:t>
      </w:r>
      <w:r w:rsidR="00B0145F">
        <w:rPr>
          <w:rtl/>
        </w:rPr>
        <w:t xml:space="preserve"> מצוה גוררת מצוה ועבירה גוררת עבירה</w:t>
      </w:r>
      <w:r w:rsidR="009A496C">
        <w:rPr>
          <w:rFonts w:hint="cs"/>
          <w:rtl/>
        </w:rPr>
        <w:t>.</w:t>
      </w:r>
      <w:r w:rsidR="009A496C">
        <w:rPr>
          <w:rStyle w:val="a5"/>
          <w:rtl/>
        </w:rPr>
        <w:footnoteReference w:id="1"/>
      </w:r>
      <w:r w:rsidR="00B0145F">
        <w:rPr>
          <w:rtl/>
        </w:rPr>
        <w:t xml:space="preserve"> </w:t>
      </w:r>
      <w:r w:rsidR="009A496C">
        <w:rPr>
          <w:rFonts w:hint="cs"/>
          <w:rtl/>
        </w:rPr>
        <w:t>"</w:t>
      </w:r>
      <w:r w:rsidR="00B0145F">
        <w:rPr>
          <w:rtl/>
        </w:rPr>
        <w:t>וראית בשביה אשת יפת תאר [וגו'] וגלחה את ראשה</w:t>
      </w:r>
      <w:r w:rsidR="009A496C">
        <w:rPr>
          <w:rFonts w:hint="cs"/>
          <w:rtl/>
        </w:rPr>
        <w:t>"</w:t>
      </w:r>
      <w:r w:rsidR="00B0145F">
        <w:rPr>
          <w:rtl/>
        </w:rPr>
        <w:t xml:space="preserve"> (דברים כא יא יב), כדי שלא תמצא חן בעיניו</w:t>
      </w:r>
      <w:r w:rsidR="009A496C">
        <w:rPr>
          <w:rFonts w:hint="cs"/>
          <w:rtl/>
        </w:rPr>
        <w:t>.</w:t>
      </w:r>
      <w:r w:rsidR="00B0145F">
        <w:rPr>
          <w:rtl/>
        </w:rPr>
        <w:t xml:space="preserve"> מה כתיב אחריו</w:t>
      </w:r>
      <w:r w:rsidR="009A496C">
        <w:rPr>
          <w:rFonts w:hint="cs"/>
          <w:rtl/>
        </w:rPr>
        <w:t>? "</w:t>
      </w:r>
      <w:r w:rsidR="00B0145F">
        <w:rPr>
          <w:rtl/>
        </w:rPr>
        <w:t>כי תהיין לאיש שתי נשים</w:t>
      </w:r>
      <w:r w:rsidR="009A496C">
        <w:rPr>
          <w:rFonts w:hint="cs"/>
          <w:rtl/>
        </w:rPr>
        <w:t>"</w:t>
      </w:r>
      <w:r w:rsidR="00B0145F">
        <w:rPr>
          <w:rtl/>
        </w:rPr>
        <w:t xml:space="preserve"> (שם שם טו)</w:t>
      </w:r>
      <w:r w:rsidR="009A496C">
        <w:rPr>
          <w:rFonts w:hint="cs"/>
          <w:rtl/>
        </w:rPr>
        <w:t>.</w:t>
      </w:r>
      <w:r w:rsidR="00B0145F">
        <w:rPr>
          <w:rtl/>
        </w:rPr>
        <w:t xml:space="preserve"> שתי נשים בבית</w:t>
      </w:r>
      <w:r w:rsidR="009A496C">
        <w:rPr>
          <w:rFonts w:hint="cs"/>
          <w:rtl/>
        </w:rPr>
        <w:t xml:space="preserve"> - </w:t>
      </w:r>
      <w:r w:rsidR="00B0145F">
        <w:rPr>
          <w:rtl/>
        </w:rPr>
        <w:t>מריבה בבית</w:t>
      </w:r>
      <w:r w:rsidR="009A496C">
        <w:rPr>
          <w:rFonts w:hint="cs"/>
          <w:rtl/>
        </w:rPr>
        <w:t>.</w:t>
      </w:r>
      <w:r w:rsidR="00B0145F">
        <w:rPr>
          <w:rtl/>
        </w:rPr>
        <w:t xml:space="preserve"> ועוד האחת אהובה, והאחת שנואה, או שתיהן שנואות</w:t>
      </w:r>
      <w:r w:rsidR="009A496C">
        <w:rPr>
          <w:rFonts w:hint="cs"/>
          <w:rtl/>
        </w:rPr>
        <w:t>.</w:t>
      </w:r>
      <w:r w:rsidR="009A496C">
        <w:rPr>
          <w:rStyle w:val="a5"/>
          <w:rtl/>
        </w:rPr>
        <w:footnoteReference w:id="2"/>
      </w:r>
      <w:r w:rsidR="00B0145F">
        <w:rPr>
          <w:rtl/>
        </w:rPr>
        <w:t xml:space="preserve"> מה כתיב אחריו</w:t>
      </w:r>
      <w:r w:rsidR="009A496C">
        <w:rPr>
          <w:rFonts w:hint="cs"/>
          <w:rtl/>
        </w:rPr>
        <w:t>?</w:t>
      </w:r>
      <w:r w:rsidR="00B0145F">
        <w:rPr>
          <w:rtl/>
        </w:rPr>
        <w:t xml:space="preserve"> </w:t>
      </w:r>
      <w:r w:rsidR="009A496C">
        <w:rPr>
          <w:rFonts w:hint="cs"/>
          <w:rtl/>
        </w:rPr>
        <w:t>"</w:t>
      </w:r>
      <w:r w:rsidR="00B0145F">
        <w:rPr>
          <w:rtl/>
        </w:rPr>
        <w:t>כי יהיה לאיש בן סורר ומורה</w:t>
      </w:r>
      <w:r w:rsidR="009A496C">
        <w:rPr>
          <w:rFonts w:hint="cs"/>
          <w:rtl/>
        </w:rPr>
        <w:t>"</w:t>
      </w:r>
      <w:r w:rsidR="00B0145F">
        <w:rPr>
          <w:rtl/>
        </w:rPr>
        <w:t xml:space="preserve"> (שם שם יח)</w:t>
      </w:r>
      <w:r w:rsidR="009A496C">
        <w:rPr>
          <w:rFonts w:hint="cs"/>
          <w:rtl/>
        </w:rPr>
        <w:t xml:space="preserve"> -</w:t>
      </w:r>
      <w:r w:rsidR="00B0145F">
        <w:rPr>
          <w:rtl/>
        </w:rPr>
        <w:t xml:space="preserve"> כל מאן דנסיב יפת תואר</w:t>
      </w:r>
      <w:r w:rsidR="009A496C">
        <w:rPr>
          <w:rFonts w:hint="cs"/>
          <w:rtl/>
        </w:rPr>
        <w:t>,</w:t>
      </w:r>
      <w:r w:rsidR="00B0145F">
        <w:rPr>
          <w:rtl/>
        </w:rPr>
        <w:t xml:space="preserve"> נפיק מינייהו בן סורר ומורה</w:t>
      </w:r>
      <w:r w:rsidR="009A496C">
        <w:rPr>
          <w:rFonts w:hint="cs"/>
          <w:rtl/>
        </w:rPr>
        <w:t>.</w:t>
      </w:r>
      <w:r w:rsidR="00B0145F">
        <w:rPr>
          <w:rtl/>
        </w:rPr>
        <w:t xml:space="preserve"> שכן מצינו בדוד, על שחמד מעכה בת תלמי מלך גשור בצאתו למלחמה, יצא ממנו אבשלום, שביקש להרוג אותו, ושכב עם נשיו לעיני כל ישראל ולעיני השמש, ועל ידו נהרגו כמה רבבות מישראל, ועשה מחלוקת בישראל, ונהרג שמעי [בן גרא] ושבע בן בכרי, ואחיתופל, ומפיבושת, ואיש בשת, והשליט ציבא על כל בית שאול</w:t>
      </w:r>
      <w:r w:rsidR="00B0145F">
        <w:rPr>
          <w:rFonts w:hint="cs"/>
          <w:rtl/>
        </w:rPr>
        <w:t>.</w:t>
      </w:r>
      <w:r w:rsidR="00B41936">
        <w:rPr>
          <w:rStyle w:val="a5"/>
          <w:rtl/>
        </w:rPr>
        <w:footnoteReference w:id="3"/>
      </w:r>
    </w:p>
    <w:p w:rsidR="00EF61E0" w:rsidRDefault="00EF61E0" w:rsidP="00103A3B">
      <w:pPr>
        <w:pStyle w:val="ab"/>
        <w:rPr>
          <w:rtl/>
        </w:rPr>
      </w:pPr>
      <w:r>
        <w:rPr>
          <w:rtl/>
        </w:rPr>
        <w:t xml:space="preserve">מסכת יבמות דף כג עמוד א </w:t>
      </w:r>
    </w:p>
    <w:p w:rsidR="00B57019" w:rsidRDefault="00EF61E0" w:rsidP="007504EB">
      <w:pPr>
        <w:pStyle w:val="ac"/>
        <w:rPr>
          <w:rFonts w:hint="cs"/>
          <w:rtl/>
        </w:rPr>
      </w:pPr>
      <w:r>
        <w:rPr>
          <w:rtl/>
        </w:rPr>
        <w:t>אמר רב פפא: חייבי לאוין תפשי בהו ק</w:t>
      </w:r>
      <w:r w:rsidR="003640FA">
        <w:rPr>
          <w:rFonts w:hint="cs"/>
          <w:rtl/>
        </w:rPr>
        <w:t>י</w:t>
      </w:r>
      <w:r>
        <w:rPr>
          <w:rtl/>
        </w:rPr>
        <w:t xml:space="preserve">דושין, דכתיב: </w:t>
      </w:r>
      <w:r w:rsidR="00103A3B">
        <w:rPr>
          <w:rFonts w:hint="cs"/>
          <w:rtl/>
        </w:rPr>
        <w:t>"</w:t>
      </w:r>
      <w:r>
        <w:rPr>
          <w:rtl/>
        </w:rPr>
        <w:t>כי תהיין לאיש שתי נשים האחת אהובה והאחת שנואה</w:t>
      </w:r>
      <w:r w:rsidR="00103A3B">
        <w:rPr>
          <w:rFonts w:hint="cs"/>
          <w:rtl/>
        </w:rPr>
        <w:t>" (</w:t>
      </w:r>
      <w:r w:rsidR="00103A3B">
        <w:rPr>
          <w:rtl/>
        </w:rPr>
        <w:t>דברים כא</w:t>
      </w:r>
      <w:r w:rsidR="00103A3B">
        <w:rPr>
          <w:rFonts w:hint="cs"/>
          <w:rtl/>
        </w:rPr>
        <w:t xml:space="preserve"> טו) - </w:t>
      </w:r>
      <w:r>
        <w:rPr>
          <w:rtl/>
        </w:rPr>
        <w:t xml:space="preserve">וכי יש אהובה לפני המקום, ויש שנואה לפני המקום? אלא, אהובה - אהובה בנישואיה, שנואה - שנואה בנישואיה, ואמר רחמנא: </w:t>
      </w:r>
      <w:r w:rsidR="007504EB">
        <w:rPr>
          <w:rFonts w:hint="cs"/>
          <w:rtl/>
        </w:rPr>
        <w:t>"</w:t>
      </w:r>
      <w:r w:rsidR="007504EB" w:rsidRPr="007504EB">
        <w:rPr>
          <w:rtl/>
        </w:rPr>
        <w:t>כִּי תִהְיֶין</w:t>
      </w:r>
      <w:r w:rsidR="003E153A">
        <w:rPr>
          <w:rFonts w:hint="eastAsia"/>
          <w:rtl/>
        </w:rPr>
        <w:t>ָ</w:t>
      </w:r>
      <w:r w:rsidR="007504EB">
        <w:rPr>
          <w:rFonts w:hint="cs"/>
          <w:rtl/>
        </w:rPr>
        <w:t>"</w:t>
      </w:r>
      <w:r w:rsidR="00DA08C6">
        <w:rPr>
          <w:rStyle w:val="a5"/>
          <w:rtl/>
        </w:rPr>
        <w:footnoteReference w:id="4"/>
      </w:r>
    </w:p>
    <w:p w:rsidR="00DA08C6" w:rsidRPr="00DA08C6" w:rsidRDefault="00DA08C6" w:rsidP="00DA08C6">
      <w:pPr>
        <w:pStyle w:val="ab"/>
        <w:rPr>
          <w:rtl/>
        </w:rPr>
      </w:pPr>
      <w:r w:rsidRPr="00DA08C6">
        <w:rPr>
          <w:rtl/>
        </w:rPr>
        <w:lastRenderedPageBreak/>
        <w:t xml:space="preserve">תוספות מסכת קידושין דף סח עמוד א </w:t>
      </w:r>
    </w:p>
    <w:p w:rsidR="00DA08C6" w:rsidRDefault="00DA08C6" w:rsidP="006C6668">
      <w:pPr>
        <w:pStyle w:val="ac"/>
        <w:rPr>
          <w:rFonts w:hint="cs"/>
          <w:rtl/>
        </w:rPr>
      </w:pPr>
      <w:r w:rsidRPr="00DA08C6">
        <w:rPr>
          <w:rtl/>
        </w:rPr>
        <w:t>וכי יש אהובה ושנואה לפני המקום - ואין לפרש דצדקת ורשעת קאמר</w:t>
      </w:r>
      <w:r>
        <w:rPr>
          <w:rFonts w:hint="cs"/>
          <w:rtl/>
        </w:rPr>
        <w:t>.</w:t>
      </w:r>
      <w:r w:rsidRPr="00DA08C6">
        <w:rPr>
          <w:rtl/>
        </w:rPr>
        <w:t xml:space="preserve"> דאם כן</w:t>
      </w:r>
      <w:r>
        <w:rPr>
          <w:rFonts w:hint="cs"/>
          <w:rtl/>
        </w:rPr>
        <w:t>,</w:t>
      </w:r>
      <w:r w:rsidRPr="00DA08C6">
        <w:rPr>
          <w:rtl/>
        </w:rPr>
        <w:t xml:space="preserve"> לא היה צריך לומר</w:t>
      </w:r>
      <w:r w:rsidR="006C6668">
        <w:rPr>
          <w:rFonts w:hint="cs"/>
          <w:rtl/>
        </w:rPr>
        <w:t>:</w:t>
      </w:r>
      <w:r w:rsidRPr="00DA08C6">
        <w:rPr>
          <w:rtl/>
        </w:rPr>
        <w:t xml:space="preserve"> לא יוכל לבכר</w:t>
      </w:r>
      <w:r w:rsidR="006C6668">
        <w:rPr>
          <w:rFonts w:hint="cs"/>
          <w:rtl/>
        </w:rPr>
        <w:t>.</w:t>
      </w:r>
      <w:r w:rsidRPr="00DA08C6">
        <w:rPr>
          <w:rtl/>
        </w:rPr>
        <w:t xml:space="preserve"> דאטו משום דאמיה רשעה יפסיד בנה שהוא בכור נחלתו</w:t>
      </w:r>
      <w:r w:rsidR="006C6668">
        <w:rPr>
          <w:rFonts w:hint="cs"/>
          <w:rtl/>
        </w:rPr>
        <w:t>?</w:t>
      </w:r>
      <w:r w:rsidRPr="00DA08C6">
        <w:rPr>
          <w:rtl/>
        </w:rPr>
        <w:t xml:space="preserve"> אבל השתא כיון דרעה בנישואין דחייבי לאוין</w:t>
      </w:r>
      <w:r w:rsidR="007D2FCB">
        <w:rPr>
          <w:rFonts w:hint="cs"/>
          <w:rtl/>
        </w:rPr>
        <w:t>,</w:t>
      </w:r>
      <w:r w:rsidRPr="00DA08C6">
        <w:rPr>
          <w:rtl/>
        </w:rPr>
        <w:t xml:space="preserve"> ס</w:t>
      </w:r>
      <w:r w:rsidR="006C6668">
        <w:rPr>
          <w:rFonts w:hint="cs"/>
          <w:rtl/>
        </w:rPr>
        <w:t xml:space="preserve">לקא דעתך </w:t>
      </w:r>
      <w:r w:rsidRPr="00DA08C6">
        <w:rPr>
          <w:rtl/>
        </w:rPr>
        <w:t>דלאו בנו גמור הוא.</w:t>
      </w:r>
      <w:r w:rsidR="006C6668">
        <w:rPr>
          <w:rStyle w:val="a5"/>
          <w:rtl/>
        </w:rPr>
        <w:footnoteReference w:id="5"/>
      </w:r>
    </w:p>
    <w:p w:rsidR="00351CA3" w:rsidRDefault="00351CA3" w:rsidP="007D2184">
      <w:pPr>
        <w:pStyle w:val="ab"/>
        <w:rPr>
          <w:rtl/>
        </w:rPr>
      </w:pPr>
      <w:r>
        <w:rPr>
          <w:rtl/>
        </w:rPr>
        <w:t xml:space="preserve">ספרי דברים פרשת כי תצא פיסקא רטו </w:t>
      </w:r>
    </w:p>
    <w:p w:rsidR="00351CA3" w:rsidRDefault="00351CA3" w:rsidP="00D068D8">
      <w:pPr>
        <w:pStyle w:val="ac"/>
        <w:rPr>
          <w:rFonts w:hint="cs"/>
          <w:rtl/>
        </w:rPr>
      </w:pPr>
      <w:r>
        <w:rPr>
          <w:rtl/>
        </w:rPr>
        <w:t>דבר אחר</w:t>
      </w:r>
      <w:r w:rsidR="00D068D8">
        <w:rPr>
          <w:rFonts w:hint="cs"/>
          <w:rtl/>
        </w:rPr>
        <w:t>:</w:t>
      </w:r>
      <w:r>
        <w:rPr>
          <w:rtl/>
        </w:rPr>
        <w:t xml:space="preserve"> כי תהיין לאיש שתי נשים, אין לי אלא שהן שתים</w:t>
      </w:r>
      <w:r w:rsidR="00D068D8">
        <w:rPr>
          <w:rFonts w:hint="cs"/>
          <w:rtl/>
        </w:rPr>
        <w:t>,</w:t>
      </w:r>
      <w:r>
        <w:rPr>
          <w:rtl/>
        </w:rPr>
        <w:t xml:space="preserve"> מנין אפילו הן מרובות</w:t>
      </w:r>
      <w:r w:rsidR="00D068D8">
        <w:rPr>
          <w:rFonts w:hint="cs"/>
          <w:rtl/>
        </w:rPr>
        <w:t>?</w:t>
      </w:r>
      <w:r>
        <w:rPr>
          <w:rtl/>
        </w:rPr>
        <w:t xml:space="preserve"> תלמוד לומר</w:t>
      </w:r>
      <w:r w:rsidR="00D068D8">
        <w:rPr>
          <w:rFonts w:hint="cs"/>
          <w:rtl/>
        </w:rPr>
        <w:t>:</w:t>
      </w:r>
      <w:r>
        <w:rPr>
          <w:rtl/>
        </w:rPr>
        <w:t xml:space="preserve"> </w:t>
      </w:r>
      <w:r w:rsidR="00D068D8">
        <w:rPr>
          <w:rFonts w:hint="cs"/>
          <w:rtl/>
        </w:rPr>
        <w:t>"</w:t>
      </w:r>
      <w:r>
        <w:rPr>
          <w:rtl/>
        </w:rPr>
        <w:t>נשים</w:t>
      </w:r>
      <w:r w:rsidR="00D068D8">
        <w:rPr>
          <w:rFonts w:hint="cs"/>
          <w:rtl/>
        </w:rPr>
        <w:t>".</w:t>
      </w:r>
      <w:r w:rsidR="00D068D8">
        <w:rPr>
          <w:rStyle w:val="a5"/>
          <w:rtl/>
        </w:rPr>
        <w:footnoteReference w:id="6"/>
      </w:r>
      <w:r>
        <w:rPr>
          <w:rtl/>
        </w:rPr>
        <w:t xml:space="preserve"> אין לי אלא בזמן שהן מרובות ומקצתן אהובות ומקצתן שנואות</w:t>
      </w:r>
      <w:r w:rsidR="00D068D8">
        <w:rPr>
          <w:rFonts w:hint="cs"/>
          <w:rtl/>
        </w:rPr>
        <w:t>,</w:t>
      </w:r>
      <w:r>
        <w:rPr>
          <w:rtl/>
        </w:rPr>
        <w:t xml:space="preserve"> מנין אפילו כולן אהובות כולן שנואות</w:t>
      </w:r>
      <w:r w:rsidR="00D068D8">
        <w:rPr>
          <w:rFonts w:hint="cs"/>
          <w:rtl/>
        </w:rPr>
        <w:t>?</w:t>
      </w:r>
      <w:r>
        <w:rPr>
          <w:rtl/>
        </w:rPr>
        <w:t xml:space="preserve"> תלמוד לומר</w:t>
      </w:r>
      <w:r w:rsidR="00D068D8">
        <w:rPr>
          <w:rFonts w:hint="cs"/>
          <w:rtl/>
        </w:rPr>
        <w:t>:</w:t>
      </w:r>
      <w:r>
        <w:rPr>
          <w:rtl/>
        </w:rPr>
        <w:t xml:space="preserve"> אהובה האהובה, שנואה השנואה, ריבה הכתוב</w:t>
      </w:r>
      <w:r w:rsidR="00D068D8">
        <w:rPr>
          <w:rFonts w:hint="cs"/>
          <w:rtl/>
        </w:rPr>
        <w:t>.</w:t>
      </w:r>
      <w:r w:rsidR="00D068D8">
        <w:rPr>
          <w:rStyle w:val="a5"/>
          <w:rtl/>
        </w:rPr>
        <w:footnoteReference w:id="7"/>
      </w:r>
      <w:r w:rsidR="00D068D8">
        <w:rPr>
          <w:rFonts w:hint="cs"/>
          <w:rtl/>
        </w:rPr>
        <w:t xml:space="preserve"> ...</w:t>
      </w:r>
      <w:r>
        <w:rPr>
          <w:rtl/>
        </w:rPr>
        <w:t xml:space="preserve"> אין לי אלא בזמן שהן שתי נשים אחת אהובה ואחת שנואה</w:t>
      </w:r>
      <w:r w:rsidR="00D068D8">
        <w:rPr>
          <w:rFonts w:hint="cs"/>
          <w:rtl/>
        </w:rPr>
        <w:t>,</w:t>
      </w:r>
      <w:r>
        <w:rPr>
          <w:rtl/>
        </w:rPr>
        <w:t xml:space="preserve"> מנין אפילו אחת והיא אהובה</w:t>
      </w:r>
      <w:r w:rsidR="00D068D8">
        <w:rPr>
          <w:rFonts w:hint="cs"/>
          <w:rtl/>
        </w:rPr>
        <w:t>?</w:t>
      </w:r>
      <w:r>
        <w:rPr>
          <w:rtl/>
        </w:rPr>
        <w:t xml:space="preserve"> אפילו אחת והיא שנואה</w:t>
      </w:r>
      <w:r w:rsidR="00D068D8">
        <w:rPr>
          <w:rFonts w:hint="cs"/>
          <w:rtl/>
        </w:rPr>
        <w:t>?</w:t>
      </w:r>
      <w:r>
        <w:rPr>
          <w:rtl/>
        </w:rPr>
        <w:t xml:space="preserve"> תלמוד לומר</w:t>
      </w:r>
      <w:r w:rsidR="00D068D8">
        <w:rPr>
          <w:rFonts w:hint="cs"/>
          <w:rtl/>
        </w:rPr>
        <w:t>:</w:t>
      </w:r>
      <w:r>
        <w:rPr>
          <w:rtl/>
        </w:rPr>
        <w:t xml:space="preserve"> אהובה אהובה שנואה שנואה ריבה הכתוב</w:t>
      </w:r>
      <w:r>
        <w:rPr>
          <w:rFonts w:hint="cs"/>
          <w:rtl/>
        </w:rPr>
        <w:t>.</w:t>
      </w:r>
      <w:r w:rsidR="00E90B43">
        <w:rPr>
          <w:rStyle w:val="a5"/>
          <w:rtl/>
        </w:rPr>
        <w:footnoteReference w:id="8"/>
      </w:r>
    </w:p>
    <w:p w:rsidR="00351CA3" w:rsidRDefault="00351CA3" w:rsidP="00351CA3">
      <w:pPr>
        <w:pStyle w:val="ab"/>
        <w:rPr>
          <w:rtl/>
        </w:rPr>
      </w:pPr>
      <w:r>
        <w:rPr>
          <w:rtl/>
        </w:rPr>
        <w:t>אור החיים דברים פרק כא פסוק טו</w:t>
      </w:r>
    </w:p>
    <w:p w:rsidR="00351CA3" w:rsidRDefault="009C4C16" w:rsidP="009C4C16">
      <w:pPr>
        <w:pStyle w:val="ac"/>
        <w:rPr>
          <w:rtl/>
        </w:rPr>
      </w:pPr>
      <w:r>
        <w:rPr>
          <w:rFonts w:hint="cs"/>
          <w:rtl/>
        </w:rPr>
        <w:t>"</w:t>
      </w:r>
      <w:r w:rsidR="00351CA3">
        <w:rPr>
          <w:rtl/>
        </w:rPr>
        <w:t xml:space="preserve">והיה הבן הבכור </w:t>
      </w:r>
      <w:r>
        <w:rPr>
          <w:rFonts w:hint="cs"/>
          <w:rtl/>
        </w:rPr>
        <w:t xml:space="preserve">לשניאה" - </w:t>
      </w:r>
      <w:r w:rsidR="00351CA3">
        <w:rPr>
          <w:rtl/>
        </w:rPr>
        <w:t>אמר הכתוב בדרך ודאית, על דרך אומרו (בראשית כ"ט) וירא ה' כי שנואה לאה, כי ה' יראה בנשברי לב לסומכם</w:t>
      </w:r>
      <w:r>
        <w:rPr>
          <w:rFonts w:hint="cs"/>
          <w:rtl/>
        </w:rPr>
        <w:t>.</w:t>
      </w:r>
      <w:r>
        <w:rPr>
          <w:rStyle w:val="a5"/>
          <w:rtl/>
        </w:rPr>
        <w:footnoteReference w:id="9"/>
      </w:r>
    </w:p>
    <w:p w:rsidR="00B30146" w:rsidRDefault="00B30146" w:rsidP="009C4C16">
      <w:pPr>
        <w:pStyle w:val="ab"/>
        <w:rPr>
          <w:rtl/>
        </w:rPr>
      </w:pPr>
      <w:r>
        <w:rPr>
          <w:rtl/>
        </w:rPr>
        <w:t xml:space="preserve">ספורנו דברים פרק כא פסוק טז </w:t>
      </w:r>
    </w:p>
    <w:p w:rsidR="00B30146" w:rsidRDefault="009C4C16" w:rsidP="00FF0113">
      <w:pPr>
        <w:pStyle w:val="ac"/>
        <w:rPr>
          <w:rFonts w:hint="cs"/>
          <w:rtl/>
        </w:rPr>
      </w:pPr>
      <w:r>
        <w:rPr>
          <w:rFonts w:hint="cs"/>
          <w:rtl/>
        </w:rPr>
        <w:t>"</w:t>
      </w:r>
      <w:r w:rsidR="00B30146">
        <w:rPr>
          <w:rtl/>
        </w:rPr>
        <w:t>לא יוכל לבכר את בן האהובה על פני בן השנואה הבכור</w:t>
      </w:r>
      <w:r>
        <w:rPr>
          <w:rFonts w:hint="cs"/>
          <w:rtl/>
        </w:rPr>
        <w:t xml:space="preserve">" - </w:t>
      </w:r>
      <w:r w:rsidR="00B30146">
        <w:rPr>
          <w:rtl/>
        </w:rPr>
        <w:t>לא יעביר הבכורה מן הבן בשביל שנאת זו או אהבת זו</w:t>
      </w:r>
      <w:r>
        <w:rPr>
          <w:rFonts w:hint="cs"/>
          <w:rtl/>
        </w:rPr>
        <w:t>.</w:t>
      </w:r>
      <w:r w:rsidR="00B30146">
        <w:rPr>
          <w:rtl/>
        </w:rPr>
        <w:t xml:space="preserve"> אבל אם יעשה זה בס</w:t>
      </w:r>
      <w:r>
        <w:rPr>
          <w:rFonts w:hint="cs"/>
          <w:rtl/>
        </w:rPr>
        <w:t>י</w:t>
      </w:r>
      <w:r w:rsidR="00B30146">
        <w:rPr>
          <w:rtl/>
        </w:rPr>
        <w:t>בת רשעת הבן הבכור</w:t>
      </w:r>
      <w:r>
        <w:rPr>
          <w:rFonts w:hint="cs"/>
          <w:rtl/>
        </w:rPr>
        <w:t>,</w:t>
      </w:r>
      <w:r w:rsidR="00B30146">
        <w:rPr>
          <w:rtl/>
        </w:rPr>
        <w:t xml:space="preserve"> אז ראוי להעביר</w:t>
      </w:r>
      <w:r>
        <w:rPr>
          <w:rFonts w:hint="cs"/>
          <w:rtl/>
        </w:rPr>
        <w:t>.</w:t>
      </w:r>
      <w:r w:rsidR="00B30146">
        <w:rPr>
          <w:rtl/>
        </w:rPr>
        <w:t xml:space="preserve"> כא</w:t>
      </w:r>
      <w:r w:rsidR="00CD0EAB">
        <w:rPr>
          <w:rFonts w:hint="cs"/>
          <w:rtl/>
        </w:rPr>
        <w:t>ו</w:t>
      </w:r>
      <w:r w:rsidR="00B30146">
        <w:rPr>
          <w:rtl/>
        </w:rPr>
        <w:t>מרם ז"ל (ב</w:t>
      </w:r>
      <w:r w:rsidR="00FF0113">
        <w:rPr>
          <w:rFonts w:hint="cs"/>
          <w:rtl/>
        </w:rPr>
        <w:t>בא בתרא</w:t>
      </w:r>
      <w:r w:rsidR="00B30146">
        <w:rPr>
          <w:rtl/>
        </w:rPr>
        <w:t xml:space="preserve"> פרק יש </w:t>
      </w:r>
      <w:r w:rsidR="00B30146">
        <w:rPr>
          <w:rtl/>
        </w:rPr>
        <w:lastRenderedPageBreak/>
        <w:t>נוחלין)</w:t>
      </w:r>
      <w:r w:rsidR="00D04813">
        <w:rPr>
          <w:rFonts w:hint="cs"/>
          <w:rtl/>
        </w:rPr>
        <w:t>:</w:t>
      </w:r>
      <w:r w:rsidR="00B30146">
        <w:rPr>
          <w:rtl/>
        </w:rPr>
        <w:t xml:space="preserve"> </w:t>
      </w:r>
      <w:r w:rsidR="00D04813">
        <w:rPr>
          <w:rFonts w:hint="cs"/>
          <w:rtl/>
        </w:rPr>
        <w:t>"</w:t>
      </w:r>
      <w:r w:rsidR="00B30146">
        <w:rPr>
          <w:rtl/>
        </w:rPr>
        <w:t>אם לא היה נוהג כשורה</w:t>
      </w:r>
      <w:r w:rsidR="00D04813">
        <w:rPr>
          <w:rFonts w:hint="cs"/>
          <w:rtl/>
        </w:rPr>
        <w:t>,</w:t>
      </w:r>
      <w:r w:rsidR="00B30146">
        <w:rPr>
          <w:rtl/>
        </w:rPr>
        <w:t xml:space="preserve"> זכור לטוב</w:t>
      </w:r>
      <w:r w:rsidR="00D04813">
        <w:rPr>
          <w:rFonts w:hint="cs"/>
          <w:rtl/>
        </w:rPr>
        <w:t>"</w:t>
      </w:r>
      <w:r w:rsidR="00B30146">
        <w:rPr>
          <w:rtl/>
        </w:rPr>
        <w:t xml:space="preserve"> (קלג. ב)</w:t>
      </w:r>
      <w:r>
        <w:rPr>
          <w:rFonts w:hint="cs"/>
          <w:rtl/>
        </w:rPr>
        <w:t>.</w:t>
      </w:r>
      <w:r w:rsidR="00FF0113">
        <w:rPr>
          <w:rStyle w:val="a5"/>
          <w:rtl/>
        </w:rPr>
        <w:footnoteReference w:id="10"/>
      </w:r>
      <w:r w:rsidR="00B30146">
        <w:rPr>
          <w:rtl/>
        </w:rPr>
        <w:t xml:space="preserve"> וכן נראה שעשה יעקב אבינו כא</w:t>
      </w:r>
      <w:r w:rsidR="00CD0EAB">
        <w:rPr>
          <w:rFonts w:hint="cs"/>
          <w:rtl/>
        </w:rPr>
        <w:t>ו</w:t>
      </w:r>
      <w:r w:rsidR="00B30146">
        <w:rPr>
          <w:rtl/>
        </w:rPr>
        <w:t>מרו</w:t>
      </w:r>
      <w:r w:rsidR="00AF30D7">
        <w:rPr>
          <w:rFonts w:hint="cs"/>
          <w:rtl/>
        </w:rPr>
        <w:t>: "</w:t>
      </w:r>
      <w:r w:rsidR="00B30146">
        <w:rPr>
          <w:rtl/>
        </w:rPr>
        <w:t>ובחללו יצועי אביו נתנה בכורתו לבני יוסף בן ישראל</w:t>
      </w:r>
      <w:r w:rsidR="00AF30D7">
        <w:rPr>
          <w:rFonts w:hint="cs"/>
          <w:rtl/>
        </w:rPr>
        <w:t>"</w:t>
      </w:r>
      <w:r w:rsidR="00AF30D7">
        <w:rPr>
          <w:rtl/>
        </w:rPr>
        <w:t xml:space="preserve"> (דברי הימים א ה, א)</w:t>
      </w:r>
      <w:r w:rsidR="00AF30D7">
        <w:rPr>
          <w:rFonts w:hint="cs"/>
          <w:rtl/>
        </w:rPr>
        <w:t>.</w:t>
      </w:r>
      <w:r w:rsidR="006B5CCC">
        <w:rPr>
          <w:rStyle w:val="a5"/>
          <w:rtl/>
        </w:rPr>
        <w:footnoteReference w:id="11"/>
      </w:r>
    </w:p>
    <w:p w:rsidR="00CC5CF3" w:rsidRDefault="00CC5CF3" w:rsidP="00CC5CF3">
      <w:pPr>
        <w:pStyle w:val="ab"/>
        <w:rPr>
          <w:rFonts w:hint="cs"/>
          <w:rtl/>
        </w:rPr>
      </w:pPr>
      <w:r>
        <w:rPr>
          <w:rtl/>
        </w:rPr>
        <w:t xml:space="preserve">במדבר רבה יד </w:t>
      </w:r>
      <w:r>
        <w:rPr>
          <w:rFonts w:hint="cs"/>
          <w:rtl/>
        </w:rPr>
        <w:t>ו</w:t>
      </w:r>
    </w:p>
    <w:p w:rsidR="00CC5CF3" w:rsidRDefault="00CC5CF3" w:rsidP="00CC5CF3">
      <w:pPr>
        <w:pStyle w:val="ac"/>
        <w:rPr>
          <w:rFonts w:hint="cs"/>
          <w:rtl/>
        </w:rPr>
      </w:pPr>
      <w:r>
        <w:rPr>
          <w:rFonts w:hint="cs"/>
          <w:rtl/>
        </w:rPr>
        <w:t>"</w:t>
      </w:r>
      <w:r>
        <w:rPr>
          <w:rtl/>
        </w:rPr>
        <w:t xml:space="preserve">ביום השביעי נשיא לבני אפרים וגו' ביום השמיני נשיא לבני מנשה וגו' </w:t>
      </w:r>
      <w:r>
        <w:rPr>
          <w:rFonts w:hint="cs"/>
          <w:rtl/>
        </w:rPr>
        <w:t xml:space="preserve">" - ... </w:t>
      </w:r>
      <w:r>
        <w:rPr>
          <w:rtl/>
        </w:rPr>
        <w:t>קרבנו קערת כסף אחת וגו'</w:t>
      </w:r>
      <w:r>
        <w:rPr>
          <w:rFonts w:hint="cs"/>
          <w:rtl/>
        </w:rPr>
        <w:t>,</w:t>
      </w:r>
      <w:r>
        <w:rPr>
          <w:rtl/>
        </w:rPr>
        <w:t xml:space="preserve"> אל תקרי </w:t>
      </w:r>
      <w:r>
        <w:rPr>
          <w:rFonts w:hint="cs"/>
          <w:rtl/>
        </w:rPr>
        <w:t>"</w:t>
      </w:r>
      <w:r>
        <w:rPr>
          <w:rtl/>
        </w:rPr>
        <w:t>קערת</w:t>
      </w:r>
      <w:r>
        <w:rPr>
          <w:rFonts w:hint="cs"/>
          <w:rtl/>
        </w:rPr>
        <w:t>"</w:t>
      </w:r>
      <w:r>
        <w:rPr>
          <w:rtl/>
        </w:rPr>
        <w:t xml:space="preserve"> אלא </w:t>
      </w:r>
      <w:r>
        <w:rPr>
          <w:rFonts w:hint="cs"/>
          <w:rtl/>
        </w:rPr>
        <w:t>"</w:t>
      </w:r>
      <w:r>
        <w:rPr>
          <w:rtl/>
        </w:rPr>
        <w:t>עקרת</w:t>
      </w:r>
      <w:r>
        <w:rPr>
          <w:rFonts w:hint="cs"/>
          <w:rtl/>
        </w:rPr>
        <w:t>",</w:t>
      </w:r>
      <w:r>
        <w:rPr>
          <w:rtl/>
        </w:rPr>
        <w:t xml:space="preserve"> כנגד יעקב שעקר את הבכורה מראובן ונתן אותה ליוסף</w:t>
      </w:r>
      <w:r w:rsidR="009E533C">
        <w:rPr>
          <w:rFonts w:hint="cs"/>
          <w:rtl/>
        </w:rPr>
        <w:t>:</w:t>
      </w:r>
      <w:r>
        <w:rPr>
          <w:rtl/>
        </w:rPr>
        <w:t xml:space="preserve"> (בראשית מח) ואני נתתי לך שכם אחד על אחיך וגו'</w:t>
      </w:r>
      <w:r>
        <w:rPr>
          <w:rFonts w:hint="cs"/>
          <w:rtl/>
        </w:rPr>
        <w:t>.</w:t>
      </w:r>
      <w:r w:rsidR="00432941">
        <w:rPr>
          <w:rStyle w:val="a5"/>
          <w:rtl/>
        </w:rPr>
        <w:footnoteReference w:id="12"/>
      </w:r>
    </w:p>
    <w:p w:rsidR="00B57019" w:rsidRPr="00A92438" w:rsidRDefault="00B57019" w:rsidP="00DA08C6">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p>
    <w:p w:rsidR="00B57019" w:rsidRDefault="00B57019" w:rsidP="00AF30D7">
      <w:pPr>
        <w:pStyle w:val="ac"/>
        <w:rPr>
          <w:rFonts w:hint="cs"/>
          <w:rtl/>
        </w:rPr>
      </w:pPr>
      <w:r>
        <w:rPr>
          <w:rFonts w:hint="cs"/>
          <w:sz w:val="28"/>
          <w:szCs w:val="28"/>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תהיין</w:t>
      </w:r>
      <w:r w:rsidRPr="00A92438">
        <w:rPr>
          <w:rtl/>
          <w:lang w:eastAsia="en-US"/>
        </w:rPr>
        <w:t xml:space="preserve"> </w:t>
      </w:r>
      <w:r w:rsidRPr="00A92438">
        <w:rPr>
          <w:rFonts w:hint="eastAsia"/>
          <w:rtl/>
          <w:lang w:eastAsia="en-US"/>
        </w:rPr>
        <w:t>לאיש</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כא</w:t>
      </w:r>
      <w:r w:rsidRPr="00A92438">
        <w:rPr>
          <w:rtl/>
          <w:lang w:eastAsia="en-US"/>
        </w:rPr>
        <w:t xml:space="preserve"> </w:t>
      </w:r>
      <w:r w:rsidRPr="00A92438">
        <w:rPr>
          <w:rFonts w:hint="eastAsia"/>
          <w:rtl/>
          <w:lang w:eastAsia="en-US"/>
        </w:rPr>
        <w:t>טו</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יעקב</w:t>
      </w:r>
      <w:r>
        <w:rPr>
          <w:rFonts w:hint="cs"/>
          <w:rtl/>
          <w:lang w:eastAsia="en-US"/>
        </w:rPr>
        <w:t>,</w:t>
      </w:r>
      <w:r w:rsidRPr="00A92438">
        <w:rPr>
          <w:rtl/>
          <w:lang w:eastAsia="en-US"/>
        </w:rPr>
        <w:t xml:space="preserve"> </w:t>
      </w:r>
      <w:r w:rsidRPr="00A92438">
        <w:rPr>
          <w:rFonts w:hint="eastAsia"/>
          <w:rtl/>
          <w:lang w:eastAsia="en-US"/>
        </w:rPr>
        <w:t>שנאמר</w:t>
      </w:r>
      <w:r>
        <w:rPr>
          <w:rFonts w:hint="cs"/>
          <w:rtl/>
          <w:lang w:eastAsia="en-US"/>
        </w:rPr>
        <w:t>:</w:t>
      </w:r>
      <w:r w:rsidRPr="00A92438">
        <w:rPr>
          <w:rtl/>
          <w:lang w:eastAsia="en-US"/>
        </w:rPr>
        <w:t xml:space="preserve"> </w:t>
      </w:r>
      <w:r>
        <w:rPr>
          <w:rFonts w:hint="cs"/>
          <w:rtl/>
          <w:lang w:eastAsia="en-US"/>
        </w:rPr>
        <w:t>"</w:t>
      </w:r>
      <w:r w:rsidRPr="00A92438">
        <w:rPr>
          <w:rFonts w:hint="eastAsia"/>
          <w:rtl/>
          <w:lang w:eastAsia="en-US"/>
        </w:rPr>
        <w:t>איש</w:t>
      </w:r>
      <w:r w:rsidRPr="00A92438">
        <w:rPr>
          <w:rtl/>
          <w:lang w:eastAsia="en-US"/>
        </w:rPr>
        <w:t xml:space="preserve"> </w:t>
      </w:r>
      <w:r w:rsidRPr="00A92438">
        <w:rPr>
          <w:rFonts w:hint="eastAsia"/>
          <w:rtl/>
          <w:lang w:eastAsia="en-US"/>
        </w:rPr>
        <w:t>תם</w:t>
      </w:r>
      <w:r>
        <w:rPr>
          <w:rFonts w:hint="cs"/>
          <w:rtl/>
          <w:lang w:eastAsia="en-US"/>
        </w:rPr>
        <w:t>"</w:t>
      </w:r>
      <w:r w:rsidRPr="00A92438">
        <w:rPr>
          <w:rtl/>
          <w:lang w:eastAsia="en-US"/>
        </w:rPr>
        <w:t xml:space="preserve"> (</w:t>
      </w:r>
      <w:r w:rsidRPr="00A92438">
        <w:rPr>
          <w:rFonts w:hint="eastAsia"/>
          <w:rtl/>
          <w:lang w:eastAsia="en-US"/>
        </w:rPr>
        <w:t>כה</w:t>
      </w:r>
      <w:r w:rsidRPr="00A92438">
        <w:rPr>
          <w:rtl/>
          <w:lang w:eastAsia="en-US"/>
        </w:rPr>
        <w:t xml:space="preserve"> </w:t>
      </w:r>
      <w:r w:rsidRPr="00A92438">
        <w:rPr>
          <w:rFonts w:hint="eastAsia"/>
          <w:rtl/>
          <w:lang w:eastAsia="en-US"/>
        </w:rPr>
        <w:t>כז</w:t>
      </w:r>
      <w:r w:rsidRPr="00A92438">
        <w:rPr>
          <w:rtl/>
          <w:lang w:eastAsia="en-US"/>
        </w:rPr>
        <w:t xml:space="preserve">). </w:t>
      </w:r>
      <w:r>
        <w:rPr>
          <w:rFonts w:hint="cs"/>
          <w:rtl/>
          <w:lang w:eastAsia="en-US"/>
        </w:rPr>
        <w:t>"</w:t>
      </w:r>
      <w:r w:rsidRPr="00A92438">
        <w:rPr>
          <w:rFonts w:hint="eastAsia"/>
          <w:rtl/>
          <w:lang w:eastAsia="en-US"/>
        </w:rPr>
        <w:t>שתי</w:t>
      </w:r>
      <w:r w:rsidRPr="00A92438">
        <w:rPr>
          <w:rtl/>
          <w:lang w:eastAsia="en-US"/>
        </w:rPr>
        <w:t xml:space="preserve"> </w:t>
      </w:r>
      <w:r w:rsidRPr="00A92438">
        <w:rPr>
          <w:rFonts w:hint="eastAsia"/>
          <w:rtl/>
          <w:lang w:eastAsia="en-US"/>
        </w:rPr>
        <w:t>נשים</w:t>
      </w:r>
      <w:r>
        <w:rPr>
          <w:rFonts w:hint="cs"/>
          <w:rtl/>
          <w:lang w:eastAsia="en-US"/>
        </w:rPr>
        <w:t xml:space="preserve">" - </w:t>
      </w:r>
      <w:r w:rsidRPr="00A92438">
        <w:rPr>
          <w:rFonts w:hint="eastAsia"/>
          <w:rtl/>
          <w:lang w:eastAsia="en-US"/>
        </w:rPr>
        <w:t>רחל</w:t>
      </w:r>
      <w:r w:rsidRPr="00A92438">
        <w:rPr>
          <w:rtl/>
          <w:lang w:eastAsia="en-US"/>
        </w:rPr>
        <w:t xml:space="preserve"> </w:t>
      </w:r>
      <w:r w:rsidRPr="00A92438">
        <w:rPr>
          <w:rFonts w:hint="eastAsia"/>
          <w:rtl/>
          <w:lang w:eastAsia="en-US"/>
        </w:rPr>
        <w:t>ולאה</w:t>
      </w:r>
      <w:r w:rsidRPr="00A92438">
        <w:rPr>
          <w:rtl/>
          <w:lang w:eastAsia="en-US"/>
        </w:rPr>
        <w:t xml:space="preserve">. </w:t>
      </w:r>
      <w:r>
        <w:rPr>
          <w:rFonts w:hint="cs"/>
          <w:rtl/>
          <w:lang w:eastAsia="en-US"/>
        </w:rPr>
        <w:t>"</w:t>
      </w:r>
      <w:r w:rsidRPr="00A92438">
        <w:rPr>
          <w:rFonts w:hint="eastAsia"/>
          <w:rtl/>
          <w:lang w:eastAsia="en-US"/>
        </w:rPr>
        <w:t>האחת</w:t>
      </w:r>
      <w:r w:rsidRPr="00A92438">
        <w:rPr>
          <w:rtl/>
          <w:lang w:eastAsia="en-US"/>
        </w:rPr>
        <w:t xml:space="preserve"> </w:t>
      </w:r>
      <w:r w:rsidRPr="00A92438">
        <w:rPr>
          <w:rFonts w:hint="eastAsia"/>
          <w:rtl/>
          <w:lang w:eastAsia="en-US"/>
        </w:rPr>
        <w:t>אהובה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רחל</w:t>
      </w:r>
      <w:r>
        <w:rPr>
          <w:rFonts w:hint="cs"/>
          <w:rtl/>
          <w:lang w:eastAsia="en-US"/>
        </w:rPr>
        <w:t>. "</w:t>
      </w:r>
      <w:r w:rsidRPr="00A92438">
        <w:rPr>
          <w:rFonts w:hint="eastAsia"/>
          <w:rtl/>
          <w:lang w:eastAsia="en-US"/>
        </w:rPr>
        <w:t>והאחת</w:t>
      </w:r>
      <w:r w:rsidRPr="00A92438">
        <w:rPr>
          <w:rtl/>
          <w:lang w:eastAsia="en-US"/>
        </w:rPr>
        <w:t xml:space="preserve"> </w:t>
      </w:r>
      <w:r w:rsidRPr="00A92438">
        <w:rPr>
          <w:rFonts w:hint="eastAsia"/>
          <w:rtl/>
          <w:lang w:eastAsia="en-US"/>
        </w:rPr>
        <w:t>שנואה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לאה</w:t>
      </w:r>
      <w:r w:rsidRPr="00A92438">
        <w:rPr>
          <w:rtl/>
          <w:lang w:eastAsia="en-US"/>
        </w:rPr>
        <w:t xml:space="preserve">. </w:t>
      </w:r>
      <w:r>
        <w:rPr>
          <w:rFonts w:hint="cs"/>
          <w:rtl/>
          <w:lang w:eastAsia="en-US"/>
        </w:rPr>
        <w:t>"</w:t>
      </w:r>
      <w:r w:rsidRPr="00A92438">
        <w:rPr>
          <w:rFonts w:hint="eastAsia"/>
          <w:rtl/>
          <w:lang w:eastAsia="en-US"/>
        </w:rPr>
        <w:t>וילדו</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בנים</w:t>
      </w:r>
      <w:r>
        <w:rPr>
          <w:rFonts w:hint="cs"/>
          <w:rtl/>
          <w:lang w:eastAsia="en-US"/>
        </w:rPr>
        <w:t xml:space="preserve">" - </w:t>
      </w:r>
      <w:r w:rsidRPr="00A92438">
        <w:rPr>
          <w:rFonts w:hint="eastAsia"/>
          <w:rtl/>
          <w:lang w:eastAsia="en-US"/>
        </w:rPr>
        <w:t>שתיהן</w:t>
      </w:r>
      <w:r w:rsidRPr="00A92438">
        <w:rPr>
          <w:rtl/>
          <w:lang w:eastAsia="en-US"/>
        </w:rPr>
        <w:t xml:space="preserve"> </w:t>
      </w:r>
      <w:r w:rsidRPr="00A92438">
        <w:rPr>
          <w:rFonts w:hint="eastAsia"/>
          <w:rtl/>
          <w:lang w:eastAsia="en-US"/>
        </w:rPr>
        <w:t>ילדו</w:t>
      </w:r>
      <w:r w:rsidRPr="00A92438">
        <w:rPr>
          <w:rtl/>
          <w:lang w:eastAsia="en-US"/>
        </w:rPr>
        <w:t xml:space="preserve"> </w:t>
      </w:r>
      <w:r w:rsidRPr="00A92438">
        <w:rPr>
          <w:rFonts w:hint="eastAsia"/>
          <w:rtl/>
          <w:lang w:eastAsia="en-US"/>
        </w:rPr>
        <w:t>לו</w:t>
      </w:r>
      <w:r>
        <w:rPr>
          <w:rFonts w:hint="cs"/>
          <w:rtl/>
          <w:lang w:eastAsia="en-US"/>
        </w:rPr>
        <w:t>.</w:t>
      </w:r>
      <w:r w:rsidRPr="00A92438">
        <w:rPr>
          <w:rtl/>
          <w:lang w:eastAsia="en-US"/>
        </w:rPr>
        <w:t xml:space="preserve"> </w:t>
      </w:r>
      <w:r w:rsidRPr="00A92438">
        <w:rPr>
          <w:rFonts w:hint="eastAsia"/>
          <w:rtl/>
          <w:lang w:eastAsia="en-US"/>
        </w:rPr>
        <w:t>ומה</w:t>
      </w:r>
      <w:r w:rsidRPr="00A92438">
        <w:rPr>
          <w:rtl/>
          <w:lang w:eastAsia="en-US"/>
        </w:rPr>
        <w:t xml:space="preserve"> </w:t>
      </w:r>
      <w:r w:rsidRPr="00A92438">
        <w:rPr>
          <w:rFonts w:hint="eastAsia"/>
          <w:rtl/>
          <w:lang w:eastAsia="en-US"/>
        </w:rPr>
        <w:t>שהעמידה</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העמידה</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שופטים</w:t>
      </w:r>
      <w:r w:rsidRPr="00A92438">
        <w:rPr>
          <w:rtl/>
          <w:lang w:eastAsia="en-US"/>
        </w:rPr>
        <w:t xml:space="preserve"> </w:t>
      </w:r>
      <w:r w:rsidRPr="00A92438">
        <w:rPr>
          <w:rFonts w:hint="eastAsia"/>
          <w:rtl/>
          <w:lang w:eastAsia="en-US"/>
        </w:rPr>
        <w:t>ורחל</w:t>
      </w:r>
      <w:r w:rsidRPr="00A92438">
        <w:rPr>
          <w:rtl/>
          <w:lang w:eastAsia="en-US"/>
        </w:rPr>
        <w:t xml:space="preserve"> </w:t>
      </w:r>
      <w:r w:rsidRPr="00A92438">
        <w:rPr>
          <w:rFonts w:hint="eastAsia"/>
          <w:rtl/>
          <w:lang w:eastAsia="en-US"/>
        </w:rPr>
        <w:t>שופטים</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הבן</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לשניאה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ביום</w:t>
      </w:r>
      <w:r w:rsidRPr="00A92438">
        <w:rPr>
          <w:rtl/>
          <w:lang w:eastAsia="en-US"/>
        </w:rPr>
        <w:t xml:space="preserve"> </w:t>
      </w:r>
      <w:r w:rsidRPr="00A92438">
        <w:rPr>
          <w:rFonts w:hint="eastAsia"/>
          <w:rtl/>
          <w:lang w:eastAsia="en-US"/>
        </w:rPr>
        <w:t>הנחילו</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טז</w:t>
      </w:r>
      <w:r w:rsidRPr="00A92438">
        <w:rPr>
          <w:rtl/>
          <w:lang w:eastAsia="en-US"/>
        </w:rPr>
        <w:t>)</w:t>
      </w:r>
      <w:r>
        <w:rPr>
          <w:rFonts w:hint="cs"/>
          <w:rtl/>
          <w:lang w:eastAsia="en-US"/>
        </w:rPr>
        <w:t xml:space="preserve"> - </w:t>
      </w:r>
      <w:r w:rsidRPr="00A92438">
        <w:rPr>
          <w:rFonts w:hint="eastAsia"/>
          <w:rtl/>
          <w:lang w:eastAsia="en-US"/>
        </w:rPr>
        <w:t>בשעה</w:t>
      </w:r>
      <w:r w:rsidRPr="00A92438">
        <w:rPr>
          <w:rtl/>
          <w:lang w:eastAsia="en-US"/>
        </w:rPr>
        <w:t xml:space="preserve"> </w:t>
      </w:r>
      <w:r w:rsidRPr="00A92438">
        <w:rPr>
          <w:rFonts w:hint="eastAsia"/>
          <w:rtl/>
          <w:lang w:eastAsia="en-US"/>
        </w:rPr>
        <w:t>שעמד</w:t>
      </w:r>
      <w:r w:rsidRPr="00A92438">
        <w:rPr>
          <w:rtl/>
          <w:lang w:eastAsia="en-US"/>
        </w:rPr>
        <w:t xml:space="preserve"> </w:t>
      </w:r>
      <w:r w:rsidRPr="00A92438">
        <w:rPr>
          <w:rFonts w:hint="eastAsia"/>
          <w:rtl/>
          <w:lang w:eastAsia="en-US"/>
        </w:rPr>
        <w:t>לה</w:t>
      </w:r>
      <w:r>
        <w:rPr>
          <w:rFonts w:hint="cs"/>
          <w:rtl/>
          <w:lang w:eastAsia="en-US"/>
        </w:rPr>
        <w:t>י</w:t>
      </w:r>
      <w:r w:rsidRPr="00A92438">
        <w:rPr>
          <w:rFonts w:hint="eastAsia"/>
          <w:rtl/>
          <w:lang w:eastAsia="en-US"/>
        </w:rPr>
        <w:t>פטר</w:t>
      </w:r>
      <w:r w:rsidRPr="00A92438">
        <w:rPr>
          <w:rtl/>
          <w:lang w:eastAsia="en-US"/>
        </w:rPr>
        <w:t xml:space="preserve"> </w:t>
      </w:r>
      <w:r w:rsidRPr="00A92438">
        <w:rPr>
          <w:rFonts w:hint="eastAsia"/>
          <w:rtl/>
          <w:lang w:eastAsia="en-US"/>
        </w:rPr>
        <w:t>מן</w:t>
      </w:r>
      <w:r w:rsidRPr="00A92438">
        <w:rPr>
          <w:rtl/>
          <w:lang w:eastAsia="en-US"/>
        </w:rPr>
        <w:t xml:space="preserve"> </w:t>
      </w:r>
      <w:r w:rsidRPr="00A92438">
        <w:rPr>
          <w:rFonts w:hint="eastAsia"/>
          <w:rtl/>
          <w:lang w:eastAsia="en-US"/>
        </w:rPr>
        <w:t>העולם</w:t>
      </w:r>
      <w:r>
        <w:rPr>
          <w:rFonts w:hint="cs"/>
          <w:rtl/>
          <w:lang w:eastAsia="en-US"/>
        </w:rPr>
        <w:t>: "</w:t>
      </w:r>
      <w:r w:rsidRPr="00A92438">
        <w:rPr>
          <w:rFonts w:hint="eastAsia"/>
          <w:rtl/>
          <w:lang w:eastAsia="en-US"/>
        </w:rPr>
        <w:t>ויקרא</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א</w:t>
      </w:r>
      <w:r w:rsidRPr="00A92438">
        <w:rPr>
          <w:rtl/>
          <w:lang w:eastAsia="en-US"/>
        </w:rPr>
        <w:t>)</w:t>
      </w:r>
      <w:r>
        <w:rPr>
          <w:rFonts w:hint="cs"/>
          <w:rtl/>
          <w:lang w:eastAsia="en-US"/>
        </w:rPr>
        <w:t>. "</w:t>
      </w:r>
      <w:r w:rsidRPr="00A92438">
        <w:rPr>
          <w:rFonts w:hint="eastAsia"/>
          <w:rtl/>
          <w:lang w:eastAsia="en-US"/>
        </w:rPr>
        <w:t>את</w:t>
      </w:r>
      <w:r w:rsidRPr="00A92438">
        <w:rPr>
          <w:rtl/>
          <w:lang w:eastAsia="en-US"/>
        </w:rPr>
        <w:t xml:space="preserve"> </w:t>
      </w:r>
      <w:r w:rsidRPr="00A92438">
        <w:rPr>
          <w:rFonts w:hint="eastAsia"/>
          <w:rtl/>
          <w:lang w:eastAsia="en-US"/>
        </w:rPr>
        <w:t>אשר</w:t>
      </w:r>
      <w:r w:rsidRPr="00A92438">
        <w:rPr>
          <w:rtl/>
          <w:lang w:eastAsia="en-US"/>
        </w:rPr>
        <w:t xml:space="preserve"> </w:t>
      </w:r>
      <w:r w:rsidRPr="00A92438">
        <w:rPr>
          <w:rFonts w:hint="eastAsia"/>
          <w:rtl/>
          <w:lang w:eastAsia="en-US"/>
        </w:rPr>
        <w:t>יהיה</w:t>
      </w:r>
      <w:r w:rsidRPr="00A92438">
        <w:rPr>
          <w:rtl/>
          <w:lang w:eastAsia="en-US"/>
        </w:rPr>
        <w:t xml:space="preserve"> </w:t>
      </w:r>
      <w:r w:rsidRPr="00A92438">
        <w:rPr>
          <w:rFonts w:hint="eastAsia"/>
          <w:rtl/>
          <w:lang w:eastAsia="en-US"/>
        </w:rPr>
        <w:t>לו</w:t>
      </w:r>
      <w:r>
        <w:rPr>
          <w:rFonts w:hint="cs"/>
          <w:rtl/>
          <w:lang w:eastAsia="en-US"/>
        </w:rPr>
        <w:t xml:space="preserve">" - </w:t>
      </w:r>
      <w:r w:rsidRPr="00A92438">
        <w:rPr>
          <w:rFonts w:hint="eastAsia"/>
          <w:rtl/>
          <w:lang w:eastAsia="en-US"/>
        </w:rPr>
        <w:t>אלו</w:t>
      </w:r>
      <w:r w:rsidRPr="00A92438">
        <w:rPr>
          <w:rtl/>
          <w:lang w:eastAsia="en-US"/>
        </w:rPr>
        <w:t xml:space="preserve"> </w:t>
      </w:r>
      <w:r w:rsidRPr="00A92438">
        <w:rPr>
          <w:rFonts w:hint="eastAsia"/>
          <w:rtl/>
          <w:lang w:eastAsia="en-US"/>
        </w:rPr>
        <w:t>ברכות</w:t>
      </w:r>
      <w:r>
        <w:rPr>
          <w:rFonts w:hint="cs"/>
          <w:rtl/>
          <w:lang w:eastAsia="en-US"/>
        </w:rPr>
        <w:t>. "</w:t>
      </w:r>
      <w:r w:rsidRPr="00A92438">
        <w:rPr>
          <w:rFonts w:hint="eastAsia"/>
          <w:rtl/>
          <w:lang w:eastAsia="en-US"/>
        </w:rPr>
        <w:t>לא</w:t>
      </w:r>
      <w:r w:rsidRPr="00A92438">
        <w:rPr>
          <w:rtl/>
          <w:lang w:eastAsia="en-US"/>
        </w:rPr>
        <w:t xml:space="preserve"> </w:t>
      </w:r>
      <w:r w:rsidRPr="00A92438">
        <w:rPr>
          <w:rFonts w:hint="eastAsia"/>
          <w:rtl/>
          <w:lang w:eastAsia="en-US"/>
        </w:rPr>
        <w:t>יוכל</w:t>
      </w:r>
      <w:r w:rsidRPr="00A92438">
        <w:rPr>
          <w:rtl/>
          <w:lang w:eastAsia="en-US"/>
        </w:rPr>
        <w:t xml:space="preserve"> </w:t>
      </w:r>
      <w:r w:rsidRPr="00A92438">
        <w:rPr>
          <w:rFonts w:hint="eastAsia"/>
          <w:rtl/>
          <w:lang w:eastAsia="en-US"/>
        </w:rPr>
        <w:t>לבכר</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האהובה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שלא</w:t>
      </w:r>
      <w:r w:rsidRPr="00A92438">
        <w:rPr>
          <w:rtl/>
          <w:lang w:eastAsia="en-US"/>
        </w:rPr>
        <w:t xml:space="preserve"> </w:t>
      </w:r>
      <w:r w:rsidRPr="00A92438">
        <w:rPr>
          <w:rFonts w:hint="eastAsia"/>
          <w:rtl/>
          <w:lang w:eastAsia="en-US"/>
        </w:rPr>
        <w:t>קראו</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על</w:t>
      </w:r>
      <w:r w:rsidRPr="00A92438">
        <w:rPr>
          <w:rtl/>
          <w:lang w:eastAsia="en-US"/>
        </w:rPr>
        <w:t xml:space="preserve"> </w:t>
      </w:r>
      <w:r w:rsidRPr="00A92438">
        <w:rPr>
          <w:rFonts w:hint="eastAsia"/>
          <w:rtl/>
          <w:lang w:eastAsia="en-US"/>
        </w:rPr>
        <w:t>פני</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הבכור</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יכיר</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יז</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sidRPr="00A92438">
        <w:rPr>
          <w:rFonts w:hint="eastAsia"/>
          <w:rtl/>
          <w:lang w:eastAsia="en-US"/>
        </w:rPr>
        <w:t>שהכירו</w:t>
      </w:r>
      <w:r w:rsidRPr="00A92438">
        <w:rPr>
          <w:rtl/>
          <w:lang w:eastAsia="en-US"/>
        </w:rPr>
        <w:t xml:space="preserve"> </w:t>
      </w:r>
      <w:r w:rsidRPr="00A92438">
        <w:rPr>
          <w:rFonts w:hint="eastAsia"/>
          <w:rtl/>
          <w:lang w:eastAsia="en-US"/>
        </w:rPr>
        <w:t>והודיעו</w:t>
      </w:r>
      <w:r w:rsidRPr="00A92438">
        <w:rPr>
          <w:rtl/>
          <w:lang w:eastAsia="en-US"/>
        </w:rPr>
        <w:t xml:space="preserve"> </w:t>
      </w:r>
      <w:r w:rsidRPr="00A92438">
        <w:rPr>
          <w:rFonts w:hint="eastAsia"/>
          <w:rtl/>
          <w:lang w:eastAsia="en-US"/>
        </w:rPr>
        <w:t>לכל</w:t>
      </w:r>
      <w:r w:rsidRPr="00A92438">
        <w:rPr>
          <w:rtl/>
          <w:lang w:eastAsia="en-US"/>
        </w:rPr>
        <w:t xml:space="preserve"> </w:t>
      </w:r>
      <w:r w:rsidRPr="00A92438">
        <w:rPr>
          <w:rFonts w:hint="eastAsia"/>
          <w:rtl/>
          <w:lang w:eastAsia="en-US"/>
        </w:rPr>
        <w:t>שהוא</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ראובן</w:t>
      </w:r>
      <w:r w:rsidRPr="00A92438">
        <w:rPr>
          <w:rtl/>
          <w:lang w:eastAsia="en-US"/>
        </w:rPr>
        <w:t xml:space="preserve"> </w:t>
      </w:r>
      <w:r w:rsidRPr="00A92438">
        <w:rPr>
          <w:rFonts w:hint="eastAsia"/>
          <w:rtl/>
          <w:lang w:eastAsia="en-US"/>
        </w:rPr>
        <w:t>בכורי</w:t>
      </w:r>
      <w:r w:rsidRPr="00A92438">
        <w:rPr>
          <w:rtl/>
          <w:lang w:eastAsia="en-US"/>
        </w:rPr>
        <w:t xml:space="preserve"> </w:t>
      </w:r>
      <w:r w:rsidRPr="00A92438">
        <w:rPr>
          <w:rFonts w:hint="eastAsia"/>
          <w:rtl/>
          <w:lang w:eastAsia="en-US"/>
        </w:rPr>
        <w:t>אתה</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w:t>
      </w:r>
      <w:r>
        <w:rPr>
          <w:rFonts w:hint="cs"/>
          <w:rtl/>
          <w:lang w:eastAsia="en-US"/>
        </w:rPr>
        <w:t xml:space="preserve"> ...</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ראשית</w:t>
      </w:r>
      <w:r w:rsidRPr="00A92438">
        <w:rPr>
          <w:rtl/>
          <w:lang w:eastAsia="en-US"/>
        </w:rPr>
        <w:t xml:space="preserve"> </w:t>
      </w:r>
      <w:r w:rsidRPr="00A92438">
        <w:rPr>
          <w:rFonts w:hint="eastAsia"/>
          <w:rtl/>
          <w:lang w:eastAsia="en-US"/>
        </w:rPr>
        <w:t>אונו</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Pr>
          <w:rFonts w:hint="cs"/>
          <w:rtl/>
          <w:lang w:eastAsia="en-US"/>
        </w:rPr>
        <w:t>: "</w:t>
      </w:r>
      <w:r w:rsidRPr="00A92438">
        <w:rPr>
          <w:rFonts w:hint="eastAsia"/>
          <w:rtl/>
          <w:lang w:eastAsia="en-US"/>
        </w:rPr>
        <w:t>כ</w:t>
      </w:r>
      <w:r>
        <w:rPr>
          <w:rFonts w:hint="cs"/>
          <w:rtl/>
          <w:lang w:eastAsia="en-US"/>
        </w:rPr>
        <w:t>ו</w:t>
      </w:r>
      <w:r w:rsidRPr="00A92438">
        <w:rPr>
          <w:rFonts w:hint="eastAsia"/>
          <w:rtl/>
          <w:lang w:eastAsia="en-US"/>
        </w:rPr>
        <w:t>חי</w:t>
      </w:r>
      <w:r w:rsidRPr="00A92438">
        <w:rPr>
          <w:rtl/>
          <w:lang w:eastAsia="en-US"/>
        </w:rPr>
        <w:t xml:space="preserve"> </w:t>
      </w:r>
      <w:r w:rsidRPr="00A92438">
        <w:rPr>
          <w:rFonts w:hint="eastAsia"/>
          <w:rtl/>
          <w:lang w:eastAsia="en-US"/>
        </w:rPr>
        <w:t>וראשית</w:t>
      </w:r>
      <w:r w:rsidRPr="00A92438">
        <w:rPr>
          <w:rtl/>
          <w:lang w:eastAsia="en-US"/>
        </w:rPr>
        <w:t xml:space="preserve"> </w:t>
      </w:r>
      <w:r w:rsidRPr="00A92438">
        <w:rPr>
          <w:rFonts w:hint="eastAsia"/>
          <w:rtl/>
          <w:lang w:eastAsia="en-US"/>
        </w:rPr>
        <w:t>אוני</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 xml:space="preserve">). </w:t>
      </w:r>
      <w:r>
        <w:rPr>
          <w:rFonts w:hint="cs"/>
          <w:rtl/>
          <w:lang w:eastAsia="en-US"/>
        </w:rPr>
        <w:t>"</w:t>
      </w:r>
      <w:r w:rsidRPr="00A92438">
        <w:rPr>
          <w:rFonts w:hint="eastAsia"/>
          <w:rtl/>
          <w:lang w:eastAsia="en-US"/>
        </w:rPr>
        <w:t>לו</w:t>
      </w:r>
      <w:r w:rsidRPr="00A92438">
        <w:rPr>
          <w:rtl/>
          <w:lang w:eastAsia="en-US"/>
        </w:rPr>
        <w:t xml:space="preserve"> </w:t>
      </w:r>
      <w:r w:rsidRPr="00A92438">
        <w:rPr>
          <w:rFonts w:hint="eastAsia"/>
          <w:rtl/>
          <w:lang w:eastAsia="en-US"/>
        </w:rPr>
        <w:t>משפט</w:t>
      </w:r>
      <w:r w:rsidRPr="00A92438">
        <w:rPr>
          <w:rtl/>
          <w:lang w:eastAsia="en-US"/>
        </w:rPr>
        <w:t xml:space="preserve"> </w:t>
      </w:r>
      <w:r w:rsidRPr="00A92438">
        <w:rPr>
          <w:rFonts w:hint="eastAsia"/>
          <w:rtl/>
          <w:lang w:eastAsia="en-US"/>
        </w:rPr>
        <w:t>הבכורה</w:t>
      </w:r>
      <w:r>
        <w:rPr>
          <w:rFonts w:hint="cs"/>
          <w:rtl/>
          <w:lang w:eastAsia="en-US"/>
        </w:rPr>
        <w:t xml:space="preserve">" - </w:t>
      </w:r>
      <w:r w:rsidRPr="00A92438">
        <w:rPr>
          <w:rFonts w:hint="eastAsia"/>
          <w:rtl/>
          <w:lang w:eastAsia="en-US"/>
        </w:rPr>
        <w:t>שאין</w:t>
      </w:r>
      <w:r w:rsidRPr="00A92438">
        <w:rPr>
          <w:rtl/>
          <w:lang w:eastAsia="en-US"/>
        </w:rPr>
        <w:t xml:space="preserve"> </w:t>
      </w:r>
      <w:r w:rsidRPr="00A92438">
        <w:rPr>
          <w:rFonts w:hint="eastAsia"/>
          <w:rtl/>
          <w:lang w:eastAsia="en-US"/>
        </w:rPr>
        <w:t>מי</w:t>
      </w:r>
      <w:r w:rsidR="00FB6DD2">
        <w:rPr>
          <w:rFonts w:hint="cs"/>
          <w:rtl/>
          <w:lang w:eastAsia="en-US"/>
        </w:rPr>
        <w:t>י</w:t>
      </w:r>
      <w:r w:rsidRPr="00A92438">
        <w:rPr>
          <w:rFonts w:hint="eastAsia"/>
          <w:rtl/>
          <w:lang w:eastAsia="en-US"/>
        </w:rPr>
        <w:t>חסין</w:t>
      </w:r>
      <w:r w:rsidRPr="00A92438">
        <w:rPr>
          <w:rtl/>
          <w:lang w:eastAsia="en-US"/>
        </w:rPr>
        <w:t xml:space="preserve"> </w:t>
      </w:r>
      <w:r w:rsidRPr="00A92438">
        <w:rPr>
          <w:rFonts w:hint="eastAsia"/>
          <w:rtl/>
          <w:lang w:eastAsia="en-US"/>
        </w:rPr>
        <w:t>בכל</w:t>
      </w:r>
      <w:r w:rsidRPr="00A92438">
        <w:rPr>
          <w:rtl/>
          <w:lang w:eastAsia="en-US"/>
        </w:rPr>
        <w:t xml:space="preserve"> </w:t>
      </w:r>
      <w:r w:rsidRPr="00A92438">
        <w:rPr>
          <w:rFonts w:hint="eastAsia"/>
          <w:rtl/>
          <w:lang w:eastAsia="en-US"/>
        </w:rPr>
        <w:t>מקום</w:t>
      </w:r>
      <w:r w:rsidRPr="00A92438">
        <w:rPr>
          <w:rtl/>
          <w:lang w:eastAsia="en-US"/>
        </w:rPr>
        <w:t xml:space="preserve"> </w:t>
      </w:r>
      <w:r w:rsidRPr="00A92438">
        <w:rPr>
          <w:rFonts w:hint="eastAsia"/>
          <w:rtl/>
          <w:lang w:eastAsia="en-US"/>
        </w:rPr>
        <w:t>לבכורה</w:t>
      </w:r>
      <w:r w:rsidRPr="00A92438">
        <w:rPr>
          <w:rtl/>
          <w:lang w:eastAsia="en-US"/>
        </w:rPr>
        <w:t xml:space="preserve"> </w:t>
      </w:r>
      <w:r w:rsidRPr="00A92438">
        <w:rPr>
          <w:rFonts w:hint="eastAsia"/>
          <w:rtl/>
          <w:lang w:eastAsia="en-US"/>
        </w:rPr>
        <w:t>אלא</w:t>
      </w:r>
      <w:r w:rsidRPr="00A92438">
        <w:rPr>
          <w:rtl/>
          <w:lang w:eastAsia="en-US"/>
        </w:rPr>
        <w:t xml:space="preserve"> </w:t>
      </w:r>
      <w:r w:rsidRPr="00A92438">
        <w:rPr>
          <w:rFonts w:hint="eastAsia"/>
          <w:rtl/>
          <w:lang w:eastAsia="en-US"/>
        </w:rPr>
        <w:t>לראובן</w:t>
      </w:r>
      <w:r w:rsidRPr="00A92438">
        <w:rPr>
          <w:rtl/>
          <w:lang w:eastAsia="en-US"/>
        </w:rPr>
        <w:t xml:space="preserve">. </w:t>
      </w:r>
      <w:r w:rsidRPr="00A92438">
        <w:rPr>
          <w:rFonts w:hint="eastAsia"/>
          <w:rtl/>
          <w:lang w:eastAsia="en-US"/>
        </w:rPr>
        <w:t>תדע</w:t>
      </w:r>
      <w:r w:rsidRPr="00A92438">
        <w:rPr>
          <w:rtl/>
          <w:lang w:eastAsia="en-US"/>
        </w:rPr>
        <w:t xml:space="preserve"> </w:t>
      </w:r>
      <w:r w:rsidRPr="00A92438">
        <w:rPr>
          <w:rFonts w:hint="eastAsia"/>
          <w:rtl/>
          <w:lang w:eastAsia="en-US"/>
        </w:rPr>
        <w:t>לך</w:t>
      </w:r>
      <w:r w:rsidRPr="00A92438">
        <w:rPr>
          <w:rtl/>
          <w:lang w:eastAsia="en-US"/>
        </w:rPr>
        <w:t xml:space="preserve"> </w:t>
      </w:r>
      <w:r w:rsidRPr="00A92438">
        <w:rPr>
          <w:rFonts w:hint="eastAsia"/>
          <w:rtl/>
          <w:lang w:eastAsia="en-US"/>
        </w:rPr>
        <w:t>שכן</w:t>
      </w:r>
      <w:r w:rsidRPr="00A92438">
        <w:rPr>
          <w:rtl/>
          <w:lang w:eastAsia="en-US"/>
        </w:rPr>
        <w:t xml:space="preserve"> </w:t>
      </w:r>
      <w:r w:rsidRPr="00A92438">
        <w:rPr>
          <w:rFonts w:hint="eastAsia"/>
          <w:rtl/>
          <w:lang w:eastAsia="en-US"/>
        </w:rPr>
        <w:t>הוא</w:t>
      </w:r>
      <w:r w:rsidR="00FB6DD2">
        <w:rPr>
          <w:rFonts w:hint="cs"/>
          <w:rtl/>
          <w:lang w:eastAsia="en-US"/>
        </w:rPr>
        <w:t>,</w:t>
      </w:r>
      <w:r w:rsidRPr="00A92438">
        <w:rPr>
          <w:rtl/>
          <w:lang w:eastAsia="en-US"/>
        </w:rPr>
        <w:t xml:space="preserve"> </w:t>
      </w:r>
      <w:r w:rsidRPr="00A92438">
        <w:rPr>
          <w:rFonts w:hint="eastAsia"/>
          <w:rtl/>
          <w:lang w:eastAsia="en-US"/>
        </w:rPr>
        <w:t>שאף</w:t>
      </w:r>
      <w:r w:rsidRPr="00A92438">
        <w:rPr>
          <w:rtl/>
          <w:lang w:eastAsia="en-US"/>
        </w:rPr>
        <w:t xml:space="preserve"> </w:t>
      </w:r>
      <w:r w:rsidRPr="00A92438">
        <w:rPr>
          <w:rFonts w:hint="eastAsia"/>
          <w:rtl/>
          <w:lang w:eastAsia="en-US"/>
        </w:rPr>
        <w:t>בשעת</w:t>
      </w:r>
      <w:r w:rsidRPr="00A92438">
        <w:rPr>
          <w:rtl/>
          <w:lang w:eastAsia="en-US"/>
        </w:rPr>
        <w:t xml:space="preserve"> </w:t>
      </w:r>
      <w:r w:rsidRPr="00A92438">
        <w:rPr>
          <w:rFonts w:hint="eastAsia"/>
          <w:rtl/>
          <w:lang w:eastAsia="en-US"/>
        </w:rPr>
        <w:t>הקלקלה</w:t>
      </w:r>
      <w:r w:rsidRPr="00A92438">
        <w:rPr>
          <w:rtl/>
          <w:lang w:eastAsia="en-US"/>
        </w:rPr>
        <w:t xml:space="preserve"> </w:t>
      </w:r>
      <w:r w:rsidRPr="00A92438">
        <w:rPr>
          <w:rFonts w:hint="eastAsia"/>
          <w:rtl/>
          <w:lang w:eastAsia="en-US"/>
        </w:rPr>
        <w:t>ייחסו</w:t>
      </w:r>
      <w:r w:rsidRPr="00A92438">
        <w:rPr>
          <w:rtl/>
          <w:lang w:eastAsia="en-US"/>
        </w:rPr>
        <w:t xml:space="preserve"> </w:t>
      </w:r>
      <w:r w:rsidRPr="001E69A6">
        <w:rPr>
          <w:rFonts w:hint="eastAsia"/>
          <w:rtl/>
          <w:lang w:eastAsia="en-US"/>
        </w:rPr>
        <w:t>לבכור</w:t>
      </w:r>
      <w:r w:rsidRPr="001E69A6">
        <w:rPr>
          <w:rtl/>
          <w:lang w:eastAsia="en-US"/>
        </w:rPr>
        <w:t xml:space="preserve">, </w:t>
      </w:r>
      <w:r w:rsidRPr="001E69A6">
        <w:rPr>
          <w:rFonts w:hint="eastAsia"/>
          <w:rtl/>
          <w:lang w:eastAsia="en-US"/>
        </w:rPr>
        <w:t>ה</w:t>
      </w:r>
      <w:r w:rsidR="00AF30D7">
        <w:rPr>
          <w:rFonts w:hint="cs"/>
          <w:rtl/>
          <w:lang w:eastAsia="en-US"/>
        </w:rPr>
        <w:t>דא הוא דכתיב</w:t>
      </w:r>
      <w:r w:rsidRPr="001E69A6">
        <w:rPr>
          <w:rFonts w:hint="cs"/>
          <w:rtl/>
          <w:lang w:eastAsia="en-US"/>
        </w:rPr>
        <w:t>:</w:t>
      </w:r>
      <w:r w:rsidRPr="001E69A6">
        <w:rPr>
          <w:rtl/>
          <w:lang w:eastAsia="en-US"/>
        </w:rPr>
        <w:t xml:space="preserve"> </w:t>
      </w:r>
      <w:r w:rsidRPr="001E69A6">
        <w:rPr>
          <w:rFonts w:hint="cs"/>
          <w:rtl/>
          <w:lang w:eastAsia="en-US"/>
        </w:rPr>
        <w:t>"</w:t>
      </w:r>
      <w:r w:rsidRPr="001E69A6">
        <w:rPr>
          <w:rFonts w:hint="eastAsia"/>
          <w:rtl/>
          <w:lang w:eastAsia="en-US"/>
        </w:rPr>
        <w:t>בני</w:t>
      </w:r>
      <w:r w:rsidRPr="001E69A6">
        <w:rPr>
          <w:rtl/>
          <w:lang w:eastAsia="en-US"/>
        </w:rPr>
        <w:t xml:space="preserve"> </w:t>
      </w:r>
      <w:r w:rsidRPr="001E69A6">
        <w:rPr>
          <w:rFonts w:hint="eastAsia"/>
          <w:rtl/>
          <w:lang w:eastAsia="en-US"/>
        </w:rPr>
        <w:t>לאה</w:t>
      </w:r>
      <w:r w:rsidRPr="001E69A6">
        <w:rPr>
          <w:rtl/>
          <w:lang w:eastAsia="en-US"/>
        </w:rPr>
        <w:t xml:space="preserve"> </w:t>
      </w:r>
      <w:r w:rsidRPr="001E69A6">
        <w:rPr>
          <w:rFonts w:hint="eastAsia"/>
          <w:rtl/>
          <w:lang w:eastAsia="en-US"/>
        </w:rPr>
        <w:t>בכור</w:t>
      </w:r>
      <w:r w:rsidRPr="001E69A6">
        <w:rPr>
          <w:rtl/>
          <w:lang w:eastAsia="en-US"/>
        </w:rPr>
        <w:t xml:space="preserve"> </w:t>
      </w:r>
      <w:r w:rsidRPr="001E69A6">
        <w:rPr>
          <w:rFonts w:hint="eastAsia"/>
          <w:rtl/>
          <w:lang w:eastAsia="en-US"/>
        </w:rPr>
        <w:t>יעקב</w:t>
      </w:r>
      <w:r w:rsidRPr="001E69A6">
        <w:rPr>
          <w:rtl/>
          <w:lang w:eastAsia="en-US"/>
        </w:rPr>
        <w:t xml:space="preserve"> </w:t>
      </w:r>
      <w:r w:rsidRPr="001E69A6">
        <w:rPr>
          <w:rFonts w:hint="eastAsia"/>
          <w:rtl/>
          <w:lang w:eastAsia="en-US"/>
        </w:rPr>
        <w:t>ראובן</w:t>
      </w:r>
      <w:r w:rsidRPr="001E69A6">
        <w:rPr>
          <w:rFonts w:hint="cs"/>
          <w:rtl/>
          <w:lang w:eastAsia="en-US"/>
        </w:rPr>
        <w:t>" (בראשית לה כג)</w:t>
      </w:r>
      <w:r w:rsidRPr="001E69A6">
        <w:rPr>
          <w:rtl/>
          <w:lang w:eastAsia="en-US"/>
        </w:rPr>
        <w:t>.</w:t>
      </w:r>
      <w:r w:rsidRPr="001E69A6">
        <w:rPr>
          <w:rStyle w:val="a5"/>
          <w:rtl/>
          <w:lang w:eastAsia="en-US"/>
        </w:rPr>
        <w:footnoteReference w:id="13"/>
      </w:r>
    </w:p>
    <w:p w:rsidR="00FB6DD2" w:rsidRDefault="00FB6DD2" w:rsidP="00FB6DD2">
      <w:pPr>
        <w:pStyle w:val="ab"/>
        <w:rPr>
          <w:rtl/>
        </w:rPr>
      </w:pPr>
      <w:r>
        <w:rPr>
          <w:rtl/>
        </w:rPr>
        <w:t>בעל הטורים דברים פרק כא</w:t>
      </w:r>
      <w:r>
        <w:rPr>
          <w:rFonts w:hint="cs"/>
          <w:rtl/>
        </w:rPr>
        <w:t xml:space="preserve"> פסוק טו</w:t>
      </w:r>
    </w:p>
    <w:p w:rsidR="00FB6DD2" w:rsidRDefault="00FB6DD2" w:rsidP="006B6AC2">
      <w:pPr>
        <w:pStyle w:val="ac"/>
        <w:rPr>
          <w:rFonts w:hint="cs"/>
          <w:rtl/>
        </w:rPr>
      </w:pPr>
      <w:r>
        <w:rPr>
          <w:rFonts w:hint="cs"/>
          <w:rtl/>
        </w:rPr>
        <w:t>"</w:t>
      </w:r>
      <w:r>
        <w:rPr>
          <w:rtl/>
        </w:rPr>
        <w:t>והיה הבן הבכ</w:t>
      </w:r>
      <w:r w:rsidR="006B6AC2">
        <w:rPr>
          <w:rFonts w:hint="cs"/>
          <w:rtl/>
        </w:rPr>
        <w:t>ו</w:t>
      </w:r>
      <w:r>
        <w:rPr>
          <w:rtl/>
        </w:rPr>
        <w:t>ר לשניאה</w:t>
      </w:r>
      <w:r>
        <w:rPr>
          <w:rFonts w:hint="cs"/>
          <w:rtl/>
        </w:rPr>
        <w:t xml:space="preserve">" ... </w:t>
      </w:r>
      <w:r>
        <w:rPr>
          <w:rtl/>
        </w:rPr>
        <w:t>לשניאה</w:t>
      </w:r>
      <w:r w:rsidR="006B6AC2">
        <w:rPr>
          <w:rFonts w:hint="cs"/>
          <w:rtl/>
        </w:rPr>
        <w:t>,</w:t>
      </w:r>
      <w:r>
        <w:rPr>
          <w:rtl/>
        </w:rPr>
        <w:t xml:space="preserve"> אותיות לנש</w:t>
      </w:r>
      <w:r w:rsidR="00DD2CED">
        <w:rPr>
          <w:rtl/>
        </w:rPr>
        <w:t>ֻׂ</w:t>
      </w:r>
      <w:r>
        <w:rPr>
          <w:rtl/>
        </w:rPr>
        <w:t>א</w:t>
      </w:r>
      <w:r w:rsidR="006B6AC2">
        <w:rPr>
          <w:rtl/>
        </w:rPr>
        <w:t>ֵ</w:t>
      </w:r>
      <w:r>
        <w:rPr>
          <w:rtl/>
        </w:rPr>
        <w:t>יה. לומר ששנואה בנשואיה, שהם בפסולין (קידושין סח א). במדרש דורש</w:t>
      </w:r>
      <w:r>
        <w:rPr>
          <w:rFonts w:hint="cs"/>
          <w:rtl/>
        </w:rPr>
        <w:t>:</w:t>
      </w:r>
      <w:r>
        <w:rPr>
          <w:rtl/>
        </w:rPr>
        <w:t xml:space="preserve"> לאיש </w:t>
      </w:r>
      <w:r>
        <w:rPr>
          <w:rFonts w:hint="cs"/>
          <w:rtl/>
        </w:rPr>
        <w:t xml:space="preserve">- </w:t>
      </w:r>
      <w:r>
        <w:rPr>
          <w:rtl/>
        </w:rPr>
        <w:t xml:space="preserve">זה הקדוש ברוך הוא. אהובה </w:t>
      </w:r>
      <w:r>
        <w:rPr>
          <w:rFonts w:hint="cs"/>
          <w:rtl/>
        </w:rPr>
        <w:t xml:space="preserve">- </w:t>
      </w:r>
      <w:r>
        <w:rPr>
          <w:rtl/>
        </w:rPr>
        <w:t xml:space="preserve">אלו האומות שמראה להם פנים. שנואה </w:t>
      </w:r>
      <w:r>
        <w:rPr>
          <w:rFonts w:hint="cs"/>
          <w:rtl/>
        </w:rPr>
        <w:t xml:space="preserve">- </w:t>
      </w:r>
      <w:r>
        <w:rPr>
          <w:rtl/>
        </w:rPr>
        <w:t xml:space="preserve">אלו ישראל שמסתיר מהם פנים. ביום הנחילו את בניו </w:t>
      </w:r>
      <w:r>
        <w:rPr>
          <w:rFonts w:hint="cs"/>
          <w:rtl/>
        </w:rPr>
        <w:t xml:space="preserve">- </w:t>
      </w:r>
      <w:r>
        <w:rPr>
          <w:rtl/>
        </w:rPr>
        <w:t>לעתיד לב</w:t>
      </w:r>
      <w:r>
        <w:rPr>
          <w:rFonts w:hint="cs"/>
          <w:rtl/>
        </w:rPr>
        <w:t>ו</w:t>
      </w:r>
      <w:r>
        <w:rPr>
          <w:rtl/>
        </w:rPr>
        <w:t xml:space="preserve">א. לא יבכר </w:t>
      </w:r>
      <w:r>
        <w:rPr>
          <w:rFonts w:hint="cs"/>
          <w:rtl/>
        </w:rPr>
        <w:t xml:space="preserve">- </w:t>
      </w:r>
      <w:r>
        <w:rPr>
          <w:rtl/>
        </w:rPr>
        <w:t>כי אם</w:t>
      </w:r>
      <w:r>
        <w:rPr>
          <w:rFonts w:hint="cs"/>
          <w:rtl/>
        </w:rPr>
        <w:t>:</w:t>
      </w:r>
      <w:r>
        <w:rPr>
          <w:rtl/>
        </w:rPr>
        <w:t xml:space="preserve"> </w:t>
      </w:r>
      <w:r>
        <w:rPr>
          <w:rFonts w:hint="cs"/>
          <w:rtl/>
        </w:rPr>
        <w:t>"</w:t>
      </w:r>
      <w:r>
        <w:rPr>
          <w:rtl/>
        </w:rPr>
        <w:t>בני בכורי ישראל</w:t>
      </w:r>
      <w:r>
        <w:rPr>
          <w:rFonts w:hint="cs"/>
          <w:rtl/>
        </w:rPr>
        <w:t>".</w:t>
      </w:r>
      <w:r w:rsidR="006B6AC2">
        <w:rPr>
          <w:rStyle w:val="a5"/>
          <w:rtl/>
        </w:rPr>
        <w:footnoteReference w:id="14"/>
      </w:r>
    </w:p>
    <w:p w:rsidR="00FB6DD2" w:rsidRDefault="00FB6DD2" w:rsidP="006B6AC2">
      <w:pPr>
        <w:pStyle w:val="a3"/>
        <w:rPr>
          <w:rFonts w:hint="cs"/>
          <w:rtl/>
        </w:rPr>
      </w:pPr>
    </w:p>
    <w:p w:rsidR="00FB6DD2" w:rsidRDefault="00FB6DD2" w:rsidP="00AF30D7">
      <w:pPr>
        <w:pStyle w:val="ac"/>
        <w:rPr>
          <w:rFonts w:hint="cs"/>
          <w:rtl/>
        </w:rPr>
      </w:pPr>
    </w:p>
    <w:p w:rsidR="00640BD1" w:rsidRPr="00AA63E1" w:rsidRDefault="00640BD1" w:rsidP="00640BD1">
      <w:pPr>
        <w:pStyle w:val="ad"/>
        <w:spacing w:before="120" w:line="300" w:lineRule="atLeast"/>
        <w:rPr>
          <w:rFonts w:hint="cs"/>
          <w:rtl/>
        </w:rPr>
      </w:pPr>
      <w:r w:rsidRPr="00AA63E1">
        <w:rPr>
          <w:rtl/>
        </w:rPr>
        <w:t xml:space="preserve">שבת שלום </w:t>
      </w:r>
      <w:r w:rsidRPr="00AA63E1">
        <w:rPr>
          <w:rFonts w:hint="cs"/>
          <w:rtl/>
        </w:rPr>
        <w:t xml:space="preserve"> </w:t>
      </w:r>
    </w:p>
    <w:p w:rsidR="00E846A2" w:rsidRDefault="00640BD1" w:rsidP="007B25A6">
      <w:pPr>
        <w:pStyle w:val="ad"/>
        <w:spacing w:line="300" w:lineRule="atLeast"/>
        <w:rPr>
          <w:rFonts w:hint="cs"/>
          <w:rtl/>
        </w:rPr>
      </w:pPr>
      <w:r w:rsidRPr="00AA63E1">
        <w:rPr>
          <w:rtl/>
        </w:rPr>
        <w:t>מחלקי המים</w:t>
      </w:r>
    </w:p>
    <w:sectPr w:rsidR="00E846A2" w:rsidSect="003E153A">
      <w:headerReference w:type="default" r:id="rId6"/>
      <w:footerReference w:type="default" r:id="rId7"/>
      <w:headerReference w:type="first" r:id="rId8"/>
      <w:endnotePr>
        <w:numFmt w:val="lowerLetter"/>
      </w:endnotePr>
      <w:pgSz w:w="11907" w:h="16840" w:code="9"/>
      <w:pgMar w:top="1474" w:right="1361" w:bottom="1474" w:left="1361" w:header="720" w:footer="403"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32" w:rsidRDefault="00851732">
      <w:r>
        <w:separator/>
      </w:r>
    </w:p>
  </w:endnote>
  <w:endnote w:type="continuationSeparator" w:id="0">
    <w:p w:rsidR="00851732" w:rsidRDefault="0085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A6" w:rsidRPr="00F8747C" w:rsidRDefault="007B25A6"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F647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F6471">
      <w:rPr>
        <w:rStyle w:val="af0"/>
        <w:noProof/>
        <w:rtl/>
      </w:rPr>
      <w:t>4</w:t>
    </w:r>
    <w:r w:rsidRPr="00F8747C">
      <w:rPr>
        <w:rStyle w:val="af0"/>
      </w:rPr>
      <w:fldChar w:fldCharType="end"/>
    </w:r>
  </w:p>
  <w:p w:rsidR="007B25A6" w:rsidRDefault="007B25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32" w:rsidRDefault="00851732">
      <w:r>
        <w:separator/>
      </w:r>
    </w:p>
  </w:footnote>
  <w:footnote w:type="continuationSeparator" w:id="0">
    <w:p w:rsidR="00851732" w:rsidRDefault="00851732">
      <w:r>
        <w:continuationSeparator/>
      </w:r>
    </w:p>
  </w:footnote>
  <w:footnote w:id="1">
    <w:p w:rsidR="007B25A6" w:rsidRDefault="007B25A6" w:rsidP="003640FA">
      <w:pPr>
        <w:pStyle w:val="a3"/>
        <w:rPr>
          <w:rFonts w:hint="cs"/>
          <w:rtl/>
        </w:rPr>
      </w:pPr>
      <w:r>
        <w:rPr>
          <w:rStyle w:val="a5"/>
        </w:rPr>
        <w:footnoteRef/>
      </w:r>
      <w:r>
        <w:rPr>
          <w:rtl/>
        </w:rPr>
        <w:t xml:space="preserve"> מסכת אבות פרק ד </w:t>
      </w:r>
      <w:r>
        <w:rPr>
          <w:rFonts w:hint="cs"/>
          <w:rtl/>
        </w:rPr>
        <w:t xml:space="preserve"> משנה ב: "</w:t>
      </w:r>
      <w:r>
        <w:rPr>
          <w:rtl/>
        </w:rPr>
        <w:t>בן עזאי אומר</w:t>
      </w:r>
      <w:r>
        <w:rPr>
          <w:rFonts w:hint="cs"/>
          <w:rtl/>
        </w:rPr>
        <w:t>:</w:t>
      </w:r>
      <w:r>
        <w:rPr>
          <w:rtl/>
        </w:rPr>
        <w:t xml:space="preserve"> הוי רץ למצוה קלה כבחמורה ובורח מן העבירה</w:t>
      </w:r>
      <w:r>
        <w:rPr>
          <w:rFonts w:hint="cs"/>
          <w:rtl/>
        </w:rPr>
        <w:t>,</w:t>
      </w:r>
      <w:r>
        <w:rPr>
          <w:rtl/>
        </w:rPr>
        <w:t xml:space="preserve"> שמצוה גוררת מצוה ועבירה גוררת עבירה</w:t>
      </w:r>
      <w:r>
        <w:rPr>
          <w:rFonts w:hint="cs"/>
          <w:rtl/>
        </w:rPr>
        <w:t>,</w:t>
      </w:r>
      <w:r>
        <w:rPr>
          <w:rtl/>
        </w:rPr>
        <w:t xml:space="preserve"> ששכר מצוה מצוה ושכר עבירה עבירה</w:t>
      </w:r>
      <w:r>
        <w:rPr>
          <w:rFonts w:hint="cs"/>
          <w:rtl/>
        </w:rPr>
        <w:t xml:space="preserve">". ובפרשת עקב </w:t>
      </w:r>
      <w:r w:rsidR="003640FA">
        <w:rPr>
          <w:rFonts w:hint="cs"/>
          <w:rtl/>
        </w:rPr>
        <w:t xml:space="preserve">כבר </w:t>
      </w:r>
      <w:r>
        <w:rPr>
          <w:rFonts w:hint="cs"/>
          <w:rtl/>
        </w:rPr>
        <w:t xml:space="preserve">נדרשנו למשנה זו בדברינו </w:t>
      </w:r>
      <w:hyperlink r:id="rId1" w:history="1">
        <w:r w:rsidRPr="003640FA">
          <w:rPr>
            <w:rStyle w:val="Hyperlink"/>
            <w:rFonts w:hint="cs"/>
            <w:rtl/>
          </w:rPr>
          <w:t>מצווה קלה</w:t>
        </w:r>
      </w:hyperlink>
      <w:r>
        <w:rPr>
          <w:rFonts w:hint="cs"/>
          <w:rtl/>
        </w:rPr>
        <w:t>.</w:t>
      </w:r>
    </w:p>
  </w:footnote>
  <w:footnote w:id="2">
    <w:p w:rsidR="007B25A6" w:rsidRDefault="007B25A6">
      <w:pPr>
        <w:pStyle w:val="a3"/>
        <w:rPr>
          <w:rFonts w:hint="cs"/>
          <w:rtl/>
        </w:rPr>
      </w:pPr>
      <w:r>
        <w:rPr>
          <w:rStyle w:val="a5"/>
        </w:rPr>
        <w:footnoteRef/>
      </w:r>
      <w:r>
        <w:rPr>
          <w:rtl/>
        </w:rPr>
        <w:t xml:space="preserve"> </w:t>
      </w:r>
      <w:r>
        <w:rPr>
          <w:rFonts w:hint="cs"/>
          <w:rtl/>
        </w:rPr>
        <w:t>קודם שונאות (צרות) ואח"כ שנואות. האם אנחנו שומעים כאן הד קדום לאיסור של ריבוי נשים, הרבה לפני חרם רבינו גרשום?</w:t>
      </w:r>
      <w:r w:rsidR="008629F0">
        <w:rPr>
          <w:rFonts w:hint="cs"/>
          <w:rtl/>
        </w:rPr>
        <w:t xml:space="preserve"> וכבר העירו רבים וטובים שאצל חז"ל: תנאים ואמוראים, אנו שומעים בד"כ על אישה אחת: אשתו של ..., דביתהו ד..., רחל אשתו של ר' עקיבא, ברוריה אשתו של ר' מאיר, אמא שלום אשתו של ר' אליעזר, אשתו של אבא חלקיה ועוד.</w:t>
      </w:r>
    </w:p>
  </w:footnote>
  <w:footnote w:id="3">
    <w:p w:rsidR="007B25A6" w:rsidRDefault="007B25A6" w:rsidP="005C7A49">
      <w:pPr>
        <w:pStyle w:val="a3"/>
        <w:rPr>
          <w:rFonts w:hint="cs"/>
          <w:rtl/>
        </w:rPr>
      </w:pPr>
      <w:r>
        <w:rPr>
          <w:rStyle w:val="a5"/>
        </w:rPr>
        <w:footnoteRef/>
      </w:r>
      <w:r>
        <w:rPr>
          <w:rtl/>
        </w:rPr>
        <w:t xml:space="preserve"> </w:t>
      </w:r>
      <w:r>
        <w:rPr>
          <w:rFonts w:hint="cs"/>
          <w:rtl/>
        </w:rPr>
        <w:t>ראה דמויות אלה בשמואל ב פרקים טו-כ, מרד אבשלום. מדרש זה ומדרשים ופרשנים רבים מפתחים את סמיכות הפרשיות של תחילת פרשת כי תצא סביב המוטיב של עבירה גוררת עבירה ובהמשך גם ההפך, מצווה גוררת מצווה. ראה בהמשך מדרש תנחומא שם וכמו כן בקצרה ובתמצית במדרש דברים רבה ו ד שם אגב נשמט הנושא שלנו של האישה האהובה והשנואה. ראה פירוש רבינו בחיי על התורה כאן: "</w:t>
      </w:r>
      <w:r>
        <w:rPr>
          <w:rtl/>
        </w:rPr>
        <w:t>ונסמכה לפרשה זו של יפת תואר פרשת: כי תהיין לאיש שתי נשים האחת אהובה והאחת שנואה, ללמדך שאשת יפת תואר זו לא התירה התורה אלא בקושי גדול, ולא דברה תורה אלא כנגד יצר הרע, שהרי לסוף הוא שונא אותה, ואם יש לו בן ממנה יהיה בן סורר ומורה</w:t>
      </w:r>
      <w:r>
        <w:rPr>
          <w:rFonts w:hint="cs"/>
          <w:rtl/>
        </w:rPr>
        <w:t xml:space="preserve"> ... </w:t>
      </w:r>
      <w:r>
        <w:rPr>
          <w:rtl/>
        </w:rPr>
        <w:t>וכן מצינו בדוד שלקח את מעכה בתו של תלמי מלך גשור בצאתו למלחמה, יצא ממנו אבשלום שבקש להרגו, ושכב עם נשיו לעיני כל ישראל ועשה כמה מחלוקת בישראל ונהרגו על ידו אלפים ורבבות מישראל</w:t>
      </w:r>
      <w:r>
        <w:rPr>
          <w:rFonts w:hint="cs"/>
          <w:rtl/>
        </w:rPr>
        <w:t>"</w:t>
      </w:r>
      <w:r>
        <w:rPr>
          <w:rtl/>
        </w:rPr>
        <w:t xml:space="preserve">. </w:t>
      </w:r>
      <w:r>
        <w:rPr>
          <w:rFonts w:hint="cs"/>
          <w:rtl/>
        </w:rPr>
        <w:t xml:space="preserve">ראה גם </w:t>
      </w:r>
      <w:r>
        <w:rPr>
          <w:rtl/>
        </w:rPr>
        <w:t>ספורנו דברים כא טו</w:t>
      </w:r>
      <w:r>
        <w:rPr>
          <w:rFonts w:hint="cs"/>
          <w:rtl/>
        </w:rPr>
        <w:t xml:space="preserve"> שמתאר את ההשתלשלות הפרשיות אך באופן נייטרלי יותר: "</w:t>
      </w:r>
      <w:r>
        <w:rPr>
          <w:rtl/>
        </w:rPr>
        <w:t>כי תהיינה לאיש שתי נשים. אחר נ</w:t>
      </w:r>
      <w:r>
        <w:rPr>
          <w:rFonts w:hint="cs"/>
          <w:rtl/>
        </w:rPr>
        <w:t>י</w:t>
      </w:r>
      <w:r>
        <w:rPr>
          <w:rtl/>
        </w:rPr>
        <w:t>צחון המלחמה</w:t>
      </w:r>
      <w:r>
        <w:rPr>
          <w:rFonts w:hint="cs"/>
          <w:rtl/>
        </w:rPr>
        <w:t>,</w:t>
      </w:r>
      <w:r>
        <w:rPr>
          <w:rtl/>
        </w:rPr>
        <w:t xml:space="preserve"> ד</w:t>
      </w:r>
      <w:r>
        <w:rPr>
          <w:rFonts w:hint="cs"/>
          <w:rtl/>
        </w:rPr>
        <w:t>י</w:t>
      </w:r>
      <w:r>
        <w:rPr>
          <w:rtl/>
        </w:rPr>
        <w:t>בר בעניני בני המדינה והם עסקי הנשים והבנים והמקנה והתכשיטים והציד והבנין ועבודת האדמה והמלבוש</w:t>
      </w:r>
      <w:r>
        <w:rPr>
          <w:rFonts w:hint="cs"/>
          <w:rtl/>
        </w:rPr>
        <w:t>". אבל עדיין כל פרשה נדרשת בפני עצמה ואנחנו מבקשים להידרש לפרשת האישה האהובה והאישה השנואה כשלעצמה</w:t>
      </w:r>
      <w:r w:rsidR="00696484">
        <w:rPr>
          <w:rFonts w:hint="cs"/>
          <w:rtl/>
        </w:rPr>
        <w:t>;</w:t>
      </w:r>
      <w:r>
        <w:rPr>
          <w:rFonts w:hint="cs"/>
          <w:rtl/>
        </w:rPr>
        <w:t xml:space="preserve"> ואם כבר נחבר אותה, נעשה זאת בקפיצה גדולה ורחוקה בהרבה (או שמא קרובה למדי), בחיבור לפרשת האישה האהובה והא</w:t>
      </w:r>
      <w:r w:rsidR="00696484">
        <w:rPr>
          <w:rFonts w:hint="cs"/>
          <w:rtl/>
        </w:rPr>
        <w:t>י</w:t>
      </w:r>
      <w:r>
        <w:rPr>
          <w:rFonts w:hint="cs"/>
          <w:rtl/>
        </w:rPr>
        <w:t>שה השנואה שבספר בראשית.</w:t>
      </w:r>
    </w:p>
  </w:footnote>
  <w:footnote w:id="4">
    <w:p w:rsidR="007B25A6" w:rsidRDefault="007B25A6" w:rsidP="00696484">
      <w:pPr>
        <w:pStyle w:val="a3"/>
        <w:rPr>
          <w:rFonts w:hint="cs"/>
        </w:rPr>
      </w:pPr>
      <w:r>
        <w:rPr>
          <w:rStyle w:val="a5"/>
        </w:rPr>
        <w:footnoteRef/>
      </w:r>
      <w:r>
        <w:rPr>
          <w:rtl/>
        </w:rPr>
        <w:t xml:space="preserve"> </w:t>
      </w:r>
      <w:r>
        <w:rPr>
          <w:rFonts w:hint="cs"/>
          <w:rtl/>
        </w:rPr>
        <w:t xml:space="preserve">היינו שיש הוויה בנישואין והם שרירים וקיימים. ראה מקבילה בגמרא </w:t>
      </w:r>
      <w:r>
        <w:rPr>
          <w:rtl/>
        </w:rPr>
        <w:t>קידושין סח ע</w:t>
      </w:r>
      <w:r>
        <w:rPr>
          <w:rFonts w:hint="cs"/>
          <w:rtl/>
        </w:rPr>
        <w:t>"א. הדיון ההלכתי בגמרות אלה, הוא האם קידושין של איסור, איסור לאו כמו גרושה לכהן או אפילו איסור חמור יותר של עריות שהוא בכרת, תופסים או לא לגבי יחסי אחים (לירושה ולעריות) ועוד, והתשובה היא שכן. (ראה במקבילה בקידושין את שיטתו המחמירה עד מאד של ר' עקיבא שלעולם אין הקידושין תופסים והצאצאים ממזרים, עד שצווחו עליו שאר חכמי ישראל). אותנו מעניין יותר החלק בדרשתו של רב פפא השואל: "</w:t>
      </w:r>
      <w:r>
        <w:rPr>
          <w:rtl/>
        </w:rPr>
        <w:t>וכי יש שנואה לפני המקום ואהובה לפני המקום?</w:t>
      </w:r>
      <w:r>
        <w:rPr>
          <w:rFonts w:hint="cs"/>
          <w:rtl/>
        </w:rPr>
        <w:t>". מה פירוש שאלה זו? וכי התורה וחז"ל לא מכירים מצב שבו אכן אדם אוהב את אשתו האחת יותר מרעותה? רחל ולאה, חנה ופנינה ומן הסתם אצל חכמים עצמם (ראה הסיפורים על אשתו של ר' יוסי הגלילי למשל)! מפרש רש"י בגמרא יבמות: "</w:t>
      </w:r>
      <w:r>
        <w:rPr>
          <w:rtl/>
        </w:rPr>
        <w:t>צורך היה לו להזכיר שאם זה היה אוהב את זו ושונא את זו</w:t>
      </w:r>
      <w:r>
        <w:rPr>
          <w:rFonts w:hint="cs"/>
          <w:rtl/>
        </w:rPr>
        <w:t>,</w:t>
      </w:r>
      <w:r>
        <w:rPr>
          <w:rtl/>
        </w:rPr>
        <w:t xml:space="preserve"> אין הבכורה משתנה בכך</w:t>
      </w:r>
      <w:r>
        <w:rPr>
          <w:rFonts w:hint="cs"/>
          <w:rtl/>
        </w:rPr>
        <w:t>?</w:t>
      </w:r>
      <w:r>
        <w:rPr>
          <w:rtl/>
        </w:rPr>
        <w:t xml:space="preserve"> פשיטא שאם זה שונאה אין המקום שונאה</w:t>
      </w:r>
      <w:r>
        <w:rPr>
          <w:rFonts w:hint="cs"/>
          <w:rtl/>
        </w:rPr>
        <w:t>!" וכן פירושו במקבילה בגמרא קידושין בלשון ברורה עוד יותר: "</w:t>
      </w:r>
      <w:r>
        <w:rPr>
          <w:rtl/>
        </w:rPr>
        <w:t>וכי אהבתו או שנאתו של בעל חשובה לפני המקום לשנות דין הנחלה בשבילה</w:t>
      </w:r>
      <w:r>
        <w:rPr>
          <w:rFonts w:hint="cs"/>
          <w:rtl/>
        </w:rPr>
        <w:t>,</w:t>
      </w:r>
      <w:r>
        <w:rPr>
          <w:rtl/>
        </w:rPr>
        <w:t xml:space="preserve"> שהוצרך הכתוב לכתוב לא יוכל לבכר את בן האהובה</w:t>
      </w:r>
      <w:r>
        <w:rPr>
          <w:rFonts w:hint="cs"/>
          <w:rtl/>
        </w:rPr>
        <w:t>?</w:t>
      </w:r>
      <w:r>
        <w:rPr>
          <w:rtl/>
        </w:rPr>
        <w:t xml:space="preserve"> לא הוה ליה למיכתב אלא</w:t>
      </w:r>
      <w:r>
        <w:rPr>
          <w:rFonts w:hint="cs"/>
          <w:rtl/>
        </w:rPr>
        <w:t>:</w:t>
      </w:r>
      <w:r>
        <w:rPr>
          <w:rtl/>
        </w:rPr>
        <w:t xml:space="preserve"> כי את הבכור יכיר</w:t>
      </w:r>
      <w:r>
        <w:rPr>
          <w:rFonts w:hint="cs"/>
          <w:rtl/>
        </w:rPr>
        <w:t>,</w:t>
      </w:r>
      <w:r>
        <w:rPr>
          <w:rtl/>
        </w:rPr>
        <w:t xml:space="preserve"> ואנא ידענא</w:t>
      </w:r>
      <w:r>
        <w:rPr>
          <w:rFonts w:hint="cs"/>
          <w:rtl/>
        </w:rPr>
        <w:t>,</w:t>
      </w:r>
      <w:r>
        <w:rPr>
          <w:rtl/>
        </w:rPr>
        <w:t xml:space="preserve"> לא שְׁנָא אמו אהובה ולא שְׁנָא אמו שנואה</w:t>
      </w:r>
      <w:r>
        <w:rPr>
          <w:rFonts w:hint="cs"/>
          <w:rtl/>
        </w:rPr>
        <w:t>". ודאי שיש מציאות שאדם אוהב אדם אחר על פני זולתו, כולל ביחסי אישות. הרי לנו בפרשתנו אנו: "</w:t>
      </w:r>
      <w:r>
        <w:rPr>
          <w:rtl/>
        </w:rPr>
        <w:t>כִּי יִקַּח אִישׁ אִשָּׁה וּבָא אֵלֶיהָ וּשְׂנֵאָהּ</w:t>
      </w:r>
      <w:r>
        <w:rPr>
          <w:rFonts w:hint="cs"/>
          <w:rtl/>
        </w:rPr>
        <w:t>" (כב יג, ראה דברי רמב"ן שם) וכן בדין גט: "</w:t>
      </w:r>
      <w:r>
        <w:rPr>
          <w:rtl/>
        </w:rPr>
        <w:t>וּשְׂנֵאָהּ הָאִישׁ הָאַחֲרוֹן וְכָתַב לָהּ סֵפֶר כְּרִיתֻת</w:t>
      </w:r>
      <w:r>
        <w:rPr>
          <w:rFonts w:hint="cs"/>
          <w:rtl/>
        </w:rPr>
        <w:t>" (כד ג).</w:t>
      </w:r>
      <w:r>
        <w:rPr>
          <w:rtl/>
        </w:rPr>
        <w:t xml:space="preserve"> </w:t>
      </w:r>
      <w:r>
        <w:rPr>
          <w:rFonts w:hint="cs"/>
          <w:rtl/>
        </w:rPr>
        <w:t>אבל לדין התורה בכלל, דין ירושת בכור בפרט, אין זה מעלה או מוריד! ואם כך, מקבל החלק השני של דברי רב פפא: "</w:t>
      </w:r>
      <w:r>
        <w:rPr>
          <w:rtl/>
        </w:rPr>
        <w:t>אלא אהובה - אהובה בנישואיה, שנואה - שנוא</w:t>
      </w:r>
      <w:r>
        <w:rPr>
          <w:rFonts w:hint="cs"/>
          <w:rtl/>
        </w:rPr>
        <w:t>ה</w:t>
      </w:r>
      <w:r>
        <w:rPr>
          <w:rtl/>
        </w:rPr>
        <w:t xml:space="preserve"> בנישואיה</w:t>
      </w:r>
      <w:r>
        <w:rPr>
          <w:rFonts w:hint="cs"/>
          <w:rtl/>
        </w:rPr>
        <w:t xml:space="preserve">" משמעות חשובה. נכון שאחת מהנשים היא "שנואה במעשיה", היינו יש עבירה או פסול הלכתיים בנישואין שלה, כגון אשת יפת תואר או גרושה לכהן או אפילו איסור </w:t>
      </w:r>
      <w:r w:rsidR="00696484">
        <w:rPr>
          <w:rFonts w:hint="cs"/>
          <w:rtl/>
        </w:rPr>
        <w:t>ו</w:t>
      </w:r>
      <w:r>
        <w:rPr>
          <w:rFonts w:hint="cs"/>
          <w:rtl/>
        </w:rPr>
        <w:t>ערווה שבכרת; נכון שיש כאן עבירה לפני המקום. אבל הבן לא יסבול בשל כך! זה החידוש החשוב שחידשה התורה בפרשת האישה האהובה והאישה השנואה</w:t>
      </w:r>
      <w:r w:rsidR="00696484">
        <w:rPr>
          <w:rFonts w:hint="cs"/>
          <w:rtl/>
        </w:rPr>
        <w:t xml:space="preserve"> הוא: </w:t>
      </w:r>
      <w:r>
        <w:rPr>
          <w:rFonts w:hint="cs"/>
          <w:rtl/>
        </w:rPr>
        <w:t xml:space="preserve">אבות </w:t>
      </w:r>
      <w:r w:rsidR="00696484">
        <w:rPr>
          <w:rFonts w:hint="cs"/>
          <w:rtl/>
        </w:rPr>
        <w:t>ואימהו</w:t>
      </w:r>
      <w:r w:rsidR="00696484">
        <w:rPr>
          <w:rFonts w:hint="eastAsia"/>
          <w:rtl/>
        </w:rPr>
        <w:t>ת</w:t>
      </w:r>
      <w:r>
        <w:rPr>
          <w:rFonts w:hint="cs"/>
          <w:rtl/>
        </w:rPr>
        <w:t xml:space="preserve"> אכלו בוסר ושיני בנים לא תכ</w:t>
      </w:r>
      <w:r w:rsidR="00696484">
        <w:rPr>
          <w:rFonts w:hint="cs"/>
          <w:rtl/>
        </w:rPr>
        <w:t>ווי</w:t>
      </w:r>
      <w:r>
        <w:rPr>
          <w:rFonts w:hint="cs"/>
          <w:rtl/>
        </w:rPr>
        <w:t>נה ולא תפגענה.</w:t>
      </w:r>
    </w:p>
  </w:footnote>
  <w:footnote w:id="5">
    <w:p w:rsidR="007B25A6" w:rsidRDefault="007B25A6" w:rsidP="005C7A49">
      <w:pPr>
        <w:pStyle w:val="a3"/>
        <w:rPr>
          <w:rFonts w:hint="cs"/>
        </w:rPr>
      </w:pPr>
      <w:r>
        <w:rPr>
          <w:rStyle w:val="a5"/>
        </w:rPr>
        <w:footnoteRef/>
      </w:r>
      <w:r>
        <w:rPr>
          <w:rtl/>
        </w:rPr>
        <w:t xml:space="preserve"> </w:t>
      </w:r>
      <w:r>
        <w:rPr>
          <w:rFonts w:hint="cs"/>
          <w:rtl/>
        </w:rPr>
        <w:t>תוספות ממשיך את הקו של רש"י והגמרא. לכאורה הוא אומר, יכולנו לומר ש"אהובה" ו"שנואה</w:t>
      </w:r>
      <w:r>
        <w:t>"</w:t>
      </w:r>
      <w:r>
        <w:rPr>
          <w:rFonts w:hint="cs"/>
          <w:rtl/>
        </w:rPr>
        <w:t xml:space="preserve"> היא אישה צדקת במעשיה או רשעה. והאב מעדיף לתת את חלק הבכורה לבן הבכור של האשה ההגונה ולא של המקולקלת במעשיה. התשובה: גם על מקרה זה, לא הייתה התורה לטרוח ולכתוב את הדין שלנו. פשיטא לנו וברור לכל שאין לקפח את הבן בשל מעשי אימו (למרות שהיא בד"כ המחנכת), עדיין הוא בנו בכורו של האב! האם אנחנו שומעים ברקע שאם הבן עצמו סרח, אם הבן הוא צדיק או רשע, יכול האב להעדיף ולשנות את מעמד הבכור. האם מכאן נוכל למצוא קשר לסיפורי ספר בראשית?</w:t>
      </w:r>
    </w:p>
  </w:footnote>
  <w:footnote w:id="6">
    <w:p w:rsidR="007B25A6" w:rsidRDefault="007B25A6" w:rsidP="00D068D8">
      <w:pPr>
        <w:pStyle w:val="a3"/>
        <w:rPr>
          <w:rFonts w:hint="cs"/>
          <w:rtl/>
        </w:rPr>
      </w:pPr>
      <w:r>
        <w:rPr>
          <w:rStyle w:val="a5"/>
        </w:rPr>
        <w:footnoteRef/>
      </w:r>
      <w:r>
        <w:rPr>
          <w:rtl/>
        </w:rPr>
        <w:t xml:space="preserve"> </w:t>
      </w:r>
      <w:r>
        <w:rPr>
          <w:rFonts w:hint="cs"/>
          <w:rtl/>
        </w:rPr>
        <w:t>היינו שיש מספר נשים אהובות ומספר שנואות והוא רוצה להעביר משנואה שלה הבן הבכור לאחת מהאהובות. אין כאן קנאה ישירה שלאחת מול אחת. ולהלן נראה למה דיון זה חשוב.</w:t>
      </w:r>
    </w:p>
  </w:footnote>
  <w:footnote w:id="7">
    <w:p w:rsidR="007B25A6" w:rsidRDefault="007B25A6" w:rsidP="005C7A49">
      <w:pPr>
        <w:pStyle w:val="a3"/>
        <w:rPr>
          <w:rFonts w:hint="cs"/>
        </w:rPr>
      </w:pPr>
      <w:r>
        <w:rPr>
          <w:rStyle w:val="a5"/>
        </w:rPr>
        <w:footnoteRef/>
      </w:r>
      <w:r>
        <w:rPr>
          <w:rtl/>
        </w:rPr>
        <w:t xml:space="preserve"> </w:t>
      </w:r>
      <w:r>
        <w:rPr>
          <w:rFonts w:hint="cs"/>
          <w:rtl/>
        </w:rPr>
        <w:t>כולן אהובות או כולן שנואות (זה סופו של מרבה נשים, ראה מדרש תנחומא בו פתחנו: "</w:t>
      </w:r>
      <w:r>
        <w:rPr>
          <w:rtl/>
        </w:rPr>
        <w:t>שתי נשים בבית</w:t>
      </w:r>
      <w:r>
        <w:rPr>
          <w:rFonts w:hint="cs"/>
          <w:rtl/>
        </w:rPr>
        <w:t xml:space="preserve"> - </w:t>
      </w:r>
      <w:r>
        <w:rPr>
          <w:rtl/>
        </w:rPr>
        <w:t>מריבה בבית</w:t>
      </w:r>
      <w:r>
        <w:rPr>
          <w:rFonts w:hint="cs"/>
          <w:rtl/>
        </w:rPr>
        <w:t>.</w:t>
      </w:r>
      <w:r>
        <w:rPr>
          <w:rtl/>
        </w:rPr>
        <w:t xml:space="preserve"> ועוד האחת אהובה, והאחת שנואה, או שתיהן שנואות</w:t>
      </w:r>
      <w:r>
        <w:rPr>
          <w:rFonts w:hint="cs"/>
          <w:rtl/>
        </w:rPr>
        <w:t xml:space="preserve">"). אך יש אהובות יותר ויש שנואות פחות, יש מדרג אהבה או שנאה והוא רוצה להעביר לאהובה ביותר - "האהובה", או לשנואה פחות מכולן (לקחת מ"השנואה") </w:t>
      </w:r>
      <w:r>
        <w:rPr>
          <w:rtl/>
        </w:rPr>
        <w:t>–</w:t>
      </w:r>
      <w:r>
        <w:rPr>
          <w:rFonts w:hint="cs"/>
          <w:rtl/>
        </w:rPr>
        <w:t xml:space="preserve"> אינו יכול. מדרג זה מביא אותנו לפירושו של רד"ק בראשית כט לא, על לאה שהייתה שנואה, אשר משליך על פרשתנו: "</w:t>
      </w:r>
      <w:r>
        <w:rPr>
          <w:rtl/>
        </w:rPr>
        <w:t>וירא ה' כי שנואה לאה - לא היה יעקב שונא אותה, אבל היה אוהב אותה, אלא לפי שהיה אוהב את רחל יותר מלאה קרא לאה שנואה, כלומר כנגד אהבתה של רחל היתה שנואה, וכן האחת אהובה והאחת שנואה (דברים כא טו)</w:t>
      </w:r>
      <w:r>
        <w:rPr>
          <w:rFonts w:hint="cs"/>
          <w:rtl/>
        </w:rPr>
        <w:t>". וכן הוא ברמב"ן בבראשית שם. אנחנו הולכים ומתקרבים לסיפור רחל ולאה.</w:t>
      </w:r>
    </w:p>
  </w:footnote>
  <w:footnote w:id="8">
    <w:p w:rsidR="007B25A6" w:rsidRDefault="007B25A6" w:rsidP="00D846EC">
      <w:pPr>
        <w:pStyle w:val="a3"/>
        <w:rPr>
          <w:rFonts w:hint="cs"/>
          <w:rtl/>
        </w:rPr>
      </w:pPr>
      <w:r>
        <w:rPr>
          <w:rStyle w:val="a5"/>
        </w:rPr>
        <w:footnoteRef/>
      </w:r>
      <w:r>
        <w:rPr>
          <w:rtl/>
        </w:rPr>
        <w:t xml:space="preserve"> </w:t>
      </w:r>
      <w:r>
        <w:rPr>
          <w:rFonts w:hint="cs"/>
          <w:rtl/>
        </w:rPr>
        <w:t>כאן צריך לומר שהוא רוצה להעביר בין הבנים של אשתו האחת, להעדיף בן שאינו בכור, לא לאביו וגם לא לאמו. וגם זה כמובן (פשיטא) שאינו יכול. ולא הבאנו ספרי זה אלא להראות שהוא חולק על דברי הגמרא לעיל שאהובה ושנואה הם עניין הלכתי של פגם בנישואין ועבירה. כפשוטו, ספרי זה מדבר על יחסי אהבה שנאה אנושיים פשוטים. בכיוון זה הולך גם אבן עזרא בפרשתנו שאינו מהסס לחלוק על הגמרא ביבמות\קידושין, ומאידך, כלל לא ברור שהכיר את הספרי, וזה לשונו: "</w:t>
      </w:r>
      <w:r>
        <w:rPr>
          <w:rtl/>
        </w:rPr>
        <w:t>אהובה - בעיניו. ולא ל</w:t>
      </w:r>
      <w:r>
        <w:rPr>
          <w:rFonts w:hint="cs"/>
          <w:rtl/>
        </w:rPr>
        <w:t>ה'</w:t>
      </w:r>
      <w:r>
        <w:rPr>
          <w:rtl/>
        </w:rPr>
        <w:t>. לשניאה - ת</w:t>
      </w:r>
      <w:r>
        <w:rPr>
          <w:rFonts w:hint="cs"/>
          <w:rtl/>
        </w:rPr>
        <w:t>ו</w:t>
      </w:r>
      <w:r>
        <w:rPr>
          <w:rtl/>
        </w:rPr>
        <w:t>אר השם. ונסמכה זו הפרשה בעבור וחשקת (יא) בה ולא חפצת בה (יד)</w:t>
      </w:r>
      <w:r>
        <w:rPr>
          <w:rFonts w:hint="cs"/>
          <w:rtl/>
        </w:rPr>
        <w:t xml:space="preserve">". וכן משמע ממדרש </w:t>
      </w:r>
      <w:r>
        <w:rPr>
          <w:rtl/>
        </w:rPr>
        <w:t xml:space="preserve">אליהו זוטא (איש שלום) פרשה ג </w:t>
      </w:r>
      <w:r>
        <w:rPr>
          <w:rFonts w:hint="cs"/>
          <w:rtl/>
        </w:rPr>
        <w:t xml:space="preserve">שמתאר בדומה למדרש תנחומא בו פתחנו את שרשרת העבירות מאשת יפת תאר ואילך: " ... </w:t>
      </w:r>
      <w:r>
        <w:rPr>
          <w:rtl/>
        </w:rPr>
        <w:t>מתוך שנושא אשה אחרת הוא אוהב האחת ושונא האחת, שנאמר</w:t>
      </w:r>
      <w:r>
        <w:rPr>
          <w:rFonts w:hint="cs"/>
          <w:rtl/>
        </w:rPr>
        <w:t>:</w:t>
      </w:r>
      <w:r>
        <w:rPr>
          <w:rtl/>
        </w:rPr>
        <w:t xml:space="preserve"> האחת אהובה והאחת שנואה (דברים כא)</w:t>
      </w:r>
      <w:r>
        <w:rPr>
          <w:rFonts w:hint="cs"/>
          <w:rtl/>
        </w:rPr>
        <w:t>". ואם מדובר בגלגול העניין של אשת יפת תואר, אפשר לשאול על שיטות אלה מי היא האהובה ומי היא השנואה? אשת יפת התואר היא האהובה ("חשקת בה, יפת תואר, "הגויתה") ובת ישראל, אשתו לפני שיצא למלחמה היא השנואה? לפסיקתא זוטרתא בפרשתנו ברור שזה ההפך: "וזו מישראל בא לאהוב אותה".</w:t>
      </w:r>
    </w:p>
  </w:footnote>
  <w:footnote w:id="9">
    <w:p w:rsidR="007B25A6" w:rsidRDefault="007B25A6" w:rsidP="005C7A49">
      <w:pPr>
        <w:pStyle w:val="a3"/>
        <w:rPr>
          <w:rFonts w:hint="cs"/>
          <w:rtl/>
        </w:rPr>
      </w:pPr>
      <w:r>
        <w:rPr>
          <w:rStyle w:val="a5"/>
        </w:rPr>
        <w:footnoteRef/>
      </w:r>
      <w:r>
        <w:rPr>
          <w:rtl/>
        </w:rPr>
        <w:t xml:space="preserve"> </w:t>
      </w:r>
      <w:r>
        <w:rPr>
          <w:rFonts w:hint="cs"/>
          <w:rtl/>
        </w:rPr>
        <w:t>אין זה מקרי, אומר אור החיים, שהשנואה מביאה בנים קודם. וכמו כן מפרש אברבנאל ומקרב אותנו עוד צעד לסיפור רחל ולאה: "</w:t>
      </w:r>
      <w:r>
        <w:rPr>
          <w:rtl/>
        </w:rPr>
        <w:t>וגלתה לנו התורה האלהית בזה</w:t>
      </w:r>
      <w:r>
        <w:rPr>
          <w:rFonts w:hint="cs"/>
          <w:rtl/>
        </w:rPr>
        <w:t>,</w:t>
      </w:r>
      <w:r>
        <w:rPr>
          <w:rtl/>
        </w:rPr>
        <w:t xml:space="preserve"> שגם כן</w:t>
      </w:r>
      <w:r>
        <w:rPr>
          <w:rFonts w:hint="cs"/>
          <w:rtl/>
        </w:rPr>
        <w:t>,</w:t>
      </w:r>
      <w:r>
        <w:rPr>
          <w:rtl/>
        </w:rPr>
        <w:t xml:space="preserve"> כאשר תהיין לאיש שתי נשים שתמיד יהיה הבן הבכור לשניאה</w:t>
      </w:r>
      <w:r>
        <w:rPr>
          <w:rFonts w:hint="cs"/>
          <w:rtl/>
        </w:rPr>
        <w:t>.</w:t>
      </w:r>
      <w:r>
        <w:rPr>
          <w:rtl/>
        </w:rPr>
        <w:t xml:space="preserve"> כי ההשגחה האלהית תביט תמיד אל השנואה ויתן לה הבכור כמו שאמר (פ' ויצא) וירא ה' כי שנואה לאה ויפתח את רחמה</w:t>
      </w:r>
      <w:r>
        <w:rPr>
          <w:rFonts w:hint="cs"/>
          <w:rtl/>
        </w:rPr>
        <w:t>". ואולי כי היא פשוט האשה הראשונה, אשת הנעורים (ראה גיטין צ ע"ב) שאח"כ כשזקנה לקח בעלה לו אשה צעירה. כך או כך, נראה שגם פרשנים אלה מצטרפים לספרי ולאבן עזרא שאהובה ושנואה הוא כפשוטו, מדובר ברגשות בני אדם וכפסוקים בהמשך התורה במוציא שם רע ובגט (הבאנו בהערה 4 לעיל). לצד כל זאת, הראינו שדווקא דרשת רב פפא בגמרא יבמות וקידושין שלכאורה מפקיעה את הפסוק מפשוטו, מעצימה מאד את אי היכולת של האב להתכחש לבנו בכורו, לא רק עקב סיבות רגשיות הקשורות ביחסיו עם נשותיו \ אמהות ילדיו, אלא גם אם יבוא לכאורה מכוח ההלכה ויאמר שאמו של זה היא "שנואה לפני המקום" או "רשעה" כדברי התוספות לעיל, גם אז אין הוא יכול לקפח את בנו בכורו. ושוב כדברי אברבנאל כאן: "</w:t>
      </w:r>
      <w:r>
        <w:rPr>
          <w:rtl/>
        </w:rPr>
        <w:t>שיחשוב חושב שיהיה הרשות ביד האדם לתת מממונו למי שירצה מהם ולא יתן קנינו לאשר שנאה נפשו</w:t>
      </w:r>
      <w:r>
        <w:rPr>
          <w:rFonts w:hint="cs"/>
          <w:rtl/>
        </w:rPr>
        <w:t>.</w:t>
      </w:r>
      <w:r>
        <w:rPr>
          <w:rtl/>
        </w:rPr>
        <w:t xml:space="preserve"> לכן הודיעו שלא יוכל כפי הדין ולא יהיה רשאי לבכר את בן האהובה על פני בן השנואה הבכור. אבל את הבכור בן השנואה יכיר לתת לו פי שנים רוצה לומר שיכיר אותו ויודה שהוא בכור</w:t>
      </w:r>
      <w:r>
        <w:rPr>
          <w:rFonts w:hint="cs"/>
          <w:rtl/>
        </w:rPr>
        <w:t>"</w:t>
      </w:r>
      <w:r>
        <w:rPr>
          <w:rtl/>
        </w:rPr>
        <w:t>.</w:t>
      </w:r>
    </w:p>
  </w:footnote>
  <w:footnote w:id="10">
    <w:p w:rsidR="007B25A6" w:rsidRDefault="007B25A6" w:rsidP="009E5B64">
      <w:pPr>
        <w:pStyle w:val="a3"/>
        <w:rPr>
          <w:rFonts w:hint="cs"/>
        </w:rPr>
      </w:pPr>
      <w:r>
        <w:rPr>
          <w:rStyle w:val="a5"/>
        </w:rPr>
        <w:footnoteRef/>
      </w:r>
      <w:r>
        <w:rPr>
          <w:rtl/>
        </w:rPr>
        <w:t xml:space="preserve"> </w:t>
      </w:r>
      <w:r>
        <w:rPr>
          <w:rFonts w:hint="cs"/>
          <w:rtl/>
        </w:rPr>
        <w:t xml:space="preserve">ראה </w:t>
      </w:r>
      <w:r>
        <w:rPr>
          <w:rtl/>
        </w:rPr>
        <w:t>מסכת בבא בתרא פרק ח משנה</w:t>
      </w:r>
      <w:r>
        <w:rPr>
          <w:rFonts w:hint="cs"/>
          <w:rtl/>
        </w:rPr>
        <w:t xml:space="preserve"> ה: "</w:t>
      </w:r>
      <w:r>
        <w:rPr>
          <w:rtl/>
        </w:rPr>
        <w:t>הכותב את נכסיו לאחרים והניח את בניו</w:t>
      </w:r>
      <w:r>
        <w:rPr>
          <w:rFonts w:hint="cs"/>
          <w:rtl/>
        </w:rPr>
        <w:t>,</w:t>
      </w:r>
      <w:r>
        <w:rPr>
          <w:rtl/>
        </w:rPr>
        <w:t xml:space="preserve"> מה שעשה עשוי</w:t>
      </w:r>
      <w:r>
        <w:rPr>
          <w:rFonts w:hint="cs"/>
          <w:rtl/>
        </w:rPr>
        <w:t>,</w:t>
      </w:r>
      <w:r>
        <w:rPr>
          <w:rtl/>
        </w:rPr>
        <w:t xml:space="preserve"> אבל אין רוח חכמים נוחה הימנו</w:t>
      </w:r>
      <w:r>
        <w:rPr>
          <w:rFonts w:hint="cs"/>
          <w:rtl/>
        </w:rPr>
        <w:t>.</w:t>
      </w:r>
      <w:r>
        <w:rPr>
          <w:rtl/>
        </w:rPr>
        <w:t xml:space="preserve"> רבן שמעון בן גמליאל אומר</w:t>
      </w:r>
      <w:r>
        <w:rPr>
          <w:rFonts w:hint="cs"/>
          <w:rtl/>
        </w:rPr>
        <w:t>:</w:t>
      </w:r>
      <w:r>
        <w:rPr>
          <w:rtl/>
        </w:rPr>
        <w:t xml:space="preserve"> אם לא היו בניו נוהגין כשורה </w:t>
      </w:r>
      <w:r>
        <w:rPr>
          <w:rFonts w:hint="cs"/>
          <w:rtl/>
        </w:rPr>
        <w:t xml:space="preserve">- </w:t>
      </w:r>
      <w:r>
        <w:rPr>
          <w:rtl/>
        </w:rPr>
        <w:t>זכור לטוב</w:t>
      </w:r>
      <w:r>
        <w:rPr>
          <w:rFonts w:hint="cs"/>
          <w:rtl/>
        </w:rPr>
        <w:t>". ובגמרא שם (קלג ע"ב) הסיפור על יוסי בן יועזר איש צרידה (מאנשי הכנסת הגדולה, מחכמי הזוגות הראשונים) שהיה לו בן שלא נהג כשורה ולפיכך הקדיש את כל נכסיו למקדש והדיר אותו מהם (ובכל זאת חזרו הנכסים לבן בדרך פלא) וכן הסיפור על אדם אחד שלא היו בניו נוהגים כשורה וכתב את כל נכסיו ליונתן בן עוזיאל וזה, בדרך עקיפה, החזיר שליש לבנים. ושם מדובר בנישול הבנים לגמרי ואילו כאן, בהעברת זכויות הבכורה לבן אחר.</w:t>
      </w:r>
    </w:p>
  </w:footnote>
  <w:footnote w:id="11">
    <w:p w:rsidR="007B25A6" w:rsidRDefault="007B25A6" w:rsidP="009E5B64">
      <w:pPr>
        <w:pStyle w:val="a3"/>
        <w:rPr>
          <w:rFonts w:hint="cs"/>
          <w:rtl/>
        </w:rPr>
      </w:pPr>
      <w:r>
        <w:rPr>
          <w:rStyle w:val="a5"/>
        </w:rPr>
        <w:footnoteRef/>
      </w:r>
      <w:r>
        <w:rPr>
          <w:rtl/>
        </w:rPr>
        <w:t xml:space="preserve"> </w:t>
      </w:r>
      <w:r>
        <w:rPr>
          <w:rFonts w:hint="cs"/>
          <w:rtl/>
        </w:rPr>
        <w:t>ראה הפסוקים בתחילת פרק ה בדברי הימים א המוקדש לשבט ראובן (לאחר ששבט יהודה (ושבט שמעון הנספח לו) כבר התייחסו שם: "</w:t>
      </w:r>
      <w:r>
        <w:rPr>
          <w:rtl/>
        </w:rPr>
        <w:t>וּבְנֵי רְאוּבֵן בְּכוֹר יִשְׂרָאֵל כִּי הוּא הַבְּכוֹר וּבְחַלְּלוֹ יְצוּעֵי אָבִיו נִתְּנָה בְּכֹרָתוֹ לִבְנֵי יוֹסֵף בֶּן יִשְׂרָאֵל וְלֹא לְהִתְיַחֵשׂ לַבְּכֹרָה:</w:t>
      </w:r>
      <w:r>
        <w:rPr>
          <w:rFonts w:hint="cs"/>
          <w:rtl/>
        </w:rPr>
        <w:t xml:space="preserve"> </w:t>
      </w:r>
      <w:r>
        <w:rPr>
          <w:rtl/>
        </w:rPr>
        <w:t>כִּי יְהוּדָה גָּבַר בְּאֶחָיו וּלְנָגִיד מִמֶּנּוּ וְהַבְּכֹרָה לְיוֹסֵף</w:t>
      </w:r>
      <w:r>
        <w:rPr>
          <w:rFonts w:hint="cs"/>
          <w:rtl/>
        </w:rPr>
        <w:t xml:space="preserve">". אבל הפסוק הסמוך חוזר ומכנה את ראובן </w:t>
      </w:r>
      <w:r>
        <w:rPr>
          <w:rtl/>
        </w:rPr>
        <w:t>–</w:t>
      </w:r>
      <w:r>
        <w:rPr>
          <w:rFonts w:hint="cs"/>
          <w:rtl/>
        </w:rPr>
        <w:t xml:space="preserve"> בכור: "</w:t>
      </w:r>
      <w:r>
        <w:rPr>
          <w:rtl/>
        </w:rPr>
        <w:t>בְּנֵי רְאוּבֵן בְּכוֹר יִשְׂרָאֵל חֲנוֹךְ וּפַלּוּא חֶצְרוֹן וְכַרְמִי</w:t>
      </w:r>
      <w:r>
        <w:rPr>
          <w:rFonts w:hint="cs"/>
          <w:rtl/>
        </w:rPr>
        <w:t>". נקודה שהמדרשים והפרשנים שמו לב אליה. עכ"פ, אומר ספורנו, אין להקשות על מה שעשה יעקב בברכתו לבניו בסוף ספר בראשית, מהדין של בן האהובה ובן השנואה שבספר דברים. אי אפשר לקפח את הבן בגלל מעשי אימו או היחסים שבינה ובין אביו. אבל אפשר לקפחו ולנשלו ממעמדו כבכור ומזכויותיו הנלוות, בשל מעשיו הוא. ראה גם דבריו של אברבנאל אשר מדגיש את הצורך לכתוב את פרשת בן האהובה ובן השנואה על מנת "להוציא" ממעשהו של יעקב ולהבהיר שמעשה זה היה מקרה חריג שאינו נוהג לדורות: "</w:t>
      </w:r>
      <w:r>
        <w:rPr>
          <w:rtl/>
        </w:rPr>
        <w:t>ואפשר לומר עוד</w:t>
      </w:r>
      <w:r>
        <w:rPr>
          <w:rFonts w:hint="cs"/>
          <w:rtl/>
        </w:rPr>
        <w:t>,</w:t>
      </w:r>
      <w:r>
        <w:rPr>
          <w:rtl/>
        </w:rPr>
        <w:t xml:space="preserve"> שתלה התורה דין הבכור בשתי נשים האחת אהובה והאחת שנואה</w:t>
      </w:r>
      <w:r>
        <w:rPr>
          <w:rFonts w:hint="cs"/>
          <w:rtl/>
        </w:rPr>
        <w:t>,</w:t>
      </w:r>
      <w:r>
        <w:rPr>
          <w:rtl/>
        </w:rPr>
        <w:t xml:space="preserve"> לפי שמצינו ביעקב שעשה זה בנטלו את הבכורה מבכורו ראובן בן השנואה ונתנה ליוסף בן האהובה. אלא שהיה זה מפי הגבורה ועל אשר חלל יצועי אביו וכמו שאמר (ד"ה א' ה') ובחללו יצועי אביו נטלה בכורתו ונתנה ליוסף. וגם לא היה בקנ</w:t>
      </w:r>
      <w:r>
        <w:rPr>
          <w:rFonts w:hint="cs"/>
          <w:rtl/>
        </w:rPr>
        <w:t>י</w:t>
      </w:r>
      <w:r>
        <w:rPr>
          <w:rtl/>
        </w:rPr>
        <w:t>ינים שהוא היה מוחזק בהם אבל בראוי ואין אדם יורש בראוי כבמוחזק</w:t>
      </w:r>
      <w:r>
        <w:rPr>
          <w:rFonts w:hint="cs"/>
          <w:rtl/>
        </w:rPr>
        <w:t>". שתי סיבות מדוע המקרה של יעקב היה מיוחד ושונה מהדין שלנו.</w:t>
      </w:r>
    </w:p>
  </w:footnote>
  <w:footnote w:id="12">
    <w:p w:rsidR="007B25A6" w:rsidRDefault="007B25A6" w:rsidP="009E5B64">
      <w:pPr>
        <w:pStyle w:val="a3"/>
        <w:rPr>
          <w:rFonts w:hint="cs"/>
        </w:rPr>
      </w:pPr>
      <w:r>
        <w:rPr>
          <w:rStyle w:val="a5"/>
        </w:rPr>
        <w:footnoteRef/>
      </w:r>
      <w:r>
        <w:rPr>
          <w:rtl/>
        </w:rPr>
        <w:t xml:space="preserve"> </w:t>
      </w:r>
      <w:r>
        <w:rPr>
          <w:rFonts w:hint="cs"/>
          <w:rtl/>
        </w:rPr>
        <w:t>מדרשים רבים יש לנו הדנים בהעברת הבכורה מראובן ליוסף. מהם חד משמעיים כגון זה, תוך ציון הפסוק: "</w:t>
      </w:r>
      <w:r>
        <w:rPr>
          <w:rtl/>
        </w:rPr>
        <w:t>ואני נתתי לך שכם אחד על אחיך</w:t>
      </w:r>
      <w:r>
        <w:rPr>
          <w:rFonts w:hint="cs"/>
          <w:rtl/>
        </w:rPr>
        <w:t>", שבצרוף הפסוק "</w:t>
      </w:r>
      <w:r>
        <w:rPr>
          <w:rtl/>
        </w:rPr>
        <w:t>אפרים ומנשה כראובן ושמעון יהיו לי</w:t>
      </w:r>
      <w:r>
        <w:rPr>
          <w:rFonts w:hint="cs"/>
          <w:rtl/>
        </w:rPr>
        <w:t>" מלמדים אותנו את הדין שהבכור יורש פי שניים מהחלק שמגיע לכל אח (</w:t>
      </w:r>
      <w:r>
        <w:rPr>
          <w:rtl/>
        </w:rPr>
        <w:t>בבא בתרא קכג ע</w:t>
      </w:r>
      <w:r>
        <w:rPr>
          <w:rFonts w:hint="cs"/>
          <w:rtl/>
        </w:rPr>
        <w:t xml:space="preserve">"א). ושם, בגמרא </w:t>
      </w:r>
      <w:r>
        <w:rPr>
          <w:rFonts w:hint="eastAsia"/>
          <w:rtl/>
        </w:rPr>
        <w:t>בבא</w:t>
      </w:r>
      <w:r>
        <w:rPr>
          <w:rtl/>
        </w:rPr>
        <w:t xml:space="preserve"> </w:t>
      </w:r>
      <w:r>
        <w:rPr>
          <w:rFonts w:hint="eastAsia"/>
          <w:rtl/>
        </w:rPr>
        <w:t>בתרא</w:t>
      </w:r>
      <w:r>
        <w:rPr>
          <w:rtl/>
        </w:rPr>
        <w:t xml:space="preserve"> </w:t>
      </w:r>
      <w:r>
        <w:rPr>
          <w:rFonts w:hint="cs"/>
          <w:rtl/>
        </w:rPr>
        <w:t>גם הלשון: "</w:t>
      </w:r>
      <w:r>
        <w:rPr>
          <w:rFonts w:hint="eastAsia"/>
          <w:rtl/>
        </w:rPr>
        <w:t>מה</w:t>
      </w:r>
      <w:r>
        <w:rPr>
          <w:rtl/>
        </w:rPr>
        <w:t xml:space="preserve"> </w:t>
      </w:r>
      <w:r>
        <w:rPr>
          <w:rFonts w:hint="eastAsia"/>
          <w:rtl/>
        </w:rPr>
        <w:t>ראה</w:t>
      </w:r>
      <w:r>
        <w:rPr>
          <w:rtl/>
        </w:rPr>
        <w:t xml:space="preserve"> </w:t>
      </w:r>
      <w:r>
        <w:rPr>
          <w:rFonts w:hint="eastAsia"/>
          <w:rtl/>
        </w:rPr>
        <w:t>יעקב</w:t>
      </w:r>
      <w:r>
        <w:rPr>
          <w:rtl/>
        </w:rPr>
        <w:t xml:space="preserve"> </w:t>
      </w:r>
      <w:r>
        <w:rPr>
          <w:rFonts w:hint="eastAsia"/>
          <w:rtl/>
        </w:rPr>
        <w:t>שנטל</w:t>
      </w:r>
      <w:r>
        <w:rPr>
          <w:rtl/>
        </w:rPr>
        <w:t xml:space="preserve"> </w:t>
      </w:r>
      <w:r>
        <w:rPr>
          <w:rFonts w:hint="eastAsia"/>
          <w:rtl/>
        </w:rPr>
        <w:t>בכורה</w:t>
      </w:r>
      <w:r>
        <w:rPr>
          <w:rtl/>
        </w:rPr>
        <w:t xml:space="preserve"> </w:t>
      </w:r>
      <w:r>
        <w:rPr>
          <w:rFonts w:hint="eastAsia"/>
          <w:rtl/>
        </w:rPr>
        <w:t>מראובן</w:t>
      </w:r>
      <w:r>
        <w:rPr>
          <w:rtl/>
        </w:rPr>
        <w:t xml:space="preserve"> </w:t>
      </w:r>
      <w:r>
        <w:rPr>
          <w:rFonts w:hint="eastAsia"/>
          <w:rtl/>
        </w:rPr>
        <w:t>ונתנה</w:t>
      </w:r>
      <w:r>
        <w:rPr>
          <w:rtl/>
        </w:rPr>
        <w:t xml:space="preserve"> </w:t>
      </w:r>
      <w:r>
        <w:rPr>
          <w:rFonts w:hint="eastAsia"/>
          <w:rtl/>
        </w:rPr>
        <w:t>ליוסף</w:t>
      </w:r>
      <w:r>
        <w:rPr>
          <w:rtl/>
        </w:rPr>
        <w:t>?</w:t>
      </w:r>
      <w:r>
        <w:rPr>
          <w:rFonts w:hint="cs"/>
          <w:rtl/>
        </w:rPr>
        <w:t>"</w:t>
      </w:r>
      <w:r w:rsidR="009E533C">
        <w:rPr>
          <w:rFonts w:hint="cs"/>
          <w:rtl/>
        </w:rPr>
        <w:t>.</w:t>
      </w:r>
      <w:r>
        <w:rPr>
          <w:rFonts w:hint="cs"/>
          <w:rtl/>
        </w:rPr>
        <w:t xml:space="preserve"> מצטרף לקו זה מדרש </w:t>
      </w:r>
      <w:r>
        <w:rPr>
          <w:rtl/>
        </w:rPr>
        <w:t>בראשית רבה (תיאודור-אלבק) כי"ו פרשת ויחי פרשה צו</w:t>
      </w:r>
      <w:r>
        <w:rPr>
          <w:rFonts w:hint="cs"/>
          <w:rtl/>
        </w:rPr>
        <w:t>, אשר רואה במעשיו של יעקב תקדים למקרים נוספים: "</w:t>
      </w:r>
      <w:r>
        <w:rPr>
          <w:rtl/>
        </w:rPr>
        <w:t>את</w:t>
      </w:r>
      <w:r>
        <w:rPr>
          <w:rFonts w:hint="cs"/>
          <w:rtl/>
        </w:rPr>
        <w:t>ה</w:t>
      </w:r>
      <w:r>
        <w:rPr>
          <w:rtl/>
        </w:rPr>
        <w:t xml:space="preserve"> מוצא יעקב נוטל בכורה מראובן ונותנה ליוסף, ממנשה ונותנה לאפרים שלא יאמרו מת</w:t>
      </w:r>
      <w:r>
        <w:rPr>
          <w:rFonts w:hint="cs"/>
          <w:rtl/>
        </w:rPr>
        <w:t>נת</w:t>
      </w:r>
      <w:r>
        <w:rPr>
          <w:rtl/>
        </w:rPr>
        <w:t xml:space="preserve"> שכ</w:t>
      </w:r>
      <w:r>
        <w:rPr>
          <w:rFonts w:hint="cs"/>
          <w:rtl/>
        </w:rPr>
        <w:t>י</w:t>
      </w:r>
      <w:r>
        <w:rPr>
          <w:rtl/>
        </w:rPr>
        <w:t>ב מרע הוא</w:t>
      </w:r>
      <w:r>
        <w:rPr>
          <w:rFonts w:hint="cs"/>
          <w:rtl/>
        </w:rPr>
        <w:t>.</w:t>
      </w:r>
      <w:r>
        <w:rPr>
          <w:rtl/>
        </w:rPr>
        <w:t xml:space="preserve"> משה דוחה לשמעון ומקרב לראובן שלא יאמרו מת</w:t>
      </w:r>
      <w:r>
        <w:rPr>
          <w:rFonts w:hint="cs"/>
          <w:rtl/>
        </w:rPr>
        <w:t>נת</w:t>
      </w:r>
      <w:r>
        <w:rPr>
          <w:rtl/>
        </w:rPr>
        <w:t xml:space="preserve"> שכ</w:t>
      </w:r>
      <w:r>
        <w:rPr>
          <w:rFonts w:hint="cs"/>
          <w:rtl/>
        </w:rPr>
        <w:t>י</w:t>
      </w:r>
      <w:r>
        <w:rPr>
          <w:rtl/>
        </w:rPr>
        <w:t>ב מרע הוא</w:t>
      </w:r>
      <w:r>
        <w:rPr>
          <w:rFonts w:hint="cs"/>
          <w:rtl/>
        </w:rPr>
        <w:t>.</w:t>
      </w:r>
      <w:r>
        <w:rPr>
          <w:rtl/>
        </w:rPr>
        <w:t xml:space="preserve"> ודויד נוטל מלכות מאדניהו ונותנה לשלמה שלא יאמרו מת</w:t>
      </w:r>
      <w:r>
        <w:rPr>
          <w:rFonts w:hint="cs"/>
          <w:rtl/>
        </w:rPr>
        <w:t>נת</w:t>
      </w:r>
      <w:r>
        <w:rPr>
          <w:rtl/>
        </w:rPr>
        <w:t xml:space="preserve"> שכ</w:t>
      </w:r>
      <w:r>
        <w:rPr>
          <w:rFonts w:hint="cs"/>
          <w:rtl/>
        </w:rPr>
        <w:t>י</w:t>
      </w:r>
      <w:r>
        <w:rPr>
          <w:rtl/>
        </w:rPr>
        <w:t>ב מרע הוא</w:t>
      </w:r>
      <w:r>
        <w:rPr>
          <w:rFonts w:hint="cs"/>
          <w:rtl/>
        </w:rPr>
        <w:t>". ועוד ב</w:t>
      </w:r>
      <w:r>
        <w:rPr>
          <w:rtl/>
        </w:rPr>
        <w:t>בראשית רבתי פרשת ויחי עמוד 230</w:t>
      </w:r>
      <w:r>
        <w:rPr>
          <w:rFonts w:hint="cs"/>
          <w:rtl/>
        </w:rPr>
        <w:t>: "</w:t>
      </w:r>
      <w:r>
        <w:rPr>
          <w:rtl/>
        </w:rPr>
        <w:t>ואני נתתי לך שכם אחד, זה חלק בכורה שנטל את הבכורה מראובן ונתנה ליוסף. כיצד</w:t>
      </w:r>
      <w:r>
        <w:rPr>
          <w:rFonts w:hint="cs"/>
          <w:rtl/>
        </w:rPr>
        <w:t>?</w:t>
      </w:r>
      <w:r>
        <w:rPr>
          <w:rtl/>
        </w:rPr>
        <w:t xml:space="preserve"> שעשה שני בניו שבטים ונטלו נחלה בארץ כנגד שני שבטים</w:t>
      </w:r>
      <w:r>
        <w:rPr>
          <w:rFonts w:hint="cs"/>
          <w:rtl/>
        </w:rPr>
        <w:t>.</w:t>
      </w:r>
      <w:r>
        <w:rPr>
          <w:rtl/>
        </w:rPr>
        <w:t xml:space="preserve"> כשם שהבכור נוטל פי שנים בנכסי אביו</w:t>
      </w:r>
      <w:r>
        <w:rPr>
          <w:rFonts w:hint="cs"/>
          <w:rtl/>
        </w:rPr>
        <w:t>"</w:t>
      </w:r>
      <w:r>
        <w:rPr>
          <w:rtl/>
        </w:rPr>
        <w:t xml:space="preserve">. </w:t>
      </w:r>
      <w:r w:rsidR="009E533C">
        <w:rPr>
          <w:rFonts w:hint="cs"/>
          <w:rtl/>
        </w:rPr>
        <w:t xml:space="preserve">ראה גם רמב"ן במדבר טז א שזו סיבת הצטרפות דתן ואבירם למחלוקת קרח </w:t>
      </w:r>
      <w:r w:rsidR="009E533C">
        <w:rPr>
          <w:rtl/>
        </w:rPr>
        <w:t>–</w:t>
      </w:r>
      <w:r w:rsidR="009E533C">
        <w:rPr>
          <w:rFonts w:hint="cs"/>
          <w:rtl/>
        </w:rPr>
        <w:t xml:space="preserve"> הבכורה שניטלה מראובן וניתנה ליוסף. </w:t>
      </w:r>
      <w:r>
        <w:rPr>
          <w:rFonts w:hint="cs"/>
          <w:rtl/>
        </w:rPr>
        <w:t xml:space="preserve">כנגדם, יש מדרשים אחרים שטוענים שבכורת הייחוס, התואר בכור, לא נלקחה מראובן, רק הנכסים והתפקידים. ראה למשל </w:t>
      </w:r>
      <w:r>
        <w:rPr>
          <w:rtl/>
        </w:rPr>
        <w:t>בראשית רבה פב יא</w:t>
      </w:r>
      <w:r>
        <w:rPr>
          <w:rFonts w:hint="cs"/>
          <w:rtl/>
        </w:rPr>
        <w:t>: "</w:t>
      </w:r>
      <w:r>
        <w:rPr>
          <w:rtl/>
        </w:rPr>
        <w:t>קשה היא שלשלת יוחסין לפני הק</w:t>
      </w:r>
      <w:r>
        <w:rPr>
          <w:rFonts w:hint="cs"/>
          <w:rtl/>
        </w:rPr>
        <w:t xml:space="preserve">ב"ה </w:t>
      </w:r>
      <w:r>
        <w:rPr>
          <w:rtl/>
        </w:rPr>
        <w:t>שת</w:t>
      </w:r>
      <w:r>
        <w:rPr>
          <w:rFonts w:hint="cs"/>
          <w:rtl/>
        </w:rPr>
        <w:t>י</w:t>
      </w:r>
      <w:r>
        <w:rPr>
          <w:rtl/>
        </w:rPr>
        <w:t>עקר ממקומה</w:t>
      </w:r>
      <w:r>
        <w:rPr>
          <w:rFonts w:hint="cs"/>
          <w:rtl/>
        </w:rPr>
        <w:t xml:space="preserve">, זהו שכתוב: </w:t>
      </w:r>
      <w:r>
        <w:rPr>
          <w:rtl/>
        </w:rPr>
        <w:t>ויהי בשכון ישראל וכתיב ויהיו בני יעקב שנים עשר וגו', בני ראובן בכור ישראל</w:t>
      </w:r>
      <w:r>
        <w:rPr>
          <w:rFonts w:hint="cs"/>
          <w:rtl/>
        </w:rPr>
        <w:t xml:space="preserve">. </w:t>
      </w:r>
      <w:r>
        <w:rPr>
          <w:rtl/>
        </w:rPr>
        <w:t>אמור מעתה</w:t>
      </w:r>
      <w:r>
        <w:rPr>
          <w:rFonts w:hint="cs"/>
          <w:rtl/>
        </w:rPr>
        <w:t>:</w:t>
      </w:r>
      <w:r>
        <w:rPr>
          <w:rtl/>
        </w:rPr>
        <w:t xml:space="preserve"> בכורת ממון ניטלה ממנו ולא ניטלה ממנו בכורת יוחסין</w:t>
      </w:r>
      <w:r>
        <w:rPr>
          <w:rFonts w:hint="cs"/>
          <w:rtl/>
        </w:rPr>
        <w:t>". אבל גם הם מודים שהנכסים נלקחו ואותנו, בנושא ירושת בן השנואה, מעניינים הנכסים ולא התארים. וראה עוד הניסיון לומר שבעצם הבכורה הייתה בכלל של בני רחל ויעקב רק מחזיר את הדבר למקומו: "</w:t>
      </w:r>
      <w:r>
        <w:rPr>
          <w:rtl/>
        </w:rPr>
        <w:t>ראויה היתה בכורה לצאת מרחל, דכתיב: אלה תולדות יעקב יוסף</w:t>
      </w:r>
      <w:r>
        <w:rPr>
          <w:rFonts w:hint="cs"/>
          <w:rtl/>
        </w:rPr>
        <w:t xml:space="preserve"> (</w:t>
      </w:r>
      <w:r>
        <w:rPr>
          <w:rtl/>
        </w:rPr>
        <w:t>בראשית לז</w:t>
      </w:r>
      <w:r>
        <w:rPr>
          <w:rFonts w:hint="cs"/>
          <w:rtl/>
        </w:rPr>
        <w:t>)</w:t>
      </w:r>
      <w:r>
        <w:rPr>
          <w:rtl/>
        </w:rPr>
        <w:t>, אלא שקדמתה לאה ברחמים, ומתוך צניעות שהיתה בה ברחל החזירה הקב</w:t>
      </w:r>
      <w:r>
        <w:rPr>
          <w:rFonts w:hint="cs"/>
          <w:rtl/>
        </w:rPr>
        <w:t xml:space="preserve">"ה </w:t>
      </w:r>
      <w:r>
        <w:rPr>
          <w:rtl/>
        </w:rPr>
        <w:t>לה</w:t>
      </w:r>
      <w:r>
        <w:rPr>
          <w:rFonts w:hint="cs"/>
          <w:rtl/>
        </w:rPr>
        <w:t>" (</w:t>
      </w:r>
      <w:r>
        <w:rPr>
          <w:rtl/>
        </w:rPr>
        <w:t>בבא בתרא קכג ע</w:t>
      </w:r>
      <w:r>
        <w:rPr>
          <w:rFonts w:hint="cs"/>
          <w:rtl/>
        </w:rPr>
        <w:t>"א). שום אזכור של ד</w:t>
      </w:r>
      <w:r w:rsidR="00696484">
        <w:rPr>
          <w:rFonts w:hint="cs"/>
          <w:rtl/>
        </w:rPr>
        <w:t>י</w:t>
      </w:r>
      <w:r>
        <w:rPr>
          <w:rFonts w:hint="cs"/>
          <w:rtl/>
        </w:rPr>
        <w:t>ן האישה האהובה והאישה השנואה שבפרשתנו!</w:t>
      </w:r>
    </w:p>
  </w:footnote>
  <w:footnote w:id="13">
    <w:p w:rsidR="007B25A6" w:rsidRDefault="007B25A6" w:rsidP="00356EC6">
      <w:pPr>
        <w:pStyle w:val="a3"/>
        <w:rPr>
          <w:rFonts w:hint="cs"/>
        </w:rPr>
      </w:pPr>
      <w:r>
        <w:rPr>
          <w:rStyle w:val="a5"/>
        </w:rPr>
        <w:footnoteRef/>
      </w:r>
      <w:r>
        <w:rPr>
          <w:rtl/>
        </w:rPr>
        <w:t xml:space="preserve"> </w:t>
      </w:r>
      <w:r>
        <w:rPr>
          <w:rFonts w:hint="cs"/>
          <w:rtl/>
        </w:rPr>
        <w:t>וב</w:t>
      </w:r>
      <w:r>
        <w:rPr>
          <w:rtl/>
        </w:rPr>
        <w:t>מדרש אגדה (בובר) דברים פרק כא</w:t>
      </w:r>
      <w:r>
        <w:rPr>
          <w:rFonts w:hint="cs"/>
          <w:rtl/>
        </w:rPr>
        <w:t>: "</w:t>
      </w:r>
      <w:r>
        <w:rPr>
          <w:rtl/>
        </w:rPr>
        <w:t>כי תהיינה לאיש שתי נשים. אלו רחל ולאה</w:t>
      </w:r>
      <w:r>
        <w:rPr>
          <w:rFonts w:hint="cs"/>
          <w:rtl/>
        </w:rPr>
        <w:t>.</w:t>
      </w:r>
      <w:r>
        <w:rPr>
          <w:rtl/>
        </w:rPr>
        <w:t xml:space="preserve"> האחת אהובה, שנאמר</w:t>
      </w:r>
      <w:r>
        <w:rPr>
          <w:rFonts w:hint="cs"/>
          <w:rtl/>
        </w:rPr>
        <w:t>:</w:t>
      </w:r>
      <w:r>
        <w:rPr>
          <w:rtl/>
        </w:rPr>
        <w:t xml:space="preserve"> ויאהב גם את רחל מלאה (בראשית כט ל), והאחת שנואה, שנאמר</w:t>
      </w:r>
      <w:r>
        <w:rPr>
          <w:rFonts w:hint="cs"/>
          <w:rtl/>
        </w:rPr>
        <w:t>:</w:t>
      </w:r>
      <w:r>
        <w:rPr>
          <w:rtl/>
        </w:rPr>
        <w:t xml:space="preserve"> וירא ה' כי שנואה לאה (שם שם לא)</w:t>
      </w:r>
      <w:r>
        <w:rPr>
          <w:rFonts w:hint="cs"/>
          <w:rtl/>
        </w:rPr>
        <w:t>.</w:t>
      </w:r>
      <w:r>
        <w:rPr>
          <w:rtl/>
        </w:rPr>
        <w:t xml:space="preserve"> והיה הבן הבכור לשנואה. זה ראובן שהיה בכור לאה: והיה ביום הנחילו את בניו. כשבא להנחיל ארץ ישראל בשעת מיתתו, לא יוכל לבכר את יוסף שהיה בן רחל</w:t>
      </w:r>
      <w:r>
        <w:rPr>
          <w:rFonts w:hint="cs"/>
          <w:rtl/>
        </w:rPr>
        <w:t>,</w:t>
      </w:r>
      <w:r>
        <w:rPr>
          <w:rtl/>
        </w:rPr>
        <w:t xml:space="preserve"> במקום שהיה ראובן</w:t>
      </w:r>
      <w:r>
        <w:rPr>
          <w:rFonts w:hint="cs"/>
          <w:rtl/>
        </w:rPr>
        <w:t>.</w:t>
      </w:r>
      <w:r>
        <w:rPr>
          <w:rtl/>
        </w:rPr>
        <w:t xml:space="preserve"> אעפ"י שאמר</w:t>
      </w:r>
      <w:r>
        <w:rPr>
          <w:rFonts w:hint="cs"/>
          <w:rtl/>
        </w:rPr>
        <w:t>:</w:t>
      </w:r>
      <w:r>
        <w:rPr>
          <w:rtl/>
        </w:rPr>
        <w:t xml:space="preserve"> ואני נתתי לך שכם אחד על אחיך (שם מח כב), לא נקרא יוסף בכור יעקב אלא ראובן</w:t>
      </w:r>
      <w:r>
        <w:rPr>
          <w:rFonts w:hint="cs"/>
          <w:rtl/>
        </w:rPr>
        <w:t>.</w:t>
      </w:r>
      <w:r>
        <w:rPr>
          <w:rtl/>
        </w:rPr>
        <w:t xml:space="preserve"> כי את הבכור בן השנואה יכיר. שנאמר</w:t>
      </w:r>
      <w:r>
        <w:rPr>
          <w:rFonts w:hint="cs"/>
          <w:rtl/>
        </w:rPr>
        <w:t>:</w:t>
      </w:r>
      <w:r>
        <w:rPr>
          <w:rtl/>
        </w:rPr>
        <w:t xml:space="preserve"> ראובן בכרי אתה (שם מ"ט ג'), הכירו לכל כי הוא ראשית אונו ולו לראובן משפט הבכורה ולא ליוסף משפט הבכורה. שנאמר</w:t>
      </w:r>
      <w:r>
        <w:rPr>
          <w:rFonts w:hint="cs"/>
          <w:rtl/>
        </w:rPr>
        <w:t>:</w:t>
      </w:r>
      <w:r>
        <w:rPr>
          <w:rtl/>
        </w:rPr>
        <w:t xml:space="preserve"> כי יהודה גבר באחיו ולנגיד ממנו והבכורה ליוסף (דה"א ה' ב'), ולא להתייחס לבכורה (שם שם א)</w:t>
      </w:r>
      <w:r>
        <w:rPr>
          <w:rFonts w:hint="cs"/>
          <w:rtl/>
        </w:rPr>
        <w:t>.</w:t>
      </w:r>
      <w:r>
        <w:rPr>
          <w:rtl/>
        </w:rPr>
        <w:t xml:space="preserve"> שלא נקרא ליוסף בכור יעקב כי אם ראובן, שנאמר ויהיו בני ראובן בכור ישראל (במדבר א כ) (ראובן)</w:t>
      </w:r>
      <w:r>
        <w:rPr>
          <w:rFonts w:hint="cs"/>
          <w:rtl/>
        </w:rPr>
        <w:t>". מדרשים אלה, ה</w:t>
      </w:r>
      <w:r w:rsidR="00696484">
        <w:rPr>
          <w:rFonts w:hint="cs"/>
          <w:rtl/>
        </w:rPr>
        <w:t>מ</w:t>
      </w:r>
      <w:r>
        <w:rPr>
          <w:rFonts w:hint="cs"/>
          <w:rtl/>
        </w:rPr>
        <w:t xml:space="preserve">תבססים כנראה על מדרש תנחומא בובר ויצא יג, הם היחידים שקושרים בברור את פרשת כי תצא לפרשת ויצא, את דין התורה שבספר דברים עם מעשה האבות שבספר בראשית. ההשוואה של סיפור יעקב רחל ולאה, ולוא רק ברובד הלשוני של אישה אחת אהובה והאחרת שנואה (ולא חשוב איך נסביר מהי שנואה), מתבקשת מאד ונראה כאילו דברי התורה בספר דברים באים להגדיר את יחס ההלכה, לאחר מתן תורה, לסיפור של יעקב שאירע בספר בראשית לפני מתן תורה. ואולי גם לכל המקרים האחרים של מאבקי וחילופי בכורה בספר בראשית (ראה דברינו </w:t>
      </w:r>
      <w:hyperlink r:id="rId2" w:history="1">
        <w:r w:rsidRPr="00430842">
          <w:rPr>
            <w:rStyle w:val="Hyperlink"/>
            <w:rFonts w:hint="cs"/>
            <w:rtl/>
          </w:rPr>
          <w:t>בחירה בבכורה ומחירה</w:t>
        </w:r>
      </w:hyperlink>
      <w:r>
        <w:rPr>
          <w:rFonts w:hint="cs"/>
          <w:rtl/>
        </w:rPr>
        <w:t xml:space="preserve"> בפרשת תולדות). אפשר כמובן לטעון שזה לפני מתן תורה וזה אחריו - טיעון שמתמודד עם בעיה חמורה יותר של נישואי יעקב עם רחל ולאה </w:t>
      </w:r>
      <w:r w:rsidR="00356EC6">
        <w:rPr>
          <w:rFonts w:hint="cs"/>
          <w:rtl/>
        </w:rPr>
        <w:t xml:space="preserve">שהוא </w:t>
      </w:r>
      <w:r>
        <w:rPr>
          <w:rFonts w:hint="cs"/>
          <w:rtl/>
        </w:rPr>
        <w:t>איסור שתי אחיות (רמב"ן בראשית כו ה</w:t>
      </w:r>
      <w:r w:rsidR="00885094">
        <w:rPr>
          <w:rFonts w:hint="cs"/>
          <w:rtl/>
        </w:rPr>
        <w:t>, ויקרא יח כה</w:t>
      </w:r>
      <w:r>
        <w:rPr>
          <w:rFonts w:hint="cs"/>
          <w:rtl/>
        </w:rPr>
        <w:t xml:space="preserve">), או </w:t>
      </w:r>
      <w:r w:rsidR="00356EC6">
        <w:rPr>
          <w:rFonts w:hint="cs"/>
          <w:rtl/>
        </w:rPr>
        <w:t xml:space="preserve">לטעון </w:t>
      </w:r>
      <w:r>
        <w:rPr>
          <w:rFonts w:hint="cs"/>
          <w:rtl/>
        </w:rPr>
        <w:t xml:space="preserve">שקיום האבות את התורה בא מכח שבע מצוות בני נח והיה שונה מקיומה בדורנו (אור החיים בראשית מט ג); וכבר הארכנו לדון גם בנושא זה בדברינו </w:t>
      </w:r>
      <w:hyperlink r:id="rId3" w:history="1">
        <w:r w:rsidRPr="001E4A0E">
          <w:rPr>
            <w:rStyle w:val="Hyperlink"/>
            <w:rFonts w:hint="cs"/>
            <w:rtl/>
          </w:rPr>
          <w:t>קיימו האבות את התורה</w:t>
        </w:r>
      </w:hyperlink>
      <w:r>
        <w:rPr>
          <w:rFonts w:hint="cs"/>
          <w:rtl/>
        </w:rPr>
        <w:t xml:space="preserve"> בפרשת תולדות. אך מדרשים אלה, אינם עושים שום הנחות ליעקב, אינם מזכירים את הפסוקים בדברי הימים, אינם מתייחסים לחטא ראובן ואינם מבחינים בין לפני מתן תורה ואחריו, אלא קובעים באופן חד-משמעי שיעקב נהג כדין התורה ולא העביר את הבכורה מראובן ונתנה ליוסף. ספר בראשית כפוף לספר דברים ולא זזה הבכורה מראובן, מבית לאה, עפ"י דין תורה. וכבר נגענו בקצרה בנושא זה וביחסי יעקב </w:t>
      </w:r>
      <w:r>
        <w:rPr>
          <w:rtl/>
        </w:rPr>
        <w:t>–</w:t>
      </w:r>
      <w:r>
        <w:rPr>
          <w:rFonts w:hint="cs"/>
          <w:rtl/>
        </w:rPr>
        <w:t xml:space="preserve"> לאה </w:t>
      </w:r>
      <w:r>
        <w:rPr>
          <w:rtl/>
        </w:rPr>
        <w:t>–</w:t>
      </w:r>
      <w:r>
        <w:rPr>
          <w:rFonts w:hint="cs"/>
          <w:rtl/>
        </w:rPr>
        <w:t xml:space="preserve"> רחל בדברינו </w:t>
      </w:r>
      <w:hyperlink r:id="rId4" w:history="1">
        <w:r w:rsidRPr="00AF30D7">
          <w:rPr>
            <w:rStyle w:val="Hyperlink"/>
            <w:rFonts w:hint="cs"/>
            <w:rtl/>
          </w:rPr>
          <w:t>לאה ורחל אחיות</w:t>
        </w:r>
      </w:hyperlink>
      <w:r>
        <w:rPr>
          <w:rFonts w:hint="cs"/>
          <w:rtl/>
        </w:rPr>
        <w:t xml:space="preserve"> בפרשת ויצא והשתא בכי תצא זכינו להרחיב ולהשלים. </w:t>
      </w:r>
    </w:p>
  </w:footnote>
  <w:footnote w:id="14">
    <w:p w:rsidR="006B6AC2" w:rsidRDefault="006B6AC2">
      <w:pPr>
        <w:pStyle w:val="a3"/>
        <w:rPr>
          <w:rFonts w:hint="cs"/>
          <w:rtl/>
        </w:rPr>
      </w:pPr>
      <w:r>
        <w:rPr>
          <w:rStyle w:val="a5"/>
        </w:rPr>
        <w:footnoteRef/>
      </w:r>
      <w:r>
        <w:rPr>
          <w:rtl/>
        </w:rPr>
        <w:t xml:space="preserve"> </w:t>
      </w:r>
      <w:r>
        <w:rPr>
          <w:rFonts w:hint="cs"/>
          <w:rtl/>
        </w:rPr>
        <w:t xml:space="preserve">בעל הטורים, בחלק המדרש שהוא מצטט, לוקח אותנו אל המרחב ההיסטורי, לריב ישראל ואומות העולם, למאבק יעקב ועשו ההיסטוריים עליהם הרחבנו במספר מקומות, כגון דברינו </w:t>
      </w:r>
      <w:hyperlink r:id="rId5" w:history="1">
        <w:r w:rsidRPr="00CF521F">
          <w:rPr>
            <w:rStyle w:val="Hyperlink"/>
            <w:rFonts w:hint="cs"/>
            <w:rtl/>
          </w:rPr>
          <w:t>עשו ויעקב – אחים שונאים</w:t>
        </w:r>
      </w:hyperlink>
      <w:r>
        <w:rPr>
          <w:rFonts w:hint="cs"/>
          <w:rtl/>
        </w:rPr>
        <w:t xml:space="preserve">, </w:t>
      </w:r>
      <w:hyperlink r:id="rId6" w:history="1">
        <w:r w:rsidRPr="00DD2CED">
          <w:rPr>
            <w:rStyle w:val="Hyperlink"/>
            <w:rFonts w:hint="cs"/>
            <w:rtl/>
          </w:rPr>
          <w:t>יעקב ועשו בספר דברים</w:t>
        </w:r>
      </w:hyperlink>
      <w:r>
        <w:rPr>
          <w:rFonts w:hint="cs"/>
          <w:rtl/>
        </w:rPr>
        <w:t xml:space="preserve">, </w:t>
      </w:r>
      <w:hyperlink r:id="rId7" w:history="1">
        <w:r w:rsidRPr="003E153A">
          <w:rPr>
            <w:rStyle w:val="Hyperlink"/>
            <w:rFonts w:hint="cs"/>
            <w:rtl/>
          </w:rPr>
          <w:t>אדוני עשו- עבדך יעקב</w:t>
        </w:r>
      </w:hyperlink>
      <w:r>
        <w:rPr>
          <w:rFonts w:hint="cs"/>
          <w:rtl/>
        </w:rPr>
        <w:t xml:space="preserve">, </w:t>
      </w:r>
      <w:hyperlink r:id="rId8" w:history="1">
        <w:r w:rsidRPr="003E153A">
          <w:rPr>
            <w:rStyle w:val="Hyperlink"/>
            <w:rFonts w:hint="cs"/>
            <w:rtl/>
          </w:rPr>
          <w:t xml:space="preserve">יעקב ועשו </w:t>
        </w:r>
        <w:r w:rsidRPr="003E153A">
          <w:rPr>
            <w:rStyle w:val="Hyperlink"/>
            <w:rtl/>
          </w:rPr>
          <w:t>–</w:t>
        </w:r>
        <w:r w:rsidRPr="003E153A">
          <w:rPr>
            <w:rStyle w:val="Hyperlink"/>
            <w:rFonts w:hint="cs"/>
            <w:rtl/>
          </w:rPr>
          <w:t xml:space="preserve"> סגירת החשבון?</w:t>
        </w:r>
      </w:hyperlink>
      <w:r>
        <w:rPr>
          <w:rFonts w:hint="cs"/>
          <w:rtl/>
        </w:rPr>
        <w:t xml:space="preserve"> ורבים וטובים מאיתנו הרחיבו הרחב והרחק בנושא זה. והנה בא בעל הטורים ומקשר נושא זה גם לאישה האהובה והשנואה שבפרשתנו. נכון שעם ישראל הוא כעת (בימיו של בעל הטורים) שנוא ולאומות העולם הוא מראה פנים </w:t>
      </w:r>
      <w:r>
        <w:rPr>
          <w:rtl/>
        </w:rPr>
        <w:t>–</w:t>
      </w:r>
      <w:r>
        <w:rPr>
          <w:rFonts w:hint="cs"/>
          <w:rtl/>
        </w:rPr>
        <w:t xml:space="preserve"> הם האישה האהובה, אבל ברור שזה עניין זמני והסברת הפנים לאומות והסתרת הפנים מעם ישראל ייעלמו ויתפוגגו ויתהפכו "ביום הנחילו את בניו". אי אפשר לבכר מישהו אחר על פני עם ישראל. ההבטחה שבתחילת ספר שמות: "בני בכורי ישראל" שרירה וקיימת. נראה בבירור שבעל הטורים נלחם כאן עם טענה נוצרית ידועה שעם ישראל איבד את בחירתו ובכורתו. המדרש שהוא מצטט לא מוכר לנו ונשמח להתוודע אליו מפי שואב או שואבת 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A6" w:rsidRDefault="007B25A6" w:rsidP="008629F0">
    <w:pPr>
      <w:pStyle w:val="1"/>
      <w:tabs>
        <w:tab w:val="right" w:pos="9185"/>
      </w:tabs>
      <w:rPr>
        <w:rFonts w:hint="cs"/>
        <w:rtl/>
      </w:rPr>
    </w:pPr>
    <w:r>
      <w:rPr>
        <w:rtl/>
      </w:rPr>
      <w:t xml:space="preserve">פרשת </w:t>
    </w:r>
    <w:fldSimple w:instr=" SUBJECT  \* MERGEFORMAT ">
      <w:r>
        <w:rPr>
          <w:rtl/>
        </w:rPr>
        <w:t>כי תצא, חמישית לנחמה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A6" w:rsidRDefault="007B25A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647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9F"/>
    <w:rsid w:val="000346DD"/>
    <w:rsid w:val="00073666"/>
    <w:rsid w:val="000817E7"/>
    <w:rsid w:val="0008486A"/>
    <w:rsid w:val="00087E38"/>
    <w:rsid w:val="00093FB4"/>
    <w:rsid w:val="000A0C1A"/>
    <w:rsid w:val="000D1375"/>
    <w:rsid w:val="000D2D01"/>
    <w:rsid w:val="000E0E3F"/>
    <w:rsid w:val="000F0705"/>
    <w:rsid w:val="000F61AD"/>
    <w:rsid w:val="000F7141"/>
    <w:rsid w:val="00103A3B"/>
    <w:rsid w:val="00116AE8"/>
    <w:rsid w:val="00145129"/>
    <w:rsid w:val="00153D72"/>
    <w:rsid w:val="00155BDC"/>
    <w:rsid w:val="00162A3C"/>
    <w:rsid w:val="00163581"/>
    <w:rsid w:val="00170CAB"/>
    <w:rsid w:val="001771A7"/>
    <w:rsid w:val="001A5180"/>
    <w:rsid w:val="001B11E2"/>
    <w:rsid w:val="001C49C0"/>
    <w:rsid w:val="001D6355"/>
    <w:rsid w:val="001E240E"/>
    <w:rsid w:val="001E4A0E"/>
    <w:rsid w:val="001E54C9"/>
    <w:rsid w:val="002017C2"/>
    <w:rsid w:val="00206663"/>
    <w:rsid w:val="00207032"/>
    <w:rsid w:val="00213373"/>
    <w:rsid w:val="00213743"/>
    <w:rsid w:val="00216350"/>
    <w:rsid w:val="00226881"/>
    <w:rsid w:val="002314E0"/>
    <w:rsid w:val="00234D86"/>
    <w:rsid w:val="00237C3B"/>
    <w:rsid w:val="00240BB3"/>
    <w:rsid w:val="0025487C"/>
    <w:rsid w:val="00256D60"/>
    <w:rsid w:val="0026025C"/>
    <w:rsid w:val="00294EEF"/>
    <w:rsid w:val="002A3A06"/>
    <w:rsid w:val="002B6D71"/>
    <w:rsid w:val="002C1FD3"/>
    <w:rsid w:val="002C3AEF"/>
    <w:rsid w:val="002D18B9"/>
    <w:rsid w:val="002E49E6"/>
    <w:rsid w:val="00302209"/>
    <w:rsid w:val="00312266"/>
    <w:rsid w:val="00320318"/>
    <w:rsid w:val="00325668"/>
    <w:rsid w:val="003272E4"/>
    <w:rsid w:val="00330E9F"/>
    <w:rsid w:val="0033216C"/>
    <w:rsid w:val="00332C31"/>
    <w:rsid w:val="00333B6C"/>
    <w:rsid w:val="00340AA2"/>
    <w:rsid w:val="00342D14"/>
    <w:rsid w:val="00350EE9"/>
    <w:rsid w:val="00351CA3"/>
    <w:rsid w:val="00356EC6"/>
    <w:rsid w:val="003640FA"/>
    <w:rsid w:val="00387874"/>
    <w:rsid w:val="00393048"/>
    <w:rsid w:val="00394985"/>
    <w:rsid w:val="003A0A41"/>
    <w:rsid w:val="003A3655"/>
    <w:rsid w:val="003B656D"/>
    <w:rsid w:val="003C2BF8"/>
    <w:rsid w:val="003C50A3"/>
    <w:rsid w:val="003C5441"/>
    <w:rsid w:val="003E00F1"/>
    <w:rsid w:val="003E153A"/>
    <w:rsid w:val="003E30F4"/>
    <w:rsid w:val="003F2E39"/>
    <w:rsid w:val="003F7E41"/>
    <w:rsid w:val="00430842"/>
    <w:rsid w:val="00432941"/>
    <w:rsid w:val="00434E4D"/>
    <w:rsid w:val="00435376"/>
    <w:rsid w:val="00441F07"/>
    <w:rsid w:val="00443715"/>
    <w:rsid w:val="004457BE"/>
    <w:rsid w:val="004711C2"/>
    <w:rsid w:val="004719B7"/>
    <w:rsid w:val="00476DA0"/>
    <w:rsid w:val="00493816"/>
    <w:rsid w:val="004B486F"/>
    <w:rsid w:val="004C1309"/>
    <w:rsid w:val="004D61E2"/>
    <w:rsid w:val="004E23FE"/>
    <w:rsid w:val="00510A37"/>
    <w:rsid w:val="005136D6"/>
    <w:rsid w:val="0055019E"/>
    <w:rsid w:val="00553DD2"/>
    <w:rsid w:val="00563E0A"/>
    <w:rsid w:val="005715B8"/>
    <w:rsid w:val="00584C60"/>
    <w:rsid w:val="00586839"/>
    <w:rsid w:val="005A363D"/>
    <w:rsid w:val="005B0AA9"/>
    <w:rsid w:val="005B537E"/>
    <w:rsid w:val="005C34C6"/>
    <w:rsid w:val="005C7A49"/>
    <w:rsid w:val="005D1223"/>
    <w:rsid w:val="005D60E4"/>
    <w:rsid w:val="005F11DA"/>
    <w:rsid w:val="005F2E01"/>
    <w:rsid w:val="0060730E"/>
    <w:rsid w:val="00612A08"/>
    <w:rsid w:val="0062081A"/>
    <w:rsid w:val="00622D5E"/>
    <w:rsid w:val="006318CB"/>
    <w:rsid w:val="00640BD1"/>
    <w:rsid w:val="0064669D"/>
    <w:rsid w:val="00661193"/>
    <w:rsid w:val="006800FB"/>
    <w:rsid w:val="00696484"/>
    <w:rsid w:val="006A0C12"/>
    <w:rsid w:val="006B5CCC"/>
    <w:rsid w:val="006B6AC2"/>
    <w:rsid w:val="006C4F9F"/>
    <w:rsid w:val="006C6668"/>
    <w:rsid w:val="006D2DEB"/>
    <w:rsid w:val="006E5D84"/>
    <w:rsid w:val="00726A24"/>
    <w:rsid w:val="007405BC"/>
    <w:rsid w:val="007442B6"/>
    <w:rsid w:val="007504EB"/>
    <w:rsid w:val="00750B63"/>
    <w:rsid w:val="007526F5"/>
    <w:rsid w:val="00773D34"/>
    <w:rsid w:val="00783888"/>
    <w:rsid w:val="007A46FF"/>
    <w:rsid w:val="007B25A6"/>
    <w:rsid w:val="007C1810"/>
    <w:rsid w:val="007C44F9"/>
    <w:rsid w:val="007D03B2"/>
    <w:rsid w:val="007D2184"/>
    <w:rsid w:val="007D2FCB"/>
    <w:rsid w:val="007E10E4"/>
    <w:rsid w:val="007F6E28"/>
    <w:rsid w:val="00810CC1"/>
    <w:rsid w:val="00825386"/>
    <w:rsid w:val="00827905"/>
    <w:rsid w:val="00833F92"/>
    <w:rsid w:val="00836BD8"/>
    <w:rsid w:val="00851732"/>
    <w:rsid w:val="008551A8"/>
    <w:rsid w:val="008629F0"/>
    <w:rsid w:val="00864959"/>
    <w:rsid w:val="00881446"/>
    <w:rsid w:val="008842C1"/>
    <w:rsid w:val="00885094"/>
    <w:rsid w:val="008A4A07"/>
    <w:rsid w:val="008D50BB"/>
    <w:rsid w:val="008F4347"/>
    <w:rsid w:val="00931FB0"/>
    <w:rsid w:val="00941938"/>
    <w:rsid w:val="00961785"/>
    <w:rsid w:val="00992159"/>
    <w:rsid w:val="009A034C"/>
    <w:rsid w:val="009A340B"/>
    <w:rsid w:val="009A496C"/>
    <w:rsid w:val="009B3840"/>
    <w:rsid w:val="009C1E58"/>
    <w:rsid w:val="009C4C16"/>
    <w:rsid w:val="009D15B1"/>
    <w:rsid w:val="009E533C"/>
    <w:rsid w:val="009E5B64"/>
    <w:rsid w:val="00A1041B"/>
    <w:rsid w:val="00A1301D"/>
    <w:rsid w:val="00A166BB"/>
    <w:rsid w:val="00A228D2"/>
    <w:rsid w:val="00A32E18"/>
    <w:rsid w:val="00A446E8"/>
    <w:rsid w:val="00A632E6"/>
    <w:rsid w:val="00A74A09"/>
    <w:rsid w:val="00A7755A"/>
    <w:rsid w:val="00AA3BB6"/>
    <w:rsid w:val="00AA69F7"/>
    <w:rsid w:val="00AB5703"/>
    <w:rsid w:val="00AE3293"/>
    <w:rsid w:val="00AE374E"/>
    <w:rsid w:val="00AF30D7"/>
    <w:rsid w:val="00AF558A"/>
    <w:rsid w:val="00AF687B"/>
    <w:rsid w:val="00B0145F"/>
    <w:rsid w:val="00B04480"/>
    <w:rsid w:val="00B30146"/>
    <w:rsid w:val="00B3279A"/>
    <w:rsid w:val="00B35C4F"/>
    <w:rsid w:val="00B41936"/>
    <w:rsid w:val="00B44042"/>
    <w:rsid w:val="00B45C86"/>
    <w:rsid w:val="00B45CD0"/>
    <w:rsid w:val="00B470F4"/>
    <w:rsid w:val="00B509C3"/>
    <w:rsid w:val="00B57019"/>
    <w:rsid w:val="00B80E92"/>
    <w:rsid w:val="00B86480"/>
    <w:rsid w:val="00B90271"/>
    <w:rsid w:val="00B92A7A"/>
    <w:rsid w:val="00BB32FE"/>
    <w:rsid w:val="00BE5441"/>
    <w:rsid w:val="00BF1BE2"/>
    <w:rsid w:val="00BF6D68"/>
    <w:rsid w:val="00C000DB"/>
    <w:rsid w:val="00C00A22"/>
    <w:rsid w:val="00C05E86"/>
    <w:rsid w:val="00C10C1F"/>
    <w:rsid w:val="00C3031C"/>
    <w:rsid w:val="00C52684"/>
    <w:rsid w:val="00C56C39"/>
    <w:rsid w:val="00C70BD8"/>
    <w:rsid w:val="00C74525"/>
    <w:rsid w:val="00C77044"/>
    <w:rsid w:val="00C84E71"/>
    <w:rsid w:val="00CA19DE"/>
    <w:rsid w:val="00CB366A"/>
    <w:rsid w:val="00CC5CF3"/>
    <w:rsid w:val="00CC7195"/>
    <w:rsid w:val="00CD0D26"/>
    <w:rsid w:val="00CD0EAB"/>
    <w:rsid w:val="00CD133F"/>
    <w:rsid w:val="00CD2573"/>
    <w:rsid w:val="00CD7694"/>
    <w:rsid w:val="00CF06BA"/>
    <w:rsid w:val="00CF521F"/>
    <w:rsid w:val="00D042F1"/>
    <w:rsid w:val="00D04813"/>
    <w:rsid w:val="00D04FC9"/>
    <w:rsid w:val="00D068D8"/>
    <w:rsid w:val="00D1185F"/>
    <w:rsid w:val="00D353C0"/>
    <w:rsid w:val="00D4209A"/>
    <w:rsid w:val="00D6118C"/>
    <w:rsid w:val="00D639E1"/>
    <w:rsid w:val="00D72621"/>
    <w:rsid w:val="00D82988"/>
    <w:rsid w:val="00D846EC"/>
    <w:rsid w:val="00D86B49"/>
    <w:rsid w:val="00DA08C6"/>
    <w:rsid w:val="00DD2CED"/>
    <w:rsid w:val="00DF2612"/>
    <w:rsid w:val="00DF5F77"/>
    <w:rsid w:val="00DF6471"/>
    <w:rsid w:val="00DF66CF"/>
    <w:rsid w:val="00E05EB8"/>
    <w:rsid w:val="00E10120"/>
    <w:rsid w:val="00E300BF"/>
    <w:rsid w:val="00E3248E"/>
    <w:rsid w:val="00E34AC8"/>
    <w:rsid w:val="00E363C6"/>
    <w:rsid w:val="00E4158C"/>
    <w:rsid w:val="00E519E8"/>
    <w:rsid w:val="00E53CF6"/>
    <w:rsid w:val="00E66957"/>
    <w:rsid w:val="00E72577"/>
    <w:rsid w:val="00E846A2"/>
    <w:rsid w:val="00E90B43"/>
    <w:rsid w:val="00E91FF1"/>
    <w:rsid w:val="00EC7F89"/>
    <w:rsid w:val="00EE030D"/>
    <w:rsid w:val="00EF324E"/>
    <w:rsid w:val="00EF61E0"/>
    <w:rsid w:val="00F01308"/>
    <w:rsid w:val="00F129C5"/>
    <w:rsid w:val="00F20CB5"/>
    <w:rsid w:val="00F33BDD"/>
    <w:rsid w:val="00F4438E"/>
    <w:rsid w:val="00F7151B"/>
    <w:rsid w:val="00F7735A"/>
    <w:rsid w:val="00F83016"/>
    <w:rsid w:val="00F85A93"/>
    <w:rsid w:val="00F8659E"/>
    <w:rsid w:val="00F95FAB"/>
    <w:rsid w:val="00FB132E"/>
    <w:rsid w:val="00FB1E58"/>
    <w:rsid w:val="00FB48AC"/>
    <w:rsid w:val="00FB6DD2"/>
    <w:rsid w:val="00FC4DCB"/>
    <w:rsid w:val="00FC507A"/>
    <w:rsid w:val="00FD6958"/>
    <w:rsid w:val="00FD6E12"/>
    <w:rsid w:val="00FE3DE3"/>
    <w:rsid w:val="00FF01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97D2FC-6C0F-494B-A904-59E2D12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F6471"/>
    <w:pPr>
      <w:bidi/>
    </w:pPr>
    <w:rPr>
      <w:rFonts w:cs="Narkisim"/>
      <w:sz w:val="22"/>
      <w:szCs w:val="22"/>
      <w:lang w:eastAsia="he-IL"/>
    </w:rPr>
  </w:style>
  <w:style w:type="paragraph" w:styleId="1">
    <w:name w:val="heading 1"/>
    <w:basedOn w:val="a"/>
    <w:next w:val="a"/>
    <w:link w:val="10"/>
    <w:qFormat/>
    <w:rsid w:val="00DF6471"/>
    <w:pPr>
      <w:keepNext/>
      <w:tabs>
        <w:tab w:val="right" w:pos="9469"/>
      </w:tabs>
      <w:jc w:val="both"/>
      <w:outlineLvl w:val="0"/>
    </w:pPr>
    <w:rPr>
      <w:rFonts w:cs="David"/>
      <w:b/>
      <w:bCs/>
      <w:szCs w:val="28"/>
    </w:rPr>
  </w:style>
  <w:style w:type="character" w:default="1" w:styleId="a0">
    <w:name w:val="Default Paragraph Font"/>
    <w:uiPriority w:val="1"/>
    <w:semiHidden/>
    <w:unhideWhenUsed/>
    <w:rsid w:val="00DF64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6471"/>
  </w:style>
  <w:style w:type="paragraph" w:styleId="a3">
    <w:name w:val="footnote text"/>
    <w:basedOn w:val="a"/>
    <w:link w:val="a4"/>
    <w:semiHidden/>
    <w:rsid w:val="00DF6471"/>
    <w:pPr>
      <w:ind w:left="170" w:hanging="170"/>
      <w:jc w:val="both"/>
    </w:pPr>
    <w:rPr>
      <w:sz w:val="20"/>
      <w:szCs w:val="20"/>
    </w:rPr>
  </w:style>
  <w:style w:type="character" w:styleId="a5">
    <w:name w:val="footnote reference"/>
    <w:semiHidden/>
    <w:rsid w:val="00DF6471"/>
    <w:rPr>
      <w:vertAlign w:val="superscript"/>
    </w:rPr>
  </w:style>
  <w:style w:type="paragraph" w:styleId="a6">
    <w:name w:val="header"/>
    <w:basedOn w:val="a"/>
    <w:link w:val="a7"/>
    <w:rsid w:val="00DF6471"/>
    <w:pPr>
      <w:tabs>
        <w:tab w:val="center" w:pos="4153"/>
        <w:tab w:val="right" w:pos="8306"/>
      </w:tabs>
    </w:pPr>
  </w:style>
  <w:style w:type="paragraph" w:styleId="a8">
    <w:name w:val="footer"/>
    <w:basedOn w:val="a"/>
    <w:link w:val="a9"/>
    <w:rsid w:val="00DF6471"/>
    <w:pPr>
      <w:tabs>
        <w:tab w:val="center" w:pos="4153"/>
        <w:tab w:val="right" w:pos="8306"/>
      </w:tabs>
    </w:pPr>
  </w:style>
  <w:style w:type="paragraph" w:customStyle="1" w:styleId="aa">
    <w:name w:val="כותרת"/>
    <w:basedOn w:val="a"/>
    <w:rsid w:val="00DF6471"/>
    <w:pPr>
      <w:spacing w:before="240" w:line="320" w:lineRule="atLeast"/>
      <w:jc w:val="center"/>
    </w:pPr>
    <w:rPr>
      <w:rFonts w:cs="David"/>
      <w:b/>
      <w:bCs/>
      <w:spacing w:val="20"/>
      <w:szCs w:val="32"/>
    </w:rPr>
  </w:style>
  <w:style w:type="paragraph" w:customStyle="1" w:styleId="ab">
    <w:name w:val="כותרת קטע"/>
    <w:basedOn w:val="a"/>
    <w:rsid w:val="00DF6471"/>
    <w:pPr>
      <w:spacing w:before="240" w:line="300" w:lineRule="atLeast"/>
    </w:pPr>
    <w:rPr>
      <w:rFonts w:cs="Arial"/>
      <w:b/>
      <w:bCs/>
      <w:szCs w:val="24"/>
    </w:rPr>
  </w:style>
  <w:style w:type="paragraph" w:customStyle="1" w:styleId="ac">
    <w:name w:val="מקור"/>
    <w:basedOn w:val="a"/>
    <w:rsid w:val="00DF6471"/>
    <w:pPr>
      <w:spacing w:line="320" w:lineRule="atLeast"/>
      <w:jc w:val="both"/>
    </w:pPr>
    <w:rPr>
      <w:rFonts w:cs="David"/>
      <w:szCs w:val="24"/>
    </w:rPr>
  </w:style>
  <w:style w:type="paragraph" w:customStyle="1" w:styleId="ad">
    <w:name w:val="מחלקי המים"/>
    <w:basedOn w:val="a"/>
    <w:rsid w:val="00DF6471"/>
    <w:pPr>
      <w:spacing w:line="320" w:lineRule="atLeast"/>
      <w:jc w:val="both"/>
    </w:pPr>
    <w:rPr>
      <w:b/>
      <w:bCs/>
      <w:szCs w:val="24"/>
    </w:rPr>
  </w:style>
  <w:style w:type="character" w:styleId="Hyperlink">
    <w:name w:val="Hyperlink"/>
    <w:rsid w:val="00DF6471"/>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DF6471"/>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DF6471"/>
    <w:rPr>
      <w:rFonts w:cs="Narkisim"/>
      <w:lang w:eastAsia="he-IL"/>
    </w:rPr>
  </w:style>
  <w:style w:type="character" w:customStyle="1" w:styleId="10">
    <w:name w:val="כותרת 1 תו"/>
    <w:link w:val="1"/>
    <w:rsid w:val="00DF6471"/>
    <w:rPr>
      <w:rFonts w:cs="David"/>
      <w:b/>
      <w:bCs/>
      <w:sz w:val="22"/>
      <w:szCs w:val="28"/>
      <w:lang w:eastAsia="he-IL"/>
    </w:rPr>
  </w:style>
  <w:style w:type="character" w:customStyle="1" w:styleId="a7">
    <w:name w:val="כותרת עליונה תו"/>
    <w:link w:val="a6"/>
    <w:rsid w:val="00DF6471"/>
    <w:rPr>
      <w:rFonts w:cs="Narkisim"/>
      <w:sz w:val="22"/>
      <w:szCs w:val="22"/>
      <w:lang w:eastAsia="he-IL"/>
    </w:rPr>
  </w:style>
  <w:style w:type="character" w:customStyle="1" w:styleId="a9">
    <w:name w:val="כותרת תחתונה תו"/>
    <w:link w:val="a8"/>
    <w:rsid w:val="00DF6471"/>
    <w:rPr>
      <w:rFonts w:cs="Narkisim"/>
      <w:sz w:val="22"/>
      <w:szCs w:val="22"/>
      <w:lang w:eastAsia="he-IL"/>
    </w:rPr>
  </w:style>
  <w:style w:type="character" w:customStyle="1" w:styleId="af">
    <w:name w:val="טקסט בלונים תו"/>
    <w:link w:val="ae"/>
    <w:uiPriority w:val="99"/>
    <w:semiHidden/>
    <w:rsid w:val="00DF64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www.mayim.org.il/?parasha=%D7%A7%D7%99%D7%99%D7%9E%D7%95-%D7%94%D7%90%D7%91%D7%95%D7%AA-%D7%90%D7%AA-%D7%94%D7%AA%D7%95%D7%A8%D7%94" TargetMode="External"/><Relationship Id="rId7"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www.mayim.org.il/?parasha=%D7%9E%D7%A6%D7%95%D7%95%D7%94-%D7%A7%D7%9C%D7%94" TargetMode="External"/><Relationship Id="rId6" Type="http://schemas.openxmlformats.org/officeDocument/2006/relationships/hyperlink" Target="http://www.mayim.org.il/?parasha=%D7%99%D7%A2%D7%A7%D7%91-%D7%95%D7%A2%D7%A9%D7%95-%D7%91%D7%A1%D7%A4%D7%A8-%D7%93%D7%91%D7%A8%D7%99%D7%9D-2" TargetMode="External"/><Relationship Id="rId5"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C%D7%90%D7%94-%D7%95%D7%A8%D7%97%D7%9C-%D7%90%D7%97%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694</Words>
  <Characters>3470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Company>
  <LinksUpToDate>false</LinksUpToDate>
  <CharactersWithSpaces>4156</CharactersWithSpaces>
  <SharedDoc>false</SharedDoc>
  <HLinks>
    <vt:vector size="48" baseType="variant">
      <vt:variant>
        <vt:i4>524364</vt:i4>
      </vt:variant>
      <vt:variant>
        <vt:i4>21</vt:i4>
      </vt:variant>
      <vt:variant>
        <vt:i4>0</vt:i4>
      </vt:variant>
      <vt:variant>
        <vt:i4>5</vt:i4>
      </vt:variant>
      <vt:variant>
        <vt:lpwstr>http://www.mayim.org.il/?parasha=%D7%A4%D7%A8%D7%99%D7%93%D7%AA-%D7%99%D7%A2%D7%A7%D7%91-%D7%95%D7%A2%D7%A9%D7%95-%D7%A1%D7%92%D7%99%D7%A8%D7%AA-%D7%94%D7%97%D7%A9%D7%91%D7%95%D7%9F</vt:lpwstr>
      </vt:variant>
      <vt:variant>
        <vt:lpwstr/>
      </vt:variant>
      <vt:variant>
        <vt:i4>5570565</vt:i4>
      </vt:variant>
      <vt:variant>
        <vt:i4>18</vt:i4>
      </vt:variant>
      <vt:variant>
        <vt:i4>0</vt:i4>
      </vt:variant>
      <vt:variant>
        <vt:i4>5</vt:i4>
      </vt:variant>
      <vt:variant>
        <vt:lpwstr>http://www.mayim.org.il/?parasha=%D7%90%D7%93%D7%95%D7%A0%D7%99-%D7%A2%D7%A9%D7%95-%D7%A2%D7%91%D7%93%D7%9A-%D7%99%D7%A2%D7%A7%D7%911</vt:lpwstr>
      </vt:variant>
      <vt:variant>
        <vt:lpwstr/>
      </vt:variant>
      <vt:variant>
        <vt:i4>4915294</vt:i4>
      </vt:variant>
      <vt:variant>
        <vt:i4>15</vt:i4>
      </vt:variant>
      <vt:variant>
        <vt:i4>0</vt:i4>
      </vt:variant>
      <vt:variant>
        <vt:i4>5</vt:i4>
      </vt:variant>
      <vt:variant>
        <vt:lpwstr>http://www.mayim.org.il/?parasha=%D7%99%D7%A2%D7%A7%D7%91-%D7%95%D7%A2%D7%A9%D7%95-%D7%91%D7%A1%D7%A4%D7%A8-%D7%93%D7%91%D7%A8%D7%99%D7%9D-2</vt:lpwstr>
      </vt:variant>
      <vt:variant>
        <vt:lpwstr/>
      </vt:variant>
      <vt:variant>
        <vt:i4>262148</vt:i4>
      </vt:variant>
      <vt:variant>
        <vt:i4>12</vt:i4>
      </vt:variant>
      <vt:variant>
        <vt:i4>0</vt:i4>
      </vt:variant>
      <vt:variant>
        <vt:i4>5</vt:i4>
      </vt:variant>
      <vt:variant>
        <vt:lpwstr>http://www.mayim.org.il/?parasha=%D7%A2%D7%A9%D7%95-%D7%95%D7%99%D7%A2%D7%A7%D7%91-%D7%A9%D7%95%D7%A0%D7%90%D7%99%D7%9D-%D7%90%D7%97%D7%99%D7%9D</vt:lpwstr>
      </vt:variant>
      <vt:variant>
        <vt:lpwstr/>
      </vt:variant>
      <vt:variant>
        <vt:i4>2097205</vt:i4>
      </vt:variant>
      <vt:variant>
        <vt:i4>9</vt:i4>
      </vt:variant>
      <vt:variant>
        <vt:i4>0</vt:i4>
      </vt:variant>
      <vt:variant>
        <vt:i4>5</vt:i4>
      </vt:variant>
      <vt:variant>
        <vt:lpwstr>http://www.mayim.org.il/?parasha=%D7%9C%D7%90%D7%94-%D7%95%D7%A8%D7%97%D7%9C-%D7%90%D7%97%D7%99%D7%95%D7%AA</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7536761</vt:i4>
      </vt:variant>
      <vt:variant>
        <vt:i4>0</vt:i4>
      </vt:variant>
      <vt:variant>
        <vt:i4>0</vt:i4>
      </vt:variant>
      <vt:variant>
        <vt:i4>5</vt:i4>
      </vt:variant>
      <vt:variant>
        <vt:lpwstr>http://www.mayim.org.il/?parasha=%D7%9E%D7%A6%D7%95%D7%95%D7%94-%D7%A7%D7%9C%D7%94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אהובה ושנואה</dc:title>
  <dc:subject>כי תצא, חמישית לנחמה</dc:subject>
  <dc:creator>Asher Yuval</dc:creator>
  <cp:keywords/>
  <dc:description/>
  <cp:lastModifiedBy>שמעון אפק</cp:lastModifiedBy>
  <cp:revision>2</cp:revision>
  <cp:lastPrinted>2010-08-20T07:22:00Z</cp:lastPrinted>
  <dcterms:created xsi:type="dcterms:W3CDTF">2017-01-19T06:14:00Z</dcterms:created>
  <dcterms:modified xsi:type="dcterms:W3CDTF">2017-01-19T06:14:00Z</dcterms:modified>
</cp:coreProperties>
</file>