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4608" w:rsidRPr="00927269" w:rsidRDefault="00F64608" w:rsidP="00566928">
      <w:pPr>
        <w:pStyle w:val="aa"/>
        <w:outlineLvl w:val="0"/>
        <w:rPr>
          <w:rFonts w:hint="cs"/>
          <w:rtl/>
        </w:rPr>
      </w:pPr>
      <w:r w:rsidRPr="00927269">
        <w:rPr>
          <w:rtl/>
        </w:rPr>
        <w:fldChar w:fldCharType="begin"/>
      </w:r>
      <w:r w:rsidRPr="00927269">
        <w:rPr>
          <w:rtl/>
        </w:rPr>
        <w:instrText xml:space="preserve"> </w:instrText>
      </w:r>
      <w:r w:rsidRPr="00927269">
        <w:instrText>TITLE  \* MERGEFORMAT</w:instrText>
      </w:r>
      <w:r w:rsidRPr="00927269">
        <w:rPr>
          <w:rtl/>
        </w:rPr>
        <w:instrText xml:space="preserve"> </w:instrText>
      </w:r>
      <w:r w:rsidRPr="00927269">
        <w:rPr>
          <w:rtl/>
        </w:rPr>
        <w:fldChar w:fldCharType="separate"/>
      </w:r>
      <w:r w:rsidR="006A4772">
        <w:rPr>
          <w:rtl/>
        </w:rPr>
        <w:t>אותו ואת בנו</w:t>
      </w:r>
      <w:r w:rsidRPr="00927269">
        <w:rPr>
          <w:rtl/>
        </w:rPr>
        <w:fldChar w:fldCharType="end"/>
      </w:r>
    </w:p>
    <w:p w:rsidR="00C119B1" w:rsidRDefault="00C81D71" w:rsidP="000573A9">
      <w:pPr>
        <w:autoSpaceDE w:val="0"/>
        <w:autoSpaceDN w:val="0"/>
        <w:adjustRightInd w:val="0"/>
        <w:spacing w:before="240" w:line="320" w:lineRule="atLeast"/>
        <w:outlineLvl w:val="0"/>
        <w:rPr>
          <w:rFonts w:ascii="ResponsaTTF" w:cs="ResponsaTTF" w:hint="cs"/>
          <w:color w:val="000000"/>
          <w:sz w:val="28"/>
          <w:szCs w:val="28"/>
          <w:rtl/>
          <w:lang w:eastAsia="en-US"/>
        </w:rPr>
      </w:pPr>
      <w:r w:rsidRPr="00C81D71">
        <w:rPr>
          <w:rFonts w:cs="David" w:hint="eastAsia"/>
          <w:b/>
          <w:bCs/>
          <w:sz w:val="24"/>
          <w:szCs w:val="24"/>
          <w:rtl/>
          <w:lang w:val="he-IL"/>
        </w:rPr>
        <w:t>וְשׁוֹר</w:t>
      </w:r>
      <w:r w:rsidRPr="00C81D71">
        <w:rPr>
          <w:rFonts w:cs="David"/>
          <w:b/>
          <w:bCs/>
          <w:sz w:val="24"/>
          <w:szCs w:val="24"/>
          <w:rtl/>
          <w:lang w:val="he-IL"/>
        </w:rPr>
        <w:t xml:space="preserve"> </w:t>
      </w:r>
      <w:r w:rsidRPr="00C81D71">
        <w:rPr>
          <w:rFonts w:cs="David" w:hint="eastAsia"/>
          <w:b/>
          <w:bCs/>
          <w:sz w:val="24"/>
          <w:szCs w:val="24"/>
          <w:rtl/>
          <w:lang w:val="he-IL"/>
        </w:rPr>
        <w:t>אוֹ</w:t>
      </w:r>
      <w:r w:rsidRPr="00C81D71">
        <w:rPr>
          <w:rFonts w:cs="David"/>
          <w:b/>
          <w:bCs/>
          <w:sz w:val="24"/>
          <w:szCs w:val="24"/>
          <w:rtl/>
          <w:lang w:val="he-IL"/>
        </w:rPr>
        <w:t xml:space="preserve"> </w:t>
      </w:r>
      <w:r w:rsidRPr="00C81D71">
        <w:rPr>
          <w:rFonts w:cs="David" w:hint="eastAsia"/>
          <w:b/>
          <w:bCs/>
          <w:sz w:val="24"/>
          <w:szCs w:val="24"/>
          <w:rtl/>
          <w:lang w:val="he-IL"/>
        </w:rPr>
        <w:t>שֶׂה</w:t>
      </w:r>
      <w:r w:rsidRPr="00C81D71">
        <w:rPr>
          <w:rFonts w:cs="David"/>
          <w:b/>
          <w:bCs/>
          <w:sz w:val="24"/>
          <w:szCs w:val="24"/>
          <w:rtl/>
          <w:lang w:val="he-IL"/>
        </w:rPr>
        <w:t xml:space="preserve"> </w:t>
      </w:r>
      <w:r w:rsidRPr="00C81D71">
        <w:rPr>
          <w:rFonts w:cs="David" w:hint="eastAsia"/>
          <w:b/>
          <w:bCs/>
          <w:sz w:val="24"/>
          <w:szCs w:val="24"/>
          <w:rtl/>
          <w:lang w:val="he-IL"/>
        </w:rPr>
        <w:t>אֹתוֹ</w:t>
      </w:r>
      <w:r w:rsidRPr="00C81D71">
        <w:rPr>
          <w:rFonts w:cs="David"/>
          <w:b/>
          <w:bCs/>
          <w:sz w:val="24"/>
          <w:szCs w:val="24"/>
          <w:rtl/>
          <w:lang w:val="he-IL"/>
        </w:rPr>
        <w:t xml:space="preserve"> </w:t>
      </w:r>
      <w:r w:rsidRPr="00C81D71">
        <w:rPr>
          <w:rFonts w:cs="David" w:hint="eastAsia"/>
          <w:b/>
          <w:bCs/>
          <w:sz w:val="24"/>
          <w:szCs w:val="24"/>
          <w:rtl/>
          <w:lang w:val="he-IL"/>
        </w:rPr>
        <w:t>וְאֶת</w:t>
      </w:r>
      <w:r w:rsidRPr="00C81D71">
        <w:rPr>
          <w:rFonts w:cs="David"/>
          <w:b/>
          <w:bCs/>
          <w:sz w:val="24"/>
          <w:szCs w:val="24"/>
          <w:rtl/>
          <w:lang w:val="he-IL"/>
        </w:rPr>
        <w:t xml:space="preserve"> </w:t>
      </w:r>
      <w:r w:rsidRPr="00C81D71">
        <w:rPr>
          <w:rFonts w:cs="David" w:hint="eastAsia"/>
          <w:b/>
          <w:bCs/>
          <w:sz w:val="24"/>
          <w:szCs w:val="24"/>
          <w:rtl/>
          <w:lang w:val="he-IL"/>
        </w:rPr>
        <w:t>בְּנוֹ</w:t>
      </w:r>
      <w:r w:rsidRPr="00C81D71">
        <w:rPr>
          <w:rFonts w:cs="David"/>
          <w:b/>
          <w:bCs/>
          <w:sz w:val="24"/>
          <w:szCs w:val="24"/>
          <w:rtl/>
          <w:lang w:val="he-IL"/>
        </w:rPr>
        <w:t xml:space="preserve"> </w:t>
      </w:r>
      <w:r w:rsidRPr="00C81D71">
        <w:rPr>
          <w:rFonts w:cs="David" w:hint="eastAsia"/>
          <w:b/>
          <w:bCs/>
          <w:sz w:val="24"/>
          <w:szCs w:val="24"/>
          <w:rtl/>
          <w:lang w:val="he-IL"/>
        </w:rPr>
        <w:t>לֹא</w:t>
      </w:r>
      <w:r w:rsidRPr="00C81D71">
        <w:rPr>
          <w:rFonts w:cs="David"/>
          <w:b/>
          <w:bCs/>
          <w:sz w:val="24"/>
          <w:szCs w:val="24"/>
          <w:rtl/>
          <w:lang w:val="he-IL"/>
        </w:rPr>
        <w:t xml:space="preserve"> </w:t>
      </w:r>
      <w:r w:rsidRPr="00C81D71">
        <w:rPr>
          <w:rFonts w:cs="David" w:hint="eastAsia"/>
          <w:b/>
          <w:bCs/>
          <w:sz w:val="24"/>
          <w:szCs w:val="24"/>
          <w:rtl/>
          <w:lang w:val="he-IL"/>
        </w:rPr>
        <w:t>תִשְׁחֲטוּ</w:t>
      </w:r>
      <w:r w:rsidRPr="00C81D71">
        <w:rPr>
          <w:rFonts w:cs="David"/>
          <w:b/>
          <w:bCs/>
          <w:sz w:val="24"/>
          <w:szCs w:val="24"/>
          <w:rtl/>
          <w:lang w:val="he-IL"/>
        </w:rPr>
        <w:t xml:space="preserve"> </w:t>
      </w:r>
      <w:r w:rsidRPr="00C81D71">
        <w:rPr>
          <w:rFonts w:cs="David" w:hint="eastAsia"/>
          <w:b/>
          <w:bCs/>
          <w:sz w:val="24"/>
          <w:szCs w:val="24"/>
          <w:rtl/>
          <w:lang w:val="he-IL"/>
        </w:rPr>
        <w:t>בְּיוֹם</w:t>
      </w:r>
      <w:r w:rsidRPr="00C81D71">
        <w:rPr>
          <w:rFonts w:cs="David"/>
          <w:b/>
          <w:bCs/>
          <w:sz w:val="24"/>
          <w:szCs w:val="24"/>
          <w:rtl/>
          <w:lang w:val="he-IL"/>
        </w:rPr>
        <w:t xml:space="preserve"> </w:t>
      </w:r>
      <w:r w:rsidRPr="00C81D71">
        <w:rPr>
          <w:rFonts w:cs="David" w:hint="eastAsia"/>
          <w:b/>
          <w:bCs/>
          <w:sz w:val="24"/>
          <w:szCs w:val="24"/>
          <w:rtl/>
          <w:lang w:val="he-IL"/>
        </w:rPr>
        <w:t>אֶחָד</w:t>
      </w:r>
      <w:r w:rsidR="000573A9">
        <w:rPr>
          <w:rFonts w:ascii="David" w:hint="cs"/>
          <w:rtl/>
          <w:lang w:eastAsia="en-US"/>
        </w:rPr>
        <w:t>:</w:t>
      </w:r>
      <w:r w:rsidRPr="00C81D71">
        <w:rPr>
          <w:rFonts w:ascii="David" w:hint="cs"/>
          <w:rtl/>
          <w:lang w:eastAsia="en-US"/>
        </w:rPr>
        <w:t xml:space="preserve"> </w:t>
      </w:r>
      <w:r>
        <w:rPr>
          <w:rFonts w:ascii="David" w:hint="cs"/>
          <w:rtl/>
          <w:lang w:eastAsia="en-US"/>
        </w:rPr>
        <w:t>(ויקרא ככ כ</w:t>
      </w:r>
      <w:r w:rsidR="003C07B4">
        <w:rPr>
          <w:rFonts w:ascii="David" w:hint="cs"/>
          <w:rtl/>
          <w:lang w:eastAsia="en-US"/>
        </w:rPr>
        <w:t>ח).</w:t>
      </w:r>
      <w:r w:rsidR="003C07B4">
        <w:rPr>
          <w:rStyle w:val="a5"/>
          <w:rFonts w:ascii="David"/>
          <w:rtl/>
          <w:lang w:eastAsia="en-US"/>
        </w:rPr>
        <w:footnoteReference w:id="1"/>
      </w:r>
    </w:p>
    <w:p w:rsidR="00785A8E" w:rsidRDefault="00785A8E" w:rsidP="00785A8E">
      <w:pPr>
        <w:pStyle w:val="ab"/>
        <w:rPr>
          <w:rFonts w:hint="cs"/>
          <w:rtl/>
          <w:lang w:eastAsia="en-US"/>
        </w:rPr>
      </w:pPr>
      <w:r>
        <w:rPr>
          <w:rFonts w:hint="cs"/>
          <w:rtl/>
          <w:lang w:eastAsia="en-US"/>
        </w:rPr>
        <w:t xml:space="preserve">משנה </w:t>
      </w:r>
      <w:r>
        <w:rPr>
          <w:rtl/>
          <w:lang w:eastAsia="en-US"/>
        </w:rPr>
        <w:t>מסכת חולין פרק ה</w:t>
      </w:r>
      <w:r>
        <w:rPr>
          <w:rStyle w:val="a5"/>
          <w:rtl/>
          <w:lang w:eastAsia="en-US"/>
        </w:rPr>
        <w:footnoteReference w:id="2"/>
      </w:r>
    </w:p>
    <w:p w:rsidR="003C07B4" w:rsidRDefault="00785A8E" w:rsidP="00785A8E">
      <w:pPr>
        <w:pStyle w:val="ac"/>
        <w:rPr>
          <w:rFonts w:hint="cs"/>
          <w:rtl/>
          <w:lang w:eastAsia="en-US"/>
        </w:rPr>
      </w:pPr>
      <w:r>
        <w:rPr>
          <w:rtl/>
          <w:lang w:eastAsia="en-US"/>
        </w:rPr>
        <w:t>אותו ואת בנו נוהג בין בארץ בין בחוצה לארץ בפני הבית ושלא בפני הבית בחולין ובמוקדשין</w:t>
      </w:r>
      <w:r w:rsidR="00FB7700">
        <w:rPr>
          <w:rFonts w:hint="cs"/>
          <w:rtl/>
          <w:lang w:eastAsia="en-US"/>
        </w:rPr>
        <w:t>.</w:t>
      </w:r>
      <w:r w:rsidR="00FB7700">
        <w:rPr>
          <w:rStyle w:val="a5"/>
          <w:rtl/>
          <w:lang w:eastAsia="en-US"/>
        </w:rPr>
        <w:footnoteReference w:id="3"/>
      </w:r>
      <w:r>
        <w:rPr>
          <w:rtl/>
          <w:lang w:eastAsia="en-US"/>
        </w:rPr>
        <w:t xml:space="preserve"> כיצד</w:t>
      </w:r>
      <w:r w:rsidR="00FB7700">
        <w:rPr>
          <w:rFonts w:hint="cs"/>
          <w:rtl/>
          <w:lang w:eastAsia="en-US"/>
        </w:rPr>
        <w:t>?</w:t>
      </w:r>
      <w:r>
        <w:rPr>
          <w:rtl/>
          <w:lang w:eastAsia="en-US"/>
        </w:rPr>
        <w:t xml:space="preserve"> השוחט אותו ואת בנו חולין בחוץ שניהם כשרים והשני סופג את הארבעים</w:t>
      </w:r>
      <w:r>
        <w:rPr>
          <w:rFonts w:hint="cs"/>
          <w:rtl/>
          <w:lang w:eastAsia="en-US"/>
        </w:rPr>
        <w:t xml:space="preserve"> ... </w:t>
      </w:r>
      <w:r>
        <w:rPr>
          <w:rStyle w:val="a5"/>
          <w:rFonts w:hint="cs"/>
          <w:rtl/>
          <w:lang w:eastAsia="en-US"/>
        </w:rPr>
        <w:t xml:space="preserve"> </w:t>
      </w:r>
      <w:r>
        <w:rPr>
          <w:rFonts w:hint="cs"/>
          <w:rtl/>
          <w:lang w:eastAsia="en-US"/>
        </w:rPr>
        <w:t>השוחט ונמצ</w:t>
      </w:r>
      <w:r w:rsidR="004E6A7A">
        <w:rPr>
          <w:rFonts w:hint="cs"/>
          <w:rtl/>
          <w:lang w:eastAsia="en-US"/>
        </w:rPr>
        <w:t xml:space="preserve">א טריפה, השוחט לעבודה זרה, והשוחט פרת חטאת, ושור הנסקל ועגלה ערופה </w:t>
      </w:r>
      <w:r w:rsidR="004E6A7A">
        <w:rPr>
          <w:rtl/>
          <w:lang w:eastAsia="en-US"/>
        </w:rPr>
        <w:t>–</w:t>
      </w:r>
      <w:r w:rsidR="004E6A7A">
        <w:rPr>
          <w:rFonts w:hint="cs"/>
          <w:rtl/>
          <w:lang w:eastAsia="en-US"/>
        </w:rPr>
        <w:t xml:space="preserve"> רבי שמעון מתיר וחכמים מחייבין.</w:t>
      </w:r>
      <w:r w:rsidR="004E6A7A">
        <w:rPr>
          <w:rStyle w:val="a5"/>
          <w:rtl/>
          <w:lang w:eastAsia="en-US"/>
        </w:rPr>
        <w:footnoteReference w:id="4"/>
      </w:r>
      <w:r w:rsidR="004E6A7A">
        <w:rPr>
          <w:rFonts w:hint="cs"/>
          <w:rtl/>
          <w:lang w:eastAsia="en-US"/>
        </w:rPr>
        <w:t xml:space="preserve"> השוחט ונתנבלה בידו, והנוחר והמעקר </w:t>
      </w:r>
      <w:r w:rsidR="004E6A7A">
        <w:rPr>
          <w:rtl/>
          <w:lang w:eastAsia="en-US"/>
        </w:rPr>
        <w:t>–</w:t>
      </w:r>
      <w:r w:rsidR="004E6A7A">
        <w:rPr>
          <w:rFonts w:hint="cs"/>
          <w:rtl/>
          <w:lang w:eastAsia="en-US"/>
        </w:rPr>
        <w:t xml:space="preserve"> פטור </w:t>
      </w:r>
      <w:r w:rsidR="002B2964">
        <w:rPr>
          <w:rFonts w:hint="cs"/>
          <w:rtl/>
          <w:lang w:eastAsia="en-US"/>
        </w:rPr>
        <w:t>מ</w:t>
      </w:r>
      <w:r w:rsidR="004E6A7A">
        <w:rPr>
          <w:rFonts w:hint="cs"/>
          <w:rtl/>
          <w:lang w:eastAsia="en-US"/>
        </w:rPr>
        <w:t>שום אותו ואת בנו.</w:t>
      </w:r>
      <w:r w:rsidR="004E6A7A">
        <w:rPr>
          <w:rStyle w:val="a5"/>
          <w:rtl/>
          <w:lang w:eastAsia="en-US"/>
        </w:rPr>
        <w:footnoteReference w:id="5"/>
      </w:r>
    </w:p>
    <w:p w:rsidR="00FB7700" w:rsidRDefault="002B2964" w:rsidP="00FB7700">
      <w:pPr>
        <w:pStyle w:val="ac"/>
        <w:rPr>
          <w:rFonts w:hint="cs"/>
          <w:rtl/>
          <w:lang w:eastAsia="en-US"/>
        </w:rPr>
      </w:pPr>
      <w:r>
        <w:rPr>
          <w:rFonts w:hint="cs"/>
          <w:rtl/>
          <w:lang w:eastAsia="en-US"/>
        </w:rPr>
        <w:t>בארבעה פרקים בשנה, המוכר בהמה לחברו צריך להודיעו: א</w:t>
      </w:r>
      <w:r>
        <w:rPr>
          <w:rFonts w:hint="eastAsia"/>
          <w:rtl/>
          <w:lang w:eastAsia="en-US"/>
        </w:rPr>
        <w:t>ִ</w:t>
      </w:r>
      <w:r>
        <w:rPr>
          <w:rFonts w:hint="cs"/>
          <w:rtl/>
          <w:lang w:eastAsia="en-US"/>
        </w:rPr>
        <w:t>מ</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מכרתי לשחוט, ב</w:t>
      </w:r>
      <w:r>
        <w:rPr>
          <w:rFonts w:hint="eastAsia"/>
          <w:rtl/>
          <w:lang w:eastAsia="en-US"/>
        </w:rPr>
        <w:t>ִ</w:t>
      </w:r>
      <w:r>
        <w:rPr>
          <w:rFonts w:hint="cs"/>
          <w:rtl/>
          <w:lang w:eastAsia="en-US"/>
        </w:rPr>
        <w:t>ת</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מכרתי לשחוט. ואלו הן: ערב יום טוב אחרון של חג, וערב יום טוב הראשון של פסח, וערב עצרת וערב ראש השנה. וכדברי רבי יוסי הגלילי: אף ערב יום הכיפורים בגליל </w:t>
      </w:r>
      <w:r>
        <w:rPr>
          <w:rStyle w:val="a5"/>
          <w:rtl/>
          <w:lang w:eastAsia="en-US"/>
        </w:rPr>
        <w:footnoteReference w:id="6"/>
      </w:r>
      <w:r>
        <w:rPr>
          <w:rFonts w:hint="cs"/>
          <w:rtl/>
          <w:lang w:eastAsia="en-US"/>
        </w:rPr>
        <w:t>...</w:t>
      </w:r>
      <w:r w:rsidR="00FB7700">
        <w:rPr>
          <w:rFonts w:hint="cs"/>
          <w:rtl/>
          <w:lang w:eastAsia="en-US"/>
        </w:rPr>
        <w:t xml:space="preserve"> </w:t>
      </w:r>
    </w:p>
    <w:p w:rsidR="002B2964" w:rsidRDefault="00FB7700" w:rsidP="00FB7700">
      <w:pPr>
        <w:pStyle w:val="ac"/>
        <w:rPr>
          <w:rFonts w:hint="cs"/>
          <w:rtl/>
          <w:lang w:eastAsia="en-US"/>
        </w:rPr>
      </w:pPr>
      <w:r>
        <w:rPr>
          <w:rFonts w:hint="cs"/>
          <w:rtl/>
          <w:lang w:eastAsia="en-US"/>
        </w:rPr>
        <w:t>"</w:t>
      </w:r>
      <w:r>
        <w:rPr>
          <w:rtl/>
          <w:lang w:eastAsia="en-US"/>
        </w:rPr>
        <w:t>יום אחד</w:t>
      </w:r>
      <w:r>
        <w:rPr>
          <w:rFonts w:hint="cs"/>
          <w:rtl/>
          <w:lang w:eastAsia="en-US"/>
        </w:rPr>
        <w:t>"</w:t>
      </w:r>
      <w:r>
        <w:rPr>
          <w:rtl/>
          <w:lang w:eastAsia="en-US"/>
        </w:rPr>
        <w:t xml:space="preserve"> האמור ב</w:t>
      </w:r>
      <w:r>
        <w:rPr>
          <w:rFonts w:hint="cs"/>
          <w:rtl/>
          <w:lang w:eastAsia="en-US"/>
        </w:rPr>
        <w:t>"</w:t>
      </w:r>
      <w:r>
        <w:rPr>
          <w:rtl/>
          <w:lang w:eastAsia="en-US"/>
        </w:rPr>
        <w:t>אותו ואת בנו</w:t>
      </w:r>
      <w:r>
        <w:rPr>
          <w:rFonts w:hint="cs"/>
          <w:rtl/>
          <w:lang w:eastAsia="en-US"/>
        </w:rPr>
        <w:t>",</w:t>
      </w:r>
      <w:r>
        <w:rPr>
          <w:rtl/>
          <w:lang w:eastAsia="en-US"/>
        </w:rPr>
        <w:t xml:space="preserve"> היום הולך אחר הלילה</w:t>
      </w:r>
      <w:r>
        <w:rPr>
          <w:rFonts w:hint="cs"/>
          <w:rtl/>
          <w:lang w:eastAsia="en-US"/>
        </w:rPr>
        <w:t>.</w:t>
      </w:r>
      <w:r>
        <w:rPr>
          <w:rtl/>
          <w:lang w:eastAsia="en-US"/>
        </w:rPr>
        <w:t xml:space="preserve"> את זו דרש שמעון בן זומא</w:t>
      </w:r>
      <w:r w:rsidR="00550976">
        <w:rPr>
          <w:rFonts w:hint="cs"/>
          <w:rtl/>
          <w:lang w:eastAsia="en-US"/>
        </w:rPr>
        <w:t>:</w:t>
      </w:r>
      <w:r>
        <w:rPr>
          <w:rtl/>
          <w:lang w:eastAsia="en-US"/>
        </w:rPr>
        <w:t xml:space="preserve"> נאמר במעשה בראשית (בראשית א</w:t>
      </w:r>
      <w:r w:rsidR="00550976">
        <w:rPr>
          <w:rFonts w:hint="cs"/>
          <w:rtl/>
          <w:lang w:eastAsia="en-US"/>
        </w:rPr>
        <w:t xml:space="preserve"> ה</w:t>
      </w:r>
      <w:r>
        <w:rPr>
          <w:rtl/>
          <w:lang w:eastAsia="en-US"/>
        </w:rPr>
        <w:t xml:space="preserve">) </w:t>
      </w:r>
      <w:r w:rsidR="00550976">
        <w:rPr>
          <w:rFonts w:hint="cs"/>
          <w:rtl/>
          <w:lang w:eastAsia="en-US"/>
        </w:rPr>
        <w:t>"</w:t>
      </w:r>
      <w:r>
        <w:rPr>
          <w:rtl/>
          <w:lang w:eastAsia="en-US"/>
        </w:rPr>
        <w:t>יום אחד</w:t>
      </w:r>
      <w:r w:rsidR="00550976">
        <w:rPr>
          <w:rFonts w:hint="cs"/>
          <w:rtl/>
          <w:lang w:eastAsia="en-US"/>
        </w:rPr>
        <w:t>",</w:t>
      </w:r>
      <w:r>
        <w:rPr>
          <w:rtl/>
          <w:lang w:eastAsia="en-US"/>
        </w:rPr>
        <w:t xml:space="preserve"> ונאמר ב</w:t>
      </w:r>
      <w:r w:rsidR="00550976">
        <w:rPr>
          <w:rFonts w:hint="cs"/>
          <w:rtl/>
          <w:lang w:eastAsia="en-US"/>
        </w:rPr>
        <w:t>"</w:t>
      </w:r>
      <w:r>
        <w:rPr>
          <w:rtl/>
          <w:lang w:eastAsia="en-US"/>
        </w:rPr>
        <w:t>אותו ואת בנו</w:t>
      </w:r>
      <w:r w:rsidR="00550976">
        <w:rPr>
          <w:rFonts w:hint="cs"/>
          <w:rtl/>
          <w:lang w:eastAsia="en-US"/>
        </w:rPr>
        <w:t>"</w:t>
      </w:r>
      <w:r>
        <w:rPr>
          <w:rtl/>
          <w:lang w:eastAsia="en-US"/>
        </w:rPr>
        <w:t xml:space="preserve"> (ויקרא כב</w:t>
      </w:r>
      <w:r w:rsidR="00550976">
        <w:rPr>
          <w:rFonts w:hint="cs"/>
          <w:rtl/>
          <w:lang w:eastAsia="en-US"/>
        </w:rPr>
        <w:t xml:space="preserve"> כח</w:t>
      </w:r>
      <w:r>
        <w:rPr>
          <w:rtl/>
          <w:lang w:eastAsia="en-US"/>
        </w:rPr>
        <w:t xml:space="preserve">) </w:t>
      </w:r>
      <w:r w:rsidR="00550976">
        <w:rPr>
          <w:rFonts w:hint="cs"/>
          <w:rtl/>
          <w:lang w:eastAsia="en-US"/>
        </w:rPr>
        <w:t>"</w:t>
      </w:r>
      <w:r>
        <w:rPr>
          <w:rtl/>
          <w:lang w:eastAsia="en-US"/>
        </w:rPr>
        <w:t>יום אחד</w:t>
      </w:r>
      <w:r w:rsidR="00550976">
        <w:rPr>
          <w:rFonts w:hint="cs"/>
          <w:rtl/>
          <w:lang w:eastAsia="en-US"/>
        </w:rPr>
        <w:t>".</w:t>
      </w:r>
      <w:r>
        <w:rPr>
          <w:rtl/>
          <w:lang w:eastAsia="en-US"/>
        </w:rPr>
        <w:t xml:space="preserve"> מה יום אחד האמור במעשה בראשית היום הולך אחר הלילה</w:t>
      </w:r>
      <w:r w:rsidR="00550976">
        <w:rPr>
          <w:rFonts w:hint="cs"/>
          <w:rtl/>
          <w:lang w:eastAsia="en-US"/>
        </w:rPr>
        <w:t>,</w:t>
      </w:r>
      <w:r>
        <w:rPr>
          <w:rtl/>
          <w:lang w:eastAsia="en-US"/>
        </w:rPr>
        <w:t xml:space="preserve"> אף יום אחד האמור בא</w:t>
      </w:r>
      <w:r w:rsidR="00550976">
        <w:rPr>
          <w:rtl/>
          <w:lang w:eastAsia="en-US"/>
        </w:rPr>
        <w:t>ותו ואת בנו היום הולך אחר הלילה</w:t>
      </w:r>
      <w:r w:rsidR="00550976">
        <w:rPr>
          <w:rFonts w:hint="cs"/>
          <w:rtl/>
          <w:lang w:eastAsia="en-US"/>
        </w:rPr>
        <w:t>.</w:t>
      </w:r>
      <w:r w:rsidR="00F40541">
        <w:rPr>
          <w:rStyle w:val="a5"/>
          <w:rtl/>
          <w:lang w:eastAsia="en-US"/>
        </w:rPr>
        <w:footnoteReference w:id="7"/>
      </w:r>
    </w:p>
    <w:p w:rsidR="00F26D6F" w:rsidRDefault="00F33CFD" w:rsidP="00F33CFD">
      <w:pPr>
        <w:pStyle w:val="ab"/>
        <w:rPr>
          <w:rtl/>
          <w:lang w:eastAsia="en-US"/>
        </w:rPr>
      </w:pPr>
      <w:r>
        <w:rPr>
          <w:rFonts w:hint="cs"/>
          <w:rtl/>
          <w:lang w:eastAsia="en-US"/>
        </w:rPr>
        <w:t xml:space="preserve">גמרא </w:t>
      </w:r>
      <w:r w:rsidR="00F26D6F">
        <w:rPr>
          <w:rtl/>
          <w:lang w:eastAsia="en-US"/>
        </w:rPr>
        <w:t xml:space="preserve">מסכת חולין דף עח עמוד ב </w:t>
      </w:r>
    </w:p>
    <w:p w:rsidR="00720988" w:rsidRDefault="00F26D6F" w:rsidP="00E67ED8">
      <w:pPr>
        <w:pStyle w:val="ac"/>
        <w:rPr>
          <w:rFonts w:hint="cs"/>
          <w:rtl/>
          <w:lang w:eastAsia="en-US"/>
        </w:rPr>
      </w:pPr>
      <w:r>
        <w:rPr>
          <w:rtl/>
          <w:lang w:eastAsia="en-US"/>
        </w:rPr>
        <w:t>מאי חנניה ומאי רבנן? דתניא: אותו ואת בנו נוהג בנקבות ואינו נוהג בזכרים, חנניה אומר: נוהג בין בזכרים ובין בנקבות.</w:t>
      </w:r>
      <w:r w:rsidR="00E67ED8">
        <w:rPr>
          <w:rStyle w:val="a5"/>
          <w:rtl/>
          <w:lang w:eastAsia="en-US"/>
        </w:rPr>
        <w:footnoteReference w:id="8"/>
      </w:r>
      <w:r>
        <w:rPr>
          <w:rtl/>
          <w:lang w:eastAsia="en-US"/>
        </w:rPr>
        <w:t xml:space="preserve"> מ</w:t>
      </w:r>
      <w:r w:rsidR="00431DD4">
        <w:rPr>
          <w:rFonts w:hint="cs"/>
          <w:rtl/>
          <w:lang w:eastAsia="en-US"/>
        </w:rPr>
        <w:t xml:space="preserve">אי טעמא </w:t>
      </w:r>
      <w:r>
        <w:rPr>
          <w:rtl/>
          <w:lang w:eastAsia="en-US"/>
        </w:rPr>
        <w:t xml:space="preserve">דרבנן? </w:t>
      </w:r>
      <w:r w:rsidR="00E67ED8">
        <w:rPr>
          <w:rFonts w:hint="cs"/>
          <w:rtl/>
          <w:lang w:eastAsia="en-US"/>
        </w:rPr>
        <w:t xml:space="preserve">... </w:t>
      </w:r>
      <w:r>
        <w:rPr>
          <w:rtl/>
          <w:lang w:eastAsia="en-US"/>
        </w:rPr>
        <w:t>אחר שחלק הכתוב,</w:t>
      </w:r>
      <w:r w:rsidR="00E67ED8">
        <w:rPr>
          <w:rStyle w:val="a5"/>
          <w:rtl/>
          <w:lang w:eastAsia="en-US"/>
        </w:rPr>
        <w:footnoteReference w:id="9"/>
      </w:r>
      <w:r>
        <w:rPr>
          <w:rtl/>
          <w:lang w:eastAsia="en-US"/>
        </w:rPr>
        <w:t xml:space="preserve"> זכיתי לדין: חייב כאן וחייב באם על הבנים, מה כשחייב באם על הבנים - בנקבות ולא בזכרים, אף כשחייב כאן - בנקבות ולא בזכרים. ואם נפשך לומר,</w:t>
      </w:r>
      <w:r w:rsidR="00347C44">
        <w:rPr>
          <w:rStyle w:val="a5"/>
          <w:rtl/>
          <w:lang w:eastAsia="en-US"/>
        </w:rPr>
        <w:footnoteReference w:id="10"/>
      </w:r>
      <w:r>
        <w:rPr>
          <w:rtl/>
          <w:lang w:eastAsia="en-US"/>
        </w:rPr>
        <w:t xml:space="preserve"> בנו - מי שבנו כרוך אחריו, יצא זכר שאין בנו כרוך אחריו.</w:t>
      </w:r>
      <w:r w:rsidR="00161CA2">
        <w:rPr>
          <w:rStyle w:val="a5"/>
          <w:rtl/>
          <w:lang w:eastAsia="en-US"/>
        </w:rPr>
        <w:footnoteReference w:id="11"/>
      </w:r>
    </w:p>
    <w:p w:rsidR="00720988" w:rsidRDefault="00720988" w:rsidP="00720988">
      <w:pPr>
        <w:pStyle w:val="ab"/>
        <w:rPr>
          <w:rtl/>
          <w:lang w:eastAsia="en-US"/>
        </w:rPr>
      </w:pPr>
      <w:r>
        <w:rPr>
          <w:rtl/>
          <w:lang w:eastAsia="en-US"/>
        </w:rPr>
        <w:lastRenderedPageBreak/>
        <w:t xml:space="preserve">רמב"ן ויקרא פרק כב </w:t>
      </w:r>
    </w:p>
    <w:p w:rsidR="00720988" w:rsidRDefault="00720988" w:rsidP="007811D7">
      <w:pPr>
        <w:pStyle w:val="ac"/>
        <w:rPr>
          <w:rFonts w:hint="cs"/>
          <w:rtl/>
          <w:lang w:eastAsia="en-US"/>
        </w:rPr>
      </w:pPr>
      <w:r>
        <w:rPr>
          <w:rtl/>
          <w:lang w:eastAsia="en-US"/>
        </w:rPr>
        <w:t xml:space="preserve"> א</w:t>
      </w:r>
      <w:r w:rsidR="00161CA2">
        <w:rPr>
          <w:rFonts w:hint="cs"/>
          <w:rtl/>
          <w:lang w:eastAsia="en-US"/>
        </w:rPr>
        <w:t>ו</w:t>
      </w:r>
      <w:r>
        <w:rPr>
          <w:rtl/>
          <w:lang w:eastAsia="en-US"/>
        </w:rPr>
        <w:t>תו ואת בנו - נוהג בנקבה שאסור לשחוט האם והבן או האם והבת, ואינו נוהג בזכרים ומותר לשחוט האב והבן, לשון רש"י. פוסק הרב הלכה כדברי האומר אין חוששין לזרע האב (חולין עט א), וכן דעת אונקלוס, והוא הנכון בגמרא בדין אותו ואת בנו. אבל דרך הכתוב כשמזכיר הנקבה ביחוד לקרות אותה פרה, ואם כן היה ראוי שיאמר הכתוב, ופרה או כשבה אותה ואת בנה, אלא מפני שהזכיר שור או כשב או עז כי יולד, והזכיר האם והבן והיה שבעת ימים תחת אמו, אמר כי במינין הנזכרים האלו שהם שור ושה עוד מצוה אחרת בהן, כי אותו ואת בנו הנזכרים לא ישחטו ביום אחד</w:t>
      </w:r>
      <w:r w:rsidR="007811D7">
        <w:rPr>
          <w:rFonts w:hint="cs"/>
          <w:rtl/>
          <w:lang w:eastAsia="en-US"/>
        </w:rPr>
        <w:t>.</w:t>
      </w:r>
      <w:r w:rsidR="007811D7">
        <w:rPr>
          <w:rStyle w:val="a5"/>
          <w:rtl/>
          <w:lang w:eastAsia="en-US"/>
        </w:rPr>
        <w:footnoteReference w:id="12"/>
      </w:r>
    </w:p>
    <w:p w:rsidR="00BA4E9E" w:rsidRPr="00BA4E9E" w:rsidRDefault="00BA4E9E" w:rsidP="00BA4E9E">
      <w:pPr>
        <w:pStyle w:val="ab"/>
        <w:rPr>
          <w:rtl/>
          <w:lang w:eastAsia="en-US"/>
        </w:rPr>
      </w:pPr>
      <w:r w:rsidRPr="00BA4E9E">
        <w:rPr>
          <w:rtl/>
          <w:lang w:eastAsia="en-US"/>
        </w:rPr>
        <w:t xml:space="preserve">רש"י שמואל א פרק יד </w:t>
      </w:r>
    </w:p>
    <w:p w:rsidR="007811D7" w:rsidRDefault="00BA4E9E" w:rsidP="00287BD2">
      <w:pPr>
        <w:pStyle w:val="ac"/>
        <w:rPr>
          <w:rFonts w:hint="cs"/>
          <w:rtl/>
          <w:lang w:eastAsia="en-US"/>
        </w:rPr>
      </w:pPr>
      <w:r w:rsidRPr="00BA4E9E">
        <w:rPr>
          <w:rtl/>
          <w:lang w:eastAsia="en-US"/>
        </w:rPr>
        <w:t>ויעש העם - כמו ויעט העם לשון עיט (בראשית טו יא)</w:t>
      </w:r>
      <w:r w:rsidR="008D3D3F">
        <w:rPr>
          <w:rFonts w:hint="cs"/>
          <w:rtl/>
          <w:lang w:eastAsia="en-US"/>
        </w:rPr>
        <w:t>.</w:t>
      </w:r>
      <w:r w:rsidR="008D3D3F">
        <w:rPr>
          <w:rStyle w:val="a5"/>
          <w:rtl/>
          <w:lang w:eastAsia="en-US"/>
        </w:rPr>
        <w:footnoteReference w:id="13"/>
      </w:r>
      <w:r w:rsidR="007811D7">
        <w:rPr>
          <w:rFonts w:hint="cs"/>
          <w:rtl/>
          <w:lang w:eastAsia="en-US"/>
        </w:rPr>
        <w:t xml:space="preserve"> </w:t>
      </w:r>
      <w:r w:rsidRPr="00BA4E9E">
        <w:rPr>
          <w:rtl/>
          <w:lang w:eastAsia="en-US"/>
        </w:rPr>
        <w:t>צאן ובקר ובני בקר - אומר אני זה אותו ואת בנו לא תשחטו ולכך קראם חוטאים</w:t>
      </w:r>
      <w:r w:rsidR="007811D7">
        <w:rPr>
          <w:rFonts w:hint="cs"/>
          <w:rtl/>
          <w:lang w:eastAsia="en-US"/>
        </w:rPr>
        <w:t>.</w:t>
      </w:r>
      <w:r w:rsidRPr="00BA4E9E">
        <w:rPr>
          <w:rtl/>
          <w:lang w:eastAsia="en-US"/>
        </w:rPr>
        <w:t xml:space="preserve"> ורבותינו אמרו בשחיט</w:t>
      </w:r>
      <w:r w:rsidR="007811D7">
        <w:rPr>
          <w:rFonts w:hint="cs"/>
          <w:rtl/>
          <w:lang w:eastAsia="en-US"/>
        </w:rPr>
        <w:t>ת</w:t>
      </w:r>
      <w:r w:rsidRPr="00BA4E9E">
        <w:rPr>
          <w:rtl/>
          <w:lang w:eastAsia="en-US"/>
        </w:rPr>
        <w:t xml:space="preserve"> קדשים שהיו מקדישים אותם שלמים ואוכלים לפני זריקת דם הוא שאמר ויאכל העם על הדם אוכלים קדשים ועדין דם במזרק</w:t>
      </w:r>
      <w:r w:rsidR="007811D7">
        <w:rPr>
          <w:rFonts w:hint="cs"/>
          <w:rtl/>
          <w:lang w:eastAsia="en-US"/>
        </w:rPr>
        <w:t>.</w:t>
      </w:r>
      <w:r w:rsidR="00716B81">
        <w:rPr>
          <w:rStyle w:val="a5"/>
          <w:rtl/>
          <w:lang w:eastAsia="en-US"/>
        </w:rPr>
        <w:footnoteReference w:id="14"/>
      </w:r>
    </w:p>
    <w:p w:rsidR="00C81D71" w:rsidRPr="00C119B1" w:rsidRDefault="00C81D71" w:rsidP="008D3D3F">
      <w:pPr>
        <w:pStyle w:val="ab"/>
        <w:rPr>
          <w:rFonts w:hint="cs"/>
          <w:rtl/>
          <w:lang w:eastAsia="en-US"/>
        </w:rPr>
      </w:pPr>
      <w:r w:rsidRPr="00C119B1">
        <w:rPr>
          <w:rFonts w:hint="eastAsia"/>
          <w:rtl/>
          <w:lang w:eastAsia="en-US"/>
        </w:rPr>
        <w:t>רמב</w:t>
      </w:r>
      <w:r w:rsidRPr="00C119B1">
        <w:rPr>
          <w:rtl/>
          <w:lang w:eastAsia="en-US"/>
        </w:rPr>
        <w:t>"</w:t>
      </w:r>
      <w:r w:rsidRPr="00C119B1">
        <w:rPr>
          <w:rFonts w:hint="eastAsia"/>
          <w:rtl/>
          <w:lang w:eastAsia="en-US"/>
        </w:rPr>
        <w:t>ן</w:t>
      </w:r>
      <w:r w:rsidRPr="00C119B1">
        <w:rPr>
          <w:rtl/>
          <w:lang w:eastAsia="en-US"/>
        </w:rPr>
        <w:t xml:space="preserve"> </w:t>
      </w:r>
      <w:r w:rsidRPr="00C119B1">
        <w:rPr>
          <w:rFonts w:hint="eastAsia"/>
          <w:rtl/>
          <w:lang w:eastAsia="en-US"/>
        </w:rPr>
        <w:t>דברים</w:t>
      </w:r>
      <w:r w:rsidRPr="00C119B1">
        <w:rPr>
          <w:rtl/>
          <w:lang w:eastAsia="en-US"/>
        </w:rPr>
        <w:t xml:space="preserve"> </w:t>
      </w:r>
      <w:r w:rsidRPr="00C119B1">
        <w:rPr>
          <w:rFonts w:hint="eastAsia"/>
          <w:rtl/>
          <w:lang w:eastAsia="en-US"/>
        </w:rPr>
        <w:t>פרק</w:t>
      </w:r>
      <w:r w:rsidRPr="00C119B1">
        <w:rPr>
          <w:rtl/>
          <w:lang w:eastAsia="en-US"/>
        </w:rPr>
        <w:t xml:space="preserve"> </w:t>
      </w:r>
      <w:r w:rsidRPr="00C119B1">
        <w:rPr>
          <w:rFonts w:hint="eastAsia"/>
          <w:rtl/>
          <w:lang w:eastAsia="en-US"/>
        </w:rPr>
        <w:t>כב</w:t>
      </w:r>
      <w:r w:rsidRPr="00C119B1">
        <w:rPr>
          <w:rtl/>
          <w:lang w:eastAsia="en-US"/>
        </w:rPr>
        <w:t xml:space="preserve"> </w:t>
      </w:r>
      <w:r w:rsidR="008D3D3F">
        <w:rPr>
          <w:rFonts w:hint="cs"/>
          <w:rtl/>
          <w:lang w:eastAsia="en-US"/>
        </w:rPr>
        <w:t>פסוק ו</w:t>
      </w:r>
    </w:p>
    <w:p w:rsidR="005335DC" w:rsidRPr="008D3D3F" w:rsidRDefault="00C81D71" w:rsidP="00674209">
      <w:pPr>
        <w:pStyle w:val="ac"/>
        <w:rPr>
          <w:rFonts w:hint="cs"/>
          <w:sz w:val="24"/>
          <w:rtl/>
          <w:lang w:eastAsia="en-US"/>
        </w:rPr>
      </w:pP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יקרא</w:t>
      </w:r>
      <w:r w:rsidRPr="00C119B1">
        <w:rPr>
          <w:sz w:val="24"/>
          <w:rtl/>
          <w:lang w:eastAsia="en-US"/>
        </w:rPr>
        <w:t xml:space="preserve"> </w:t>
      </w:r>
      <w:r w:rsidRPr="00C119B1">
        <w:rPr>
          <w:rFonts w:hint="eastAsia"/>
          <w:sz w:val="24"/>
          <w:rtl/>
          <w:lang w:eastAsia="en-US"/>
        </w:rPr>
        <w:t>קן</w:t>
      </w:r>
      <w:r w:rsidRPr="00C119B1">
        <w:rPr>
          <w:sz w:val="24"/>
          <w:rtl/>
          <w:lang w:eastAsia="en-US"/>
        </w:rPr>
        <w:t xml:space="preserve"> </w:t>
      </w:r>
      <w:r w:rsidRPr="00C119B1">
        <w:rPr>
          <w:rFonts w:hint="eastAsia"/>
          <w:sz w:val="24"/>
          <w:rtl/>
          <w:lang w:eastAsia="en-US"/>
        </w:rPr>
        <w:t>צפור</w:t>
      </w:r>
      <w:r w:rsidRPr="00C119B1">
        <w:rPr>
          <w:sz w:val="24"/>
          <w:rtl/>
          <w:lang w:eastAsia="en-US"/>
        </w:rPr>
        <w:t xml:space="preserve"> </w:t>
      </w:r>
      <w:r w:rsidRPr="00C119B1">
        <w:rPr>
          <w:rFonts w:hint="eastAsia"/>
          <w:sz w:val="24"/>
          <w:rtl/>
          <w:lang w:eastAsia="en-US"/>
        </w:rPr>
        <w:t>לפניך</w:t>
      </w:r>
      <w:r w:rsidRPr="00C119B1">
        <w:rPr>
          <w:sz w:val="24"/>
          <w:rtl/>
          <w:lang w:eastAsia="en-US"/>
        </w:rPr>
        <w:t xml:space="preserve"> - </w:t>
      </w:r>
      <w:r w:rsidRPr="00C119B1">
        <w:rPr>
          <w:rFonts w:hint="eastAsia"/>
          <w:sz w:val="24"/>
          <w:rtl/>
          <w:lang w:eastAsia="en-US"/>
        </w:rPr>
        <w:t>גם</w:t>
      </w:r>
      <w:r w:rsidRPr="00C119B1">
        <w:rPr>
          <w:sz w:val="24"/>
          <w:rtl/>
          <w:lang w:eastAsia="en-US"/>
        </w:rPr>
        <w:t xml:space="preserve"> </w:t>
      </w:r>
      <w:r w:rsidRPr="00C119B1">
        <w:rPr>
          <w:rFonts w:hint="eastAsia"/>
          <w:sz w:val="24"/>
          <w:rtl/>
          <w:lang w:eastAsia="en-US"/>
        </w:rPr>
        <w:t>זו</w:t>
      </w:r>
      <w:r w:rsidRPr="00C119B1">
        <w:rPr>
          <w:sz w:val="24"/>
          <w:rtl/>
          <w:lang w:eastAsia="en-US"/>
        </w:rPr>
        <w:t xml:space="preserve"> </w:t>
      </w:r>
      <w:r w:rsidRPr="00C119B1">
        <w:rPr>
          <w:rFonts w:hint="eastAsia"/>
          <w:sz w:val="24"/>
          <w:rtl/>
          <w:lang w:eastAsia="en-US"/>
        </w:rPr>
        <w:t>מצוה</w:t>
      </w:r>
      <w:r w:rsidRPr="00C119B1">
        <w:rPr>
          <w:sz w:val="24"/>
          <w:rtl/>
          <w:lang w:eastAsia="en-US"/>
        </w:rPr>
        <w:t xml:space="preserve"> </w:t>
      </w:r>
      <w:r w:rsidRPr="00C119B1">
        <w:rPr>
          <w:rFonts w:hint="eastAsia"/>
          <w:sz w:val="24"/>
          <w:rtl/>
          <w:lang w:eastAsia="en-US"/>
        </w:rPr>
        <w:t>מבוארת</w:t>
      </w:r>
      <w:r w:rsidRPr="00C119B1">
        <w:rPr>
          <w:sz w:val="24"/>
          <w:rtl/>
          <w:lang w:eastAsia="en-US"/>
        </w:rPr>
        <w:t xml:space="preserve"> </w:t>
      </w:r>
      <w:r w:rsidRPr="00C119B1">
        <w:rPr>
          <w:rFonts w:hint="eastAsia"/>
          <w:sz w:val="24"/>
          <w:rtl/>
          <w:lang w:eastAsia="en-US"/>
        </w:rPr>
        <w:t>מן</w:t>
      </w:r>
      <w:r w:rsidRPr="00C119B1">
        <w:rPr>
          <w:sz w:val="24"/>
          <w:rtl/>
          <w:lang w:eastAsia="en-US"/>
        </w:rPr>
        <w:t xml:space="preserve"> </w:t>
      </w:r>
      <w:r w:rsidRPr="00C119B1">
        <w:rPr>
          <w:rFonts w:hint="eastAsia"/>
          <w:sz w:val="24"/>
          <w:rtl/>
          <w:lang w:eastAsia="en-US"/>
        </w:rPr>
        <w:t>אותו</w:t>
      </w:r>
      <w:r w:rsidRPr="00C119B1">
        <w:rPr>
          <w:sz w:val="24"/>
          <w:rtl/>
          <w:lang w:eastAsia="en-US"/>
        </w:rPr>
        <w:t xml:space="preserve"> </w:t>
      </w:r>
      <w:r w:rsidRPr="00C119B1">
        <w:rPr>
          <w:rFonts w:hint="eastAsia"/>
          <w:sz w:val="24"/>
          <w:rtl/>
          <w:lang w:eastAsia="en-US"/>
        </w:rPr>
        <w:t>ואת</w:t>
      </w:r>
      <w:r w:rsidRPr="00C119B1">
        <w:rPr>
          <w:sz w:val="24"/>
          <w:rtl/>
          <w:lang w:eastAsia="en-US"/>
        </w:rPr>
        <w:t xml:space="preserve"> </w:t>
      </w:r>
      <w:r w:rsidRPr="00C119B1">
        <w:rPr>
          <w:rFonts w:hint="eastAsia"/>
          <w:sz w:val="24"/>
          <w:rtl/>
          <w:lang w:eastAsia="en-US"/>
        </w:rPr>
        <w:t>בנו</w:t>
      </w:r>
      <w:r w:rsidRPr="00C119B1">
        <w:rPr>
          <w:sz w:val="24"/>
          <w:rtl/>
          <w:lang w:eastAsia="en-US"/>
        </w:rPr>
        <w:t xml:space="preserve"> </w:t>
      </w:r>
      <w:r w:rsidRPr="00C119B1">
        <w:rPr>
          <w:rFonts w:hint="eastAsia"/>
          <w:sz w:val="24"/>
          <w:rtl/>
          <w:lang w:eastAsia="en-US"/>
        </w:rPr>
        <w:t>לא</w:t>
      </w:r>
      <w:r w:rsidRPr="00C119B1">
        <w:rPr>
          <w:sz w:val="24"/>
          <w:rtl/>
          <w:lang w:eastAsia="en-US"/>
        </w:rPr>
        <w:t xml:space="preserve"> </w:t>
      </w:r>
      <w:r w:rsidRPr="00C119B1">
        <w:rPr>
          <w:rFonts w:hint="eastAsia"/>
          <w:sz w:val="24"/>
          <w:rtl/>
          <w:lang w:eastAsia="en-US"/>
        </w:rPr>
        <w:t>תשחטו</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ויקרא</w:t>
      </w:r>
      <w:r w:rsidRPr="00C119B1">
        <w:rPr>
          <w:sz w:val="24"/>
          <w:rtl/>
          <w:lang w:eastAsia="en-US"/>
        </w:rPr>
        <w:t xml:space="preserve"> </w:t>
      </w:r>
      <w:r w:rsidRPr="00C119B1">
        <w:rPr>
          <w:rFonts w:hint="eastAsia"/>
          <w:sz w:val="24"/>
          <w:rtl/>
          <w:lang w:eastAsia="en-US"/>
        </w:rPr>
        <w:t>כב</w:t>
      </w:r>
      <w:r w:rsidRPr="00C119B1">
        <w:rPr>
          <w:sz w:val="24"/>
          <w:rtl/>
          <w:lang w:eastAsia="en-US"/>
        </w:rPr>
        <w:t xml:space="preserve"> </w:t>
      </w:r>
      <w:r w:rsidRPr="00C119B1">
        <w:rPr>
          <w:rFonts w:hint="eastAsia"/>
          <w:sz w:val="24"/>
          <w:rtl/>
          <w:lang w:eastAsia="en-US"/>
        </w:rPr>
        <w:t>כח</w:t>
      </w:r>
      <w:r w:rsidRPr="00C119B1">
        <w:rPr>
          <w:sz w:val="24"/>
          <w:rtl/>
          <w:lang w:eastAsia="en-US"/>
        </w:rPr>
        <w:t>).</w:t>
      </w:r>
      <w:r w:rsidR="008D3D3F">
        <w:rPr>
          <w:rStyle w:val="a5"/>
          <w:sz w:val="24"/>
          <w:rtl/>
          <w:lang w:eastAsia="en-US"/>
        </w:rPr>
        <w:footnoteReference w:id="15"/>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הטעם</w:t>
      </w:r>
      <w:r w:rsidRPr="00C119B1">
        <w:rPr>
          <w:sz w:val="24"/>
          <w:rtl/>
          <w:lang w:eastAsia="en-US"/>
        </w:rPr>
        <w:t xml:space="preserve"> </w:t>
      </w:r>
      <w:r w:rsidRPr="00C119B1">
        <w:rPr>
          <w:rFonts w:hint="eastAsia"/>
          <w:sz w:val="24"/>
          <w:rtl/>
          <w:lang w:eastAsia="en-US"/>
        </w:rPr>
        <w:t>בשניהם</w:t>
      </w:r>
      <w:r w:rsidRPr="00C119B1">
        <w:rPr>
          <w:sz w:val="24"/>
          <w:rtl/>
          <w:lang w:eastAsia="en-US"/>
        </w:rPr>
        <w:t xml:space="preserve"> </w:t>
      </w:r>
      <w:r w:rsidRPr="00C119B1">
        <w:rPr>
          <w:rFonts w:hint="eastAsia"/>
          <w:sz w:val="24"/>
          <w:rtl/>
          <w:lang w:eastAsia="en-US"/>
        </w:rPr>
        <w:t>לבלתי</w:t>
      </w:r>
      <w:r w:rsidRPr="00C119B1">
        <w:rPr>
          <w:sz w:val="24"/>
          <w:rtl/>
          <w:lang w:eastAsia="en-US"/>
        </w:rPr>
        <w:t xml:space="preserve"> </w:t>
      </w:r>
      <w:r w:rsidRPr="00C119B1">
        <w:rPr>
          <w:rFonts w:hint="eastAsia"/>
          <w:sz w:val="24"/>
          <w:rtl/>
          <w:lang w:eastAsia="en-US"/>
        </w:rPr>
        <w:t>היות</w:t>
      </w:r>
      <w:r w:rsidRPr="00C119B1">
        <w:rPr>
          <w:sz w:val="24"/>
          <w:rtl/>
          <w:lang w:eastAsia="en-US"/>
        </w:rPr>
        <w:t xml:space="preserve"> </w:t>
      </w:r>
      <w:r w:rsidRPr="00C119B1">
        <w:rPr>
          <w:rFonts w:hint="eastAsia"/>
          <w:sz w:val="24"/>
          <w:rtl/>
          <w:lang w:eastAsia="en-US"/>
        </w:rPr>
        <w:t>לנו</w:t>
      </w:r>
      <w:r w:rsidRPr="00C119B1">
        <w:rPr>
          <w:sz w:val="24"/>
          <w:rtl/>
          <w:lang w:eastAsia="en-US"/>
        </w:rPr>
        <w:t xml:space="preserve"> </w:t>
      </w:r>
      <w:r w:rsidRPr="00C119B1">
        <w:rPr>
          <w:rFonts w:hint="eastAsia"/>
          <w:sz w:val="24"/>
          <w:rtl/>
          <w:lang w:eastAsia="en-US"/>
        </w:rPr>
        <w:t>לב</w:t>
      </w:r>
      <w:r w:rsidRPr="00C119B1">
        <w:rPr>
          <w:sz w:val="24"/>
          <w:rtl/>
          <w:lang w:eastAsia="en-US"/>
        </w:rPr>
        <w:t xml:space="preserve"> </w:t>
      </w:r>
      <w:r w:rsidRPr="00C119B1">
        <w:rPr>
          <w:rFonts w:hint="eastAsia"/>
          <w:sz w:val="24"/>
          <w:rtl/>
          <w:lang w:eastAsia="en-US"/>
        </w:rPr>
        <w:t>אכזרי</w:t>
      </w:r>
      <w:r w:rsidRPr="00C119B1">
        <w:rPr>
          <w:sz w:val="24"/>
          <w:rtl/>
          <w:lang w:eastAsia="en-US"/>
        </w:rPr>
        <w:t xml:space="preserve"> </w:t>
      </w:r>
      <w:r w:rsidRPr="00C119B1">
        <w:rPr>
          <w:rFonts w:hint="eastAsia"/>
          <w:sz w:val="24"/>
          <w:rtl/>
          <w:lang w:eastAsia="en-US"/>
        </w:rPr>
        <w:t>ולא</w:t>
      </w:r>
      <w:r w:rsidRPr="00C119B1">
        <w:rPr>
          <w:sz w:val="24"/>
          <w:rtl/>
          <w:lang w:eastAsia="en-US"/>
        </w:rPr>
        <w:t xml:space="preserve"> </w:t>
      </w:r>
      <w:r w:rsidRPr="00C119B1">
        <w:rPr>
          <w:rFonts w:hint="eastAsia"/>
          <w:sz w:val="24"/>
          <w:rtl/>
          <w:lang w:eastAsia="en-US"/>
        </w:rPr>
        <w:t>נרחם</w:t>
      </w:r>
      <w:r w:rsidRPr="00C119B1">
        <w:rPr>
          <w:sz w:val="24"/>
          <w:rtl/>
          <w:lang w:eastAsia="en-US"/>
        </w:rPr>
        <w:t xml:space="preserve">, </w:t>
      </w:r>
      <w:r w:rsidRPr="00C119B1">
        <w:rPr>
          <w:rFonts w:hint="eastAsia"/>
          <w:sz w:val="24"/>
          <w:rtl/>
          <w:lang w:eastAsia="en-US"/>
        </w:rPr>
        <w:t>או</w:t>
      </w:r>
      <w:r w:rsidRPr="00C119B1">
        <w:rPr>
          <w:sz w:val="24"/>
          <w:rtl/>
          <w:lang w:eastAsia="en-US"/>
        </w:rPr>
        <w:t xml:space="preserve"> </w:t>
      </w:r>
      <w:r w:rsidRPr="00C119B1">
        <w:rPr>
          <w:rFonts w:hint="eastAsia"/>
          <w:sz w:val="24"/>
          <w:rtl/>
          <w:lang w:eastAsia="en-US"/>
        </w:rPr>
        <w:t>שלא</w:t>
      </w:r>
      <w:r w:rsidRPr="00C119B1">
        <w:rPr>
          <w:sz w:val="24"/>
          <w:rtl/>
          <w:lang w:eastAsia="en-US"/>
        </w:rPr>
        <w:t xml:space="preserve"> </w:t>
      </w:r>
      <w:r w:rsidRPr="00C119B1">
        <w:rPr>
          <w:rFonts w:hint="eastAsia"/>
          <w:sz w:val="24"/>
          <w:rtl/>
          <w:lang w:eastAsia="en-US"/>
        </w:rPr>
        <w:t>יתיר</w:t>
      </w:r>
      <w:r w:rsidRPr="00C119B1">
        <w:rPr>
          <w:sz w:val="24"/>
          <w:rtl/>
          <w:lang w:eastAsia="en-US"/>
        </w:rPr>
        <w:t xml:space="preserve"> </w:t>
      </w:r>
      <w:r w:rsidRPr="00C119B1">
        <w:rPr>
          <w:rFonts w:hint="eastAsia"/>
          <w:sz w:val="24"/>
          <w:rtl/>
          <w:lang w:eastAsia="en-US"/>
        </w:rPr>
        <w:t>הכתוב</w:t>
      </w:r>
      <w:r w:rsidRPr="00C119B1">
        <w:rPr>
          <w:sz w:val="24"/>
          <w:rtl/>
          <w:lang w:eastAsia="en-US"/>
        </w:rPr>
        <w:t xml:space="preserve"> </w:t>
      </w:r>
      <w:r w:rsidRPr="00C119B1">
        <w:rPr>
          <w:rFonts w:hint="eastAsia"/>
          <w:sz w:val="24"/>
          <w:rtl/>
          <w:lang w:eastAsia="en-US"/>
        </w:rPr>
        <w:t>לעשות</w:t>
      </w:r>
      <w:r w:rsidRPr="00C119B1">
        <w:rPr>
          <w:sz w:val="24"/>
          <w:rtl/>
          <w:lang w:eastAsia="en-US"/>
        </w:rPr>
        <w:t xml:space="preserve"> </w:t>
      </w:r>
      <w:r w:rsidRPr="00C119B1">
        <w:rPr>
          <w:rFonts w:hint="eastAsia"/>
          <w:sz w:val="24"/>
          <w:rtl/>
          <w:lang w:eastAsia="en-US"/>
        </w:rPr>
        <w:t>השחתה</w:t>
      </w:r>
      <w:r w:rsidRPr="00C119B1">
        <w:rPr>
          <w:sz w:val="24"/>
          <w:rtl/>
          <w:lang w:eastAsia="en-US"/>
        </w:rPr>
        <w:t xml:space="preserve"> </w:t>
      </w:r>
      <w:r w:rsidRPr="00C119B1">
        <w:rPr>
          <w:rFonts w:hint="eastAsia"/>
          <w:sz w:val="24"/>
          <w:rtl/>
          <w:lang w:eastAsia="en-US"/>
        </w:rPr>
        <w:t>לעקור</w:t>
      </w:r>
      <w:r w:rsidRPr="00C119B1">
        <w:rPr>
          <w:sz w:val="24"/>
          <w:rtl/>
          <w:lang w:eastAsia="en-US"/>
        </w:rPr>
        <w:t xml:space="preserve"> </w:t>
      </w:r>
      <w:r w:rsidRPr="00C119B1">
        <w:rPr>
          <w:rFonts w:hint="eastAsia"/>
          <w:sz w:val="24"/>
          <w:rtl/>
          <w:lang w:eastAsia="en-US"/>
        </w:rPr>
        <w:t>המין</w:t>
      </w:r>
      <w:r w:rsidRPr="00C119B1">
        <w:rPr>
          <w:sz w:val="24"/>
          <w:rtl/>
          <w:lang w:eastAsia="en-US"/>
        </w:rPr>
        <w:t xml:space="preserve"> </w:t>
      </w:r>
      <w:r w:rsidRPr="00C119B1">
        <w:rPr>
          <w:rFonts w:hint="eastAsia"/>
          <w:sz w:val="24"/>
          <w:rtl/>
          <w:lang w:eastAsia="en-US"/>
        </w:rPr>
        <w:t>אע</w:t>
      </w:r>
      <w:r w:rsidRPr="00C119B1">
        <w:rPr>
          <w:sz w:val="24"/>
          <w:rtl/>
          <w:lang w:eastAsia="en-US"/>
        </w:rPr>
        <w:t>"</w:t>
      </w:r>
      <w:r w:rsidRPr="00C119B1">
        <w:rPr>
          <w:rFonts w:hint="eastAsia"/>
          <w:sz w:val="24"/>
          <w:rtl/>
          <w:lang w:eastAsia="en-US"/>
        </w:rPr>
        <w:t>פ</w:t>
      </w:r>
      <w:r w:rsidRPr="00C119B1">
        <w:rPr>
          <w:sz w:val="24"/>
          <w:rtl/>
          <w:lang w:eastAsia="en-US"/>
        </w:rPr>
        <w:t xml:space="preserve"> </w:t>
      </w:r>
      <w:r w:rsidRPr="00C119B1">
        <w:rPr>
          <w:rFonts w:hint="eastAsia"/>
          <w:sz w:val="24"/>
          <w:rtl/>
          <w:lang w:eastAsia="en-US"/>
        </w:rPr>
        <w:t>שהתיר</w:t>
      </w:r>
      <w:r w:rsidRPr="00C119B1">
        <w:rPr>
          <w:sz w:val="24"/>
          <w:rtl/>
          <w:lang w:eastAsia="en-US"/>
        </w:rPr>
        <w:t xml:space="preserve"> </w:t>
      </w:r>
      <w:r w:rsidRPr="00C119B1">
        <w:rPr>
          <w:rFonts w:hint="eastAsia"/>
          <w:sz w:val="24"/>
          <w:rtl/>
          <w:lang w:eastAsia="en-US"/>
        </w:rPr>
        <w:t>השחיטה</w:t>
      </w:r>
      <w:r w:rsidRPr="00C119B1">
        <w:rPr>
          <w:sz w:val="24"/>
          <w:rtl/>
          <w:lang w:eastAsia="en-US"/>
        </w:rPr>
        <w:t xml:space="preserve"> </w:t>
      </w:r>
      <w:r w:rsidRPr="00C119B1">
        <w:rPr>
          <w:rFonts w:hint="eastAsia"/>
          <w:sz w:val="24"/>
          <w:rtl/>
          <w:lang w:eastAsia="en-US"/>
        </w:rPr>
        <w:t>במין</w:t>
      </w:r>
      <w:r w:rsidRPr="00C119B1">
        <w:rPr>
          <w:sz w:val="24"/>
          <w:rtl/>
          <w:lang w:eastAsia="en-US"/>
        </w:rPr>
        <w:t xml:space="preserve"> </w:t>
      </w:r>
      <w:r w:rsidRPr="00C119B1">
        <w:rPr>
          <w:rFonts w:hint="eastAsia"/>
          <w:sz w:val="24"/>
          <w:rtl/>
          <w:lang w:eastAsia="en-US"/>
        </w:rPr>
        <w:t>ההוא</w:t>
      </w:r>
      <w:r w:rsidRPr="00C119B1">
        <w:rPr>
          <w:sz w:val="24"/>
          <w:rtl/>
          <w:lang w:eastAsia="en-US"/>
        </w:rPr>
        <w:t xml:space="preserve">, </w:t>
      </w:r>
      <w:r w:rsidRPr="00C119B1">
        <w:rPr>
          <w:rFonts w:hint="eastAsia"/>
          <w:sz w:val="24"/>
          <w:rtl/>
          <w:lang w:eastAsia="en-US"/>
        </w:rPr>
        <w:t>והנה</w:t>
      </w:r>
      <w:r w:rsidRPr="00C119B1">
        <w:rPr>
          <w:sz w:val="24"/>
          <w:rtl/>
          <w:lang w:eastAsia="en-US"/>
        </w:rPr>
        <w:t xml:space="preserve"> </w:t>
      </w:r>
      <w:r w:rsidRPr="00C119B1">
        <w:rPr>
          <w:rFonts w:hint="eastAsia"/>
          <w:sz w:val="24"/>
          <w:rtl/>
          <w:lang w:eastAsia="en-US"/>
        </w:rPr>
        <w:t>ההורג</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והבנים</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או</w:t>
      </w:r>
      <w:r w:rsidRPr="00C119B1">
        <w:rPr>
          <w:sz w:val="24"/>
          <w:rtl/>
          <w:lang w:eastAsia="en-US"/>
        </w:rPr>
        <w:t xml:space="preserve"> </w:t>
      </w:r>
      <w:r w:rsidRPr="00C119B1">
        <w:rPr>
          <w:rFonts w:hint="eastAsia"/>
          <w:sz w:val="24"/>
          <w:rtl/>
          <w:lang w:eastAsia="en-US"/>
        </w:rPr>
        <w:t>לוקח</w:t>
      </w:r>
      <w:r w:rsidRPr="00C119B1">
        <w:rPr>
          <w:sz w:val="24"/>
          <w:rtl/>
          <w:lang w:eastAsia="en-US"/>
        </w:rPr>
        <w:t xml:space="preserve"> </w:t>
      </w:r>
      <w:r w:rsidRPr="00C119B1">
        <w:rPr>
          <w:rFonts w:hint="eastAsia"/>
          <w:sz w:val="24"/>
          <w:rtl/>
          <w:lang w:eastAsia="en-US"/>
        </w:rPr>
        <w:t>אותם</w:t>
      </w:r>
      <w:r w:rsidRPr="00C119B1">
        <w:rPr>
          <w:sz w:val="24"/>
          <w:rtl/>
          <w:lang w:eastAsia="en-US"/>
        </w:rPr>
        <w:t xml:space="preserve"> </w:t>
      </w:r>
      <w:r w:rsidRPr="00C119B1">
        <w:rPr>
          <w:rFonts w:hint="eastAsia"/>
          <w:sz w:val="24"/>
          <w:rtl/>
          <w:lang w:eastAsia="en-US"/>
        </w:rPr>
        <w:t>בהיות</w:t>
      </w:r>
      <w:r w:rsidRPr="00C119B1">
        <w:rPr>
          <w:sz w:val="24"/>
          <w:rtl/>
          <w:lang w:eastAsia="en-US"/>
        </w:rPr>
        <w:t xml:space="preserve"> </w:t>
      </w:r>
      <w:r w:rsidRPr="00C119B1">
        <w:rPr>
          <w:rFonts w:hint="eastAsia"/>
          <w:sz w:val="24"/>
          <w:rtl/>
          <w:lang w:eastAsia="en-US"/>
        </w:rPr>
        <w:t>להם</w:t>
      </w:r>
      <w:r w:rsidRPr="00C119B1">
        <w:rPr>
          <w:sz w:val="24"/>
          <w:rtl/>
          <w:lang w:eastAsia="en-US"/>
        </w:rPr>
        <w:t xml:space="preserve"> </w:t>
      </w:r>
      <w:r w:rsidRPr="00C119B1">
        <w:rPr>
          <w:rFonts w:hint="eastAsia"/>
          <w:sz w:val="24"/>
          <w:rtl/>
          <w:lang w:eastAsia="en-US"/>
        </w:rPr>
        <w:t>דרור</w:t>
      </w:r>
      <w:r w:rsidRPr="00C119B1">
        <w:rPr>
          <w:sz w:val="24"/>
          <w:rtl/>
          <w:lang w:eastAsia="en-US"/>
        </w:rPr>
        <w:t xml:space="preserve"> </w:t>
      </w:r>
      <w:r w:rsidRPr="00C119B1">
        <w:rPr>
          <w:rFonts w:hint="eastAsia"/>
          <w:sz w:val="24"/>
          <w:rtl/>
          <w:lang w:eastAsia="en-US"/>
        </w:rPr>
        <w:t>לעוף</w:t>
      </w:r>
      <w:r w:rsidR="00674209">
        <w:rPr>
          <w:rFonts w:hint="cs"/>
          <w:sz w:val="24"/>
          <w:rtl/>
          <w:lang w:eastAsia="en-US"/>
        </w:rPr>
        <w:t>,</w:t>
      </w:r>
      <w:r w:rsidRPr="00C119B1">
        <w:rPr>
          <w:sz w:val="24"/>
          <w:rtl/>
          <w:lang w:eastAsia="en-US"/>
        </w:rPr>
        <w:t xml:space="preserve"> </w:t>
      </w:r>
      <w:r w:rsidRPr="00C119B1">
        <w:rPr>
          <w:rFonts w:hint="eastAsia"/>
          <w:sz w:val="24"/>
          <w:rtl/>
          <w:lang w:eastAsia="en-US"/>
        </w:rPr>
        <w:t>כא</w:t>
      </w:r>
      <w:r w:rsidR="00674209">
        <w:rPr>
          <w:rFonts w:hint="cs"/>
          <w:sz w:val="24"/>
          <w:rtl/>
          <w:lang w:eastAsia="en-US"/>
        </w:rPr>
        <w:t>י</w:t>
      </w:r>
      <w:r w:rsidRPr="00C119B1">
        <w:rPr>
          <w:rFonts w:hint="eastAsia"/>
          <w:sz w:val="24"/>
          <w:rtl/>
          <w:lang w:eastAsia="en-US"/>
        </w:rPr>
        <w:t>לו</w:t>
      </w:r>
      <w:r w:rsidRPr="00C119B1">
        <w:rPr>
          <w:sz w:val="24"/>
          <w:rtl/>
          <w:lang w:eastAsia="en-US"/>
        </w:rPr>
        <w:t xml:space="preserve"> </w:t>
      </w:r>
      <w:r w:rsidRPr="00C119B1">
        <w:rPr>
          <w:rFonts w:hint="eastAsia"/>
          <w:sz w:val="24"/>
          <w:rtl/>
          <w:lang w:eastAsia="en-US"/>
        </w:rPr>
        <w:t>יכרית</w:t>
      </w:r>
      <w:r w:rsidRPr="00C119B1">
        <w:rPr>
          <w:sz w:val="24"/>
          <w:rtl/>
          <w:lang w:eastAsia="en-US"/>
        </w:rPr>
        <w:t xml:space="preserve"> </w:t>
      </w:r>
      <w:r w:rsidRPr="00C119B1">
        <w:rPr>
          <w:rFonts w:hint="eastAsia"/>
          <w:sz w:val="24"/>
          <w:rtl/>
          <w:lang w:eastAsia="en-US"/>
        </w:rPr>
        <w:t>המין</w:t>
      </w:r>
      <w:r w:rsidRPr="00C119B1">
        <w:rPr>
          <w:sz w:val="24"/>
          <w:rtl/>
          <w:lang w:eastAsia="en-US"/>
        </w:rPr>
        <w:t xml:space="preserve"> </w:t>
      </w:r>
      <w:r w:rsidRPr="00C119B1">
        <w:rPr>
          <w:rFonts w:hint="eastAsia"/>
          <w:sz w:val="24"/>
          <w:rtl/>
          <w:lang w:eastAsia="en-US"/>
        </w:rPr>
        <w:t>ההוא</w:t>
      </w:r>
      <w:r w:rsidR="00674209">
        <w:rPr>
          <w:rFonts w:hint="cs"/>
          <w:sz w:val="24"/>
          <w:rtl/>
          <w:lang w:eastAsia="en-US"/>
        </w:rPr>
        <w:t>.</w:t>
      </w:r>
      <w:r w:rsidR="008D3D3F">
        <w:rPr>
          <w:rFonts w:hint="cs"/>
          <w:sz w:val="24"/>
          <w:rtl/>
          <w:lang w:eastAsia="en-US"/>
        </w:rPr>
        <w:t xml:space="preserve"> </w:t>
      </w:r>
      <w:r w:rsidRPr="00C119B1">
        <w:rPr>
          <w:rFonts w:hint="eastAsia"/>
          <w:sz w:val="24"/>
          <w:rtl/>
          <w:lang w:eastAsia="en-US"/>
        </w:rPr>
        <w:t>וכתב</w:t>
      </w:r>
      <w:r w:rsidRPr="00C119B1">
        <w:rPr>
          <w:sz w:val="24"/>
          <w:rtl/>
          <w:lang w:eastAsia="en-US"/>
        </w:rPr>
        <w:t xml:space="preserve"> </w:t>
      </w:r>
      <w:r w:rsidRPr="00C119B1">
        <w:rPr>
          <w:rFonts w:hint="eastAsia"/>
          <w:sz w:val="24"/>
          <w:rtl/>
          <w:lang w:eastAsia="en-US"/>
        </w:rPr>
        <w:t>הרב</w:t>
      </w:r>
      <w:r w:rsidRPr="00C119B1">
        <w:rPr>
          <w:sz w:val="24"/>
          <w:rtl/>
          <w:lang w:eastAsia="en-US"/>
        </w:rPr>
        <w:t xml:space="preserve"> </w:t>
      </w:r>
      <w:r w:rsidRPr="00C119B1">
        <w:rPr>
          <w:rFonts w:hint="eastAsia"/>
          <w:sz w:val="24"/>
          <w:rtl/>
          <w:lang w:eastAsia="en-US"/>
        </w:rPr>
        <w:t>במורה</w:t>
      </w:r>
      <w:r w:rsidRPr="00C119B1">
        <w:rPr>
          <w:sz w:val="24"/>
          <w:rtl/>
          <w:lang w:eastAsia="en-US"/>
        </w:rPr>
        <w:t xml:space="preserve"> </w:t>
      </w:r>
      <w:r w:rsidRPr="00C119B1">
        <w:rPr>
          <w:rFonts w:hint="eastAsia"/>
          <w:sz w:val="24"/>
          <w:rtl/>
          <w:lang w:eastAsia="en-US"/>
        </w:rPr>
        <w:t>הנבוכים</w:t>
      </w:r>
      <w:r w:rsidRPr="00C119B1">
        <w:rPr>
          <w:sz w:val="24"/>
          <w:rtl/>
          <w:lang w:eastAsia="en-US"/>
        </w:rPr>
        <w:t xml:space="preserve"> (</w:t>
      </w:r>
      <w:r w:rsidRPr="00C119B1">
        <w:rPr>
          <w:rFonts w:hint="eastAsia"/>
          <w:sz w:val="24"/>
          <w:rtl/>
          <w:lang w:eastAsia="en-US"/>
        </w:rPr>
        <w:t>ג</w:t>
      </w:r>
      <w:r w:rsidRPr="00C119B1">
        <w:rPr>
          <w:sz w:val="24"/>
          <w:rtl/>
          <w:lang w:eastAsia="en-US"/>
        </w:rPr>
        <w:t xml:space="preserve"> </w:t>
      </w:r>
      <w:r w:rsidRPr="00C119B1">
        <w:rPr>
          <w:rFonts w:hint="eastAsia"/>
          <w:sz w:val="24"/>
          <w:rtl/>
          <w:lang w:eastAsia="en-US"/>
        </w:rPr>
        <w:t>מח</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טעם</w:t>
      </w:r>
      <w:r w:rsidRPr="00C119B1">
        <w:rPr>
          <w:sz w:val="24"/>
          <w:rtl/>
          <w:lang w:eastAsia="en-US"/>
        </w:rPr>
        <w:t xml:space="preserve"> </w:t>
      </w:r>
      <w:r w:rsidRPr="00C119B1">
        <w:rPr>
          <w:rFonts w:hint="eastAsia"/>
          <w:sz w:val="24"/>
          <w:rtl/>
          <w:lang w:eastAsia="en-US"/>
        </w:rPr>
        <w:t>ש</w:t>
      </w:r>
      <w:r w:rsidR="00674209">
        <w:rPr>
          <w:rFonts w:hint="cs"/>
          <w:sz w:val="24"/>
          <w:rtl/>
          <w:lang w:eastAsia="en-US"/>
        </w:rPr>
        <w:t>י</w:t>
      </w:r>
      <w:r w:rsidRPr="00C119B1">
        <w:rPr>
          <w:rFonts w:hint="eastAsia"/>
          <w:sz w:val="24"/>
          <w:rtl/>
          <w:lang w:eastAsia="en-US"/>
        </w:rPr>
        <w:t>לוח</w:t>
      </w:r>
      <w:r w:rsidRPr="00C119B1">
        <w:rPr>
          <w:sz w:val="24"/>
          <w:rtl/>
          <w:lang w:eastAsia="en-US"/>
        </w:rPr>
        <w:t xml:space="preserve"> </w:t>
      </w:r>
      <w:r w:rsidRPr="00C119B1">
        <w:rPr>
          <w:rFonts w:hint="eastAsia"/>
          <w:sz w:val="24"/>
          <w:rtl/>
          <w:lang w:eastAsia="en-US"/>
        </w:rPr>
        <w:t>הקן</w:t>
      </w:r>
      <w:r w:rsidRPr="00C119B1">
        <w:rPr>
          <w:sz w:val="24"/>
          <w:rtl/>
          <w:lang w:eastAsia="en-US"/>
        </w:rPr>
        <w:t xml:space="preserve"> </w:t>
      </w:r>
      <w:r w:rsidRPr="00C119B1">
        <w:rPr>
          <w:rFonts w:hint="eastAsia"/>
          <w:sz w:val="24"/>
          <w:rtl/>
          <w:lang w:eastAsia="en-US"/>
        </w:rPr>
        <w:t>וטעם</w:t>
      </w:r>
      <w:r w:rsidRPr="00C119B1">
        <w:rPr>
          <w:sz w:val="24"/>
          <w:rtl/>
          <w:lang w:eastAsia="en-US"/>
        </w:rPr>
        <w:t xml:space="preserve"> </w:t>
      </w:r>
      <w:r w:rsidRPr="00C119B1">
        <w:rPr>
          <w:rFonts w:hint="eastAsia"/>
          <w:sz w:val="24"/>
          <w:rtl/>
          <w:lang w:eastAsia="en-US"/>
        </w:rPr>
        <w:t>אותו</w:t>
      </w:r>
      <w:r w:rsidRPr="00C119B1">
        <w:rPr>
          <w:sz w:val="24"/>
          <w:rtl/>
          <w:lang w:eastAsia="en-US"/>
        </w:rPr>
        <w:t xml:space="preserve"> </w:t>
      </w:r>
      <w:r w:rsidRPr="00C119B1">
        <w:rPr>
          <w:rFonts w:hint="eastAsia"/>
          <w:sz w:val="24"/>
          <w:rtl/>
          <w:lang w:eastAsia="en-US"/>
        </w:rPr>
        <w:t>ואת</w:t>
      </w:r>
      <w:r w:rsidRPr="00C119B1">
        <w:rPr>
          <w:sz w:val="24"/>
          <w:rtl/>
          <w:lang w:eastAsia="en-US"/>
        </w:rPr>
        <w:t xml:space="preserve"> </w:t>
      </w:r>
      <w:r w:rsidRPr="00C119B1">
        <w:rPr>
          <w:rFonts w:hint="eastAsia"/>
          <w:sz w:val="24"/>
          <w:rtl/>
          <w:lang w:eastAsia="en-US"/>
        </w:rPr>
        <w:t>בנו</w:t>
      </w:r>
      <w:r w:rsidRPr="00C119B1">
        <w:rPr>
          <w:sz w:val="24"/>
          <w:rtl/>
          <w:lang w:eastAsia="en-US"/>
        </w:rPr>
        <w:t xml:space="preserve"> </w:t>
      </w:r>
      <w:r w:rsidRPr="00C119B1">
        <w:rPr>
          <w:rFonts w:hint="eastAsia"/>
          <w:sz w:val="24"/>
          <w:rtl/>
          <w:lang w:eastAsia="en-US"/>
        </w:rPr>
        <w:t>לא</w:t>
      </w:r>
      <w:r w:rsidRPr="00C119B1">
        <w:rPr>
          <w:sz w:val="24"/>
          <w:rtl/>
          <w:lang w:eastAsia="en-US"/>
        </w:rPr>
        <w:t xml:space="preserve"> </w:t>
      </w:r>
      <w:r w:rsidRPr="00C119B1">
        <w:rPr>
          <w:rFonts w:hint="eastAsia"/>
          <w:sz w:val="24"/>
          <w:rtl/>
          <w:lang w:eastAsia="en-US"/>
        </w:rPr>
        <w:t>תשחטו</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כדי</w:t>
      </w:r>
      <w:r w:rsidRPr="00C119B1">
        <w:rPr>
          <w:sz w:val="24"/>
          <w:rtl/>
          <w:lang w:eastAsia="en-US"/>
        </w:rPr>
        <w:t xml:space="preserve"> </w:t>
      </w:r>
      <w:r w:rsidRPr="00C119B1">
        <w:rPr>
          <w:rFonts w:hint="eastAsia"/>
          <w:sz w:val="24"/>
          <w:rtl/>
          <w:lang w:eastAsia="en-US"/>
        </w:rPr>
        <w:t>להזהיר</w:t>
      </w:r>
      <w:r w:rsidRPr="00C119B1">
        <w:rPr>
          <w:sz w:val="24"/>
          <w:rtl/>
          <w:lang w:eastAsia="en-US"/>
        </w:rPr>
        <w:t xml:space="preserve"> </w:t>
      </w:r>
      <w:r w:rsidRPr="00C119B1">
        <w:rPr>
          <w:rFonts w:hint="eastAsia"/>
          <w:sz w:val="24"/>
          <w:rtl/>
          <w:lang w:eastAsia="en-US"/>
        </w:rPr>
        <w:t>שלא</w:t>
      </w:r>
      <w:r w:rsidRPr="00C119B1">
        <w:rPr>
          <w:sz w:val="24"/>
          <w:rtl/>
          <w:lang w:eastAsia="en-US"/>
        </w:rPr>
        <w:t xml:space="preserve"> </w:t>
      </w:r>
      <w:r w:rsidRPr="00C119B1">
        <w:rPr>
          <w:rFonts w:hint="eastAsia"/>
          <w:sz w:val="24"/>
          <w:rtl/>
          <w:lang w:eastAsia="en-US"/>
        </w:rPr>
        <w:t>ישחוט</w:t>
      </w:r>
      <w:r w:rsidRPr="00C119B1">
        <w:rPr>
          <w:sz w:val="24"/>
          <w:rtl/>
          <w:lang w:eastAsia="en-US"/>
        </w:rPr>
        <w:t xml:space="preserve"> </w:t>
      </w:r>
      <w:r w:rsidRPr="00C119B1">
        <w:rPr>
          <w:rFonts w:hint="eastAsia"/>
          <w:sz w:val="24"/>
          <w:rtl/>
          <w:lang w:eastAsia="en-US"/>
        </w:rPr>
        <w:t>הבן</w:t>
      </w:r>
      <w:r w:rsidRPr="00C119B1">
        <w:rPr>
          <w:sz w:val="24"/>
          <w:rtl/>
          <w:lang w:eastAsia="en-US"/>
        </w:rPr>
        <w:t xml:space="preserve"> </w:t>
      </w:r>
      <w:r w:rsidRPr="00C119B1">
        <w:rPr>
          <w:rFonts w:hint="eastAsia"/>
          <w:sz w:val="24"/>
          <w:rtl/>
          <w:lang w:eastAsia="en-US"/>
        </w:rPr>
        <w:t>בעיני</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יש</w:t>
      </w:r>
      <w:r w:rsidRPr="00C119B1">
        <w:rPr>
          <w:sz w:val="24"/>
          <w:rtl/>
          <w:lang w:eastAsia="en-US"/>
        </w:rPr>
        <w:t xml:space="preserve"> </w:t>
      </w:r>
      <w:r w:rsidRPr="00C119B1">
        <w:rPr>
          <w:rFonts w:hint="eastAsia"/>
          <w:sz w:val="24"/>
          <w:rtl/>
          <w:lang w:eastAsia="en-US"/>
        </w:rPr>
        <w:t>לבהמות</w:t>
      </w:r>
      <w:r w:rsidRPr="00C119B1">
        <w:rPr>
          <w:sz w:val="24"/>
          <w:rtl/>
          <w:lang w:eastAsia="en-US"/>
        </w:rPr>
        <w:t xml:space="preserve"> </w:t>
      </w:r>
      <w:r w:rsidRPr="00C119B1">
        <w:rPr>
          <w:rFonts w:hint="eastAsia"/>
          <w:sz w:val="24"/>
          <w:rtl/>
          <w:lang w:eastAsia="en-US"/>
        </w:rPr>
        <w:t>דאגה</w:t>
      </w:r>
      <w:r w:rsidRPr="00C119B1">
        <w:rPr>
          <w:sz w:val="24"/>
          <w:rtl/>
          <w:lang w:eastAsia="en-US"/>
        </w:rPr>
        <w:t xml:space="preserve"> </w:t>
      </w:r>
      <w:r w:rsidRPr="00C119B1">
        <w:rPr>
          <w:rFonts w:hint="eastAsia"/>
          <w:sz w:val="24"/>
          <w:rtl/>
          <w:lang w:eastAsia="en-US"/>
        </w:rPr>
        <w:t>גדולה</w:t>
      </w:r>
      <w:r w:rsidRPr="00C119B1">
        <w:rPr>
          <w:sz w:val="24"/>
          <w:rtl/>
          <w:lang w:eastAsia="en-US"/>
        </w:rPr>
        <w:t xml:space="preserve"> </w:t>
      </w:r>
      <w:r w:rsidRPr="00C119B1">
        <w:rPr>
          <w:rFonts w:hint="eastAsia"/>
          <w:sz w:val="24"/>
          <w:rtl/>
          <w:lang w:eastAsia="en-US"/>
        </w:rPr>
        <w:t>בזה</w:t>
      </w:r>
      <w:r w:rsidR="00674209">
        <w:rPr>
          <w:rFonts w:hint="cs"/>
          <w:sz w:val="24"/>
          <w:rtl/>
          <w:lang w:eastAsia="en-US"/>
        </w:rPr>
        <w:t>.</w:t>
      </w:r>
      <w:r w:rsidRPr="00C119B1">
        <w:rPr>
          <w:sz w:val="24"/>
          <w:rtl/>
          <w:lang w:eastAsia="en-US"/>
        </w:rPr>
        <w:t xml:space="preserve"> </w:t>
      </w:r>
      <w:r w:rsidRPr="00C119B1">
        <w:rPr>
          <w:rFonts w:hint="eastAsia"/>
          <w:sz w:val="24"/>
          <w:rtl/>
          <w:lang w:eastAsia="en-US"/>
        </w:rPr>
        <w:t>ואין</w:t>
      </w:r>
      <w:r w:rsidRPr="00C119B1">
        <w:rPr>
          <w:sz w:val="24"/>
          <w:rtl/>
          <w:lang w:eastAsia="en-US"/>
        </w:rPr>
        <w:t xml:space="preserve"> </w:t>
      </w:r>
      <w:r w:rsidRPr="00C119B1">
        <w:rPr>
          <w:rFonts w:hint="eastAsia"/>
          <w:sz w:val="24"/>
          <w:rtl/>
          <w:lang w:eastAsia="en-US"/>
        </w:rPr>
        <w:t>הפרש</w:t>
      </w:r>
      <w:r w:rsidRPr="00C119B1">
        <w:rPr>
          <w:sz w:val="24"/>
          <w:rtl/>
          <w:lang w:eastAsia="en-US"/>
        </w:rPr>
        <w:t xml:space="preserve"> </w:t>
      </w:r>
      <w:r w:rsidRPr="00C119B1">
        <w:rPr>
          <w:rFonts w:hint="eastAsia"/>
          <w:sz w:val="24"/>
          <w:rtl/>
          <w:lang w:eastAsia="en-US"/>
        </w:rPr>
        <w:t>בין</w:t>
      </w:r>
      <w:r w:rsidRPr="00C119B1">
        <w:rPr>
          <w:sz w:val="24"/>
          <w:rtl/>
          <w:lang w:eastAsia="en-US"/>
        </w:rPr>
        <w:t xml:space="preserve"> </w:t>
      </w:r>
      <w:r w:rsidRPr="00C119B1">
        <w:rPr>
          <w:rFonts w:hint="eastAsia"/>
          <w:sz w:val="24"/>
          <w:rtl/>
          <w:lang w:eastAsia="en-US"/>
        </w:rPr>
        <w:t>דאגת</w:t>
      </w:r>
      <w:r w:rsidRPr="00C119B1">
        <w:rPr>
          <w:sz w:val="24"/>
          <w:rtl/>
          <w:lang w:eastAsia="en-US"/>
        </w:rPr>
        <w:t xml:space="preserve"> </w:t>
      </w:r>
      <w:r w:rsidRPr="00C119B1">
        <w:rPr>
          <w:rFonts w:hint="eastAsia"/>
          <w:sz w:val="24"/>
          <w:rtl/>
          <w:lang w:eastAsia="en-US"/>
        </w:rPr>
        <w:t>האדם</w:t>
      </w:r>
      <w:r w:rsidRPr="00C119B1">
        <w:rPr>
          <w:sz w:val="24"/>
          <w:rtl/>
          <w:lang w:eastAsia="en-US"/>
        </w:rPr>
        <w:t xml:space="preserve"> </w:t>
      </w:r>
      <w:r w:rsidRPr="00C119B1">
        <w:rPr>
          <w:rFonts w:hint="eastAsia"/>
          <w:sz w:val="24"/>
          <w:rtl/>
          <w:lang w:eastAsia="en-US"/>
        </w:rPr>
        <w:t>לדאגת</w:t>
      </w:r>
      <w:r w:rsidRPr="00C119B1">
        <w:rPr>
          <w:sz w:val="24"/>
          <w:rtl/>
          <w:lang w:eastAsia="en-US"/>
        </w:rPr>
        <w:t xml:space="preserve"> </w:t>
      </w:r>
      <w:r w:rsidRPr="00C119B1">
        <w:rPr>
          <w:rFonts w:hint="eastAsia"/>
          <w:sz w:val="24"/>
          <w:rtl/>
          <w:lang w:eastAsia="en-US"/>
        </w:rPr>
        <w:t>הבהמות</w:t>
      </w:r>
      <w:r w:rsidRPr="00C119B1">
        <w:rPr>
          <w:sz w:val="24"/>
          <w:rtl/>
          <w:lang w:eastAsia="en-US"/>
        </w:rPr>
        <w:t xml:space="preserve"> </w:t>
      </w:r>
      <w:r w:rsidRPr="00C119B1">
        <w:rPr>
          <w:rFonts w:hint="eastAsia"/>
          <w:sz w:val="24"/>
          <w:rtl/>
          <w:lang w:eastAsia="en-US"/>
        </w:rPr>
        <w:t>על</w:t>
      </w:r>
      <w:r w:rsidRPr="00C119B1">
        <w:rPr>
          <w:sz w:val="24"/>
          <w:rtl/>
          <w:lang w:eastAsia="en-US"/>
        </w:rPr>
        <w:t xml:space="preserve"> </w:t>
      </w:r>
      <w:r w:rsidRPr="00C119B1">
        <w:rPr>
          <w:rFonts w:hint="eastAsia"/>
          <w:sz w:val="24"/>
          <w:rtl/>
          <w:lang w:eastAsia="en-US"/>
        </w:rPr>
        <w:t>בניהם</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אהבת</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וחנותה</w:t>
      </w:r>
      <w:r w:rsidRPr="00C119B1">
        <w:rPr>
          <w:sz w:val="24"/>
          <w:rtl/>
          <w:lang w:eastAsia="en-US"/>
        </w:rPr>
        <w:t xml:space="preserve"> </w:t>
      </w:r>
      <w:r w:rsidRPr="00C119B1">
        <w:rPr>
          <w:rFonts w:hint="eastAsia"/>
          <w:sz w:val="24"/>
          <w:rtl/>
          <w:lang w:eastAsia="en-US"/>
        </w:rPr>
        <w:t>לבני</w:t>
      </w:r>
      <w:r w:rsidRPr="00C119B1">
        <w:rPr>
          <w:sz w:val="24"/>
          <w:rtl/>
          <w:lang w:eastAsia="en-US"/>
        </w:rPr>
        <w:t xml:space="preserve"> </w:t>
      </w:r>
      <w:r w:rsidRPr="00C119B1">
        <w:rPr>
          <w:rFonts w:hint="eastAsia"/>
          <w:sz w:val="24"/>
          <w:rtl/>
          <w:lang w:eastAsia="en-US"/>
        </w:rPr>
        <w:t>בטנה</w:t>
      </w:r>
      <w:r w:rsidRPr="00C119B1">
        <w:rPr>
          <w:sz w:val="24"/>
          <w:rtl/>
          <w:lang w:eastAsia="en-US"/>
        </w:rPr>
        <w:t xml:space="preserve"> </w:t>
      </w:r>
      <w:r w:rsidRPr="00C119B1">
        <w:rPr>
          <w:rFonts w:hint="eastAsia"/>
          <w:sz w:val="24"/>
          <w:rtl/>
          <w:lang w:eastAsia="en-US"/>
        </w:rPr>
        <w:t>איננו</w:t>
      </w:r>
      <w:r w:rsidRPr="00C119B1">
        <w:rPr>
          <w:sz w:val="24"/>
          <w:rtl/>
          <w:lang w:eastAsia="en-US"/>
        </w:rPr>
        <w:t xml:space="preserve"> </w:t>
      </w:r>
      <w:r w:rsidRPr="00C119B1">
        <w:rPr>
          <w:rFonts w:hint="eastAsia"/>
          <w:sz w:val="24"/>
          <w:rtl/>
          <w:lang w:eastAsia="en-US"/>
        </w:rPr>
        <w:t>נמשך</w:t>
      </w:r>
      <w:r w:rsidRPr="00C119B1">
        <w:rPr>
          <w:sz w:val="24"/>
          <w:rtl/>
          <w:lang w:eastAsia="en-US"/>
        </w:rPr>
        <w:t xml:space="preserve"> </w:t>
      </w:r>
      <w:r w:rsidR="008D3D3F" w:rsidRPr="008D3D3F">
        <w:rPr>
          <w:sz w:val="24"/>
          <w:rtl/>
          <w:lang w:eastAsia="en-US"/>
        </w:rPr>
        <w:t>אחרי השכל והדבור אבל הוא מפעולת כח המחשבה המצויה בבהמות כאשר היא מצויה באדם. ואם כן, אין עיקר האיסור באותו ואת בנו רק בבנו ואותו, אבל הכל הרחקה. ויותר נכון, בעבור שלא נתאכזר.</w:t>
      </w:r>
      <w:r w:rsidR="00D51B63">
        <w:rPr>
          <w:rStyle w:val="a5"/>
          <w:sz w:val="24"/>
          <w:rtl/>
          <w:lang w:eastAsia="en-US"/>
        </w:rPr>
        <w:footnoteReference w:id="16"/>
      </w:r>
    </w:p>
    <w:p w:rsidR="00C81D71" w:rsidRPr="00C119B1" w:rsidRDefault="00C81D71" w:rsidP="005C1EF7">
      <w:pPr>
        <w:pStyle w:val="ab"/>
        <w:rPr>
          <w:rFonts w:hint="cs"/>
          <w:rtl/>
          <w:lang w:eastAsia="en-US"/>
        </w:rPr>
      </w:pPr>
      <w:r w:rsidRPr="00C119B1">
        <w:rPr>
          <w:rFonts w:hint="eastAsia"/>
          <w:rtl/>
          <w:lang w:eastAsia="en-US"/>
        </w:rPr>
        <w:lastRenderedPageBreak/>
        <w:t>בראשית</w:t>
      </w:r>
      <w:r w:rsidRPr="00C119B1">
        <w:rPr>
          <w:rtl/>
          <w:lang w:eastAsia="en-US"/>
        </w:rPr>
        <w:t xml:space="preserve"> </w:t>
      </w:r>
      <w:r w:rsidRPr="00C119B1">
        <w:rPr>
          <w:rFonts w:hint="eastAsia"/>
          <w:rtl/>
          <w:lang w:eastAsia="en-US"/>
        </w:rPr>
        <w:t>רבה</w:t>
      </w:r>
      <w:r w:rsidRPr="00C119B1">
        <w:rPr>
          <w:rtl/>
          <w:lang w:eastAsia="en-US"/>
        </w:rPr>
        <w:t xml:space="preserve"> </w:t>
      </w:r>
      <w:r w:rsidRPr="00C119B1">
        <w:rPr>
          <w:rFonts w:hint="eastAsia"/>
          <w:rtl/>
          <w:lang w:eastAsia="en-US"/>
        </w:rPr>
        <w:t>עה</w:t>
      </w:r>
      <w:r w:rsidRPr="00C119B1">
        <w:rPr>
          <w:rtl/>
          <w:lang w:eastAsia="en-US"/>
        </w:rPr>
        <w:t xml:space="preserve"> </w:t>
      </w:r>
      <w:r w:rsidR="005C1EF7">
        <w:rPr>
          <w:rFonts w:hint="cs"/>
          <w:rtl/>
          <w:lang w:eastAsia="en-US"/>
        </w:rPr>
        <w:t>יג</w:t>
      </w:r>
    </w:p>
    <w:p w:rsidR="00C81D71" w:rsidRDefault="000C41BB" w:rsidP="000C41BB">
      <w:pPr>
        <w:pStyle w:val="ac"/>
        <w:rPr>
          <w:rFonts w:hint="cs"/>
          <w:sz w:val="24"/>
          <w:rtl/>
          <w:lang w:eastAsia="en-US"/>
        </w:rPr>
      </w:pPr>
      <w:r>
        <w:rPr>
          <w:rFonts w:hint="cs"/>
          <w:sz w:val="24"/>
          <w:rtl/>
          <w:lang w:eastAsia="en-US"/>
        </w:rPr>
        <w:t>"</w:t>
      </w:r>
      <w:r w:rsidR="00C81D71" w:rsidRPr="00C119B1">
        <w:rPr>
          <w:rFonts w:hint="eastAsia"/>
          <w:sz w:val="24"/>
          <w:rtl/>
          <w:lang w:eastAsia="en-US"/>
        </w:rPr>
        <w:t>ויאמר</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יבא</w:t>
      </w:r>
      <w:r w:rsidR="00C81D71" w:rsidRPr="00C119B1">
        <w:rPr>
          <w:sz w:val="24"/>
          <w:rtl/>
          <w:lang w:eastAsia="en-US"/>
        </w:rPr>
        <w:t xml:space="preserve"> </w:t>
      </w:r>
      <w:r w:rsidR="00C81D71" w:rsidRPr="00C119B1">
        <w:rPr>
          <w:rFonts w:hint="eastAsia"/>
          <w:sz w:val="24"/>
          <w:rtl/>
          <w:lang w:eastAsia="en-US"/>
        </w:rPr>
        <w:t>עשו</w:t>
      </w:r>
      <w:r w:rsidR="00C81D71" w:rsidRPr="00C119B1">
        <w:rPr>
          <w:sz w:val="24"/>
          <w:rtl/>
          <w:lang w:eastAsia="en-US"/>
        </w:rPr>
        <w:t xml:space="preserve"> </w:t>
      </w:r>
      <w:r w:rsidR="00C81D71" w:rsidRPr="00C119B1">
        <w:rPr>
          <w:rFonts w:hint="eastAsia"/>
          <w:sz w:val="24"/>
          <w:rtl/>
          <w:lang w:eastAsia="en-US"/>
        </w:rPr>
        <w:t>אל</w:t>
      </w:r>
      <w:r w:rsidR="00C81D71" w:rsidRPr="00C119B1">
        <w:rPr>
          <w:sz w:val="24"/>
          <w:rtl/>
          <w:lang w:eastAsia="en-US"/>
        </w:rPr>
        <w:t xml:space="preserve"> </w:t>
      </w:r>
      <w:r w:rsidR="00C81D71" w:rsidRPr="00C119B1">
        <w:rPr>
          <w:rFonts w:hint="eastAsia"/>
          <w:sz w:val="24"/>
          <w:rtl/>
          <w:lang w:eastAsia="en-US"/>
        </w:rPr>
        <w:t>המחנה</w:t>
      </w:r>
      <w:r w:rsidR="00C81D71" w:rsidRPr="00C119B1">
        <w:rPr>
          <w:sz w:val="24"/>
          <w:rtl/>
          <w:lang w:eastAsia="en-US"/>
        </w:rPr>
        <w:t xml:space="preserve"> </w:t>
      </w:r>
      <w:r w:rsidR="00C81D71" w:rsidRPr="00C119B1">
        <w:rPr>
          <w:rFonts w:hint="eastAsia"/>
          <w:sz w:val="24"/>
          <w:rtl/>
          <w:lang w:eastAsia="en-US"/>
        </w:rPr>
        <w:t>האחת</w:t>
      </w:r>
      <w:r w:rsidR="00C81D71" w:rsidRPr="00C119B1">
        <w:rPr>
          <w:sz w:val="24"/>
          <w:rtl/>
          <w:lang w:eastAsia="en-US"/>
        </w:rPr>
        <w:t xml:space="preserve"> </w:t>
      </w:r>
      <w:r w:rsidR="00C81D71" w:rsidRPr="00C119B1">
        <w:rPr>
          <w:rFonts w:hint="eastAsia"/>
          <w:sz w:val="24"/>
          <w:rtl/>
          <w:lang w:eastAsia="en-US"/>
        </w:rPr>
        <w:t>והכהו</w:t>
      </w:r>
      <w:r>
        <w:rPr>
          <w:rFonts w:hint="cs"/>
          <w:sz w:val="24"/>
          <w:rtl/>
          <w:lang w:eastAsia="en-US"/>
        </w:rPr>
        <w:t xml:space="preserve">" (בראשית לב ט) - </w:t>
      </w:r>
      <w:r w:rsidR="00C81D71" w:rsidRPr="00C119B1">
        <w:rPr>
          <w:rFonts w:hint="eastAsia"/>
          <w:sz w:val="24"/>
          <w:rtl/>
          <w:lang w:eastAsia="en-US"/>
        </w:rPr>
        <w:t>באותה</w:t>
      </w:r>
      <w:r w:rsidR="00C81D71" w:rsidRPr="00C119B1">
        <w:rPr>
          <w:sz w:val="24"/>
          <w:rtl/>
          <w:lang w:eastAsia="en-US"/>
        </w:rPr>
        <w:t xml:space="preserve"> </w:t>
      </w:r>
      <w:r w:rsidR="00C81D71" w:rsidRPr="00C119B1">
        <w:rPr>
          <w:rFonts w:hint="eastAsia"/>
          <w:sz w:val="24"/>
          <w:rtl/>
          <w:lang w:eastAsia="en-US"/>
        </w:rPr>
        <w:t>שעה</w:t>
      </w:r>
      <w:r w:rsidR="00C81D71" w:rsidRPr="00C119B1">
        <w:rPr>
          <w:sz w:val="24"/>
          <w:rtl/>
          <w:lang w:eastAsia="en-US"/>
        </w:rPr>
        <w:t xml:space="preserve"> </w:t>
      </w:r>
      <w:r w:rsidR="00C81D71" w:rsidRPr="00C119B1">
        <w:rPr>
          <w:rFonts w:hint="eastAsia"/>
          <w:sz w:val="24"/>
          <w:rtl/>
          <w:lang w:eastAsia="en-US"/>
        </w:rPr>
        <w:t>אמר</w:t>
      </w:r>
      <w:r w:rsidR="00C81D71" w:rsidRPr="00C119B1">
        <w:rPr>
          <w:sz w:val="24"/>
          <w:rtl/>
          <w:lang w:eastAsia="en-US"/>
        </w:rPr>
        <w:t xml:space="preserve"> </w:t>
      </w:r>
      <w:r w:rsidR="00C81D71" w:rsidRPr="00C119B1">
        <w:rPr>
          <w:rFonts w:hint="eastAsia"/>
          <w:sz w:val="24"/>
          <w:rtl/>
          <w:lang w:eastAsia="en-US"/>
        </w:rPr>
        <w:t>אבינו</w:t>
      </w:r>
      <w:r w:rsidR="00C81D71" w:rsidRPr="00C119B1">
        <w:rPr>
          <w:sz w:val="24"/>
          <w:rtl/>
          <w:lang w:eastAsia="en-US"/>
        </w:rPr>
        <w:t xml:space="preserve"> </w:t>
      </w:r>
      <w:r w:rsidR="00C81D71" w:rsidRPr="00C119B1">
        <w:rPr>
          <w:rFonts w:hint="eastAsia"/>
          <w:sz w:val="24"/>
          <w:rtl/>
          <w:lang w:eastAsia="en-US"/>
        </w:rPr>
        <w:t>יעקב</w:t>
      </w:r>
      <w:r w:rsidR="00C81D71" w:rsidRPr="00C119B1">
        <w:rPr>
          <w:sz w:val="24"/>
          <w:rtl/>
          <w:lang w:eastAsia="en-US"/>
        </w:rPr>
        <w:t xml:space="preserve"> </w:t>
      </w:r>
      <w:r w:rsidR="00C81D71" w:rsidRPr="00C119B1">
        <w:rPr>
          <w:rFonts w:hint="eastAsia"/>
          <w:sz w:val="24"/>
          <w:rtl/>
          <w:lang w:eastAsia="en-US"/>
        </w:rPr>
        <w:t>לפני</w:t>
      </w:r>
      <w:r w:rsidR="00C81D71" w:rsidRPr="00C119B1">
        <w:rPr>
          <w:sz w:val="24"/>
          <w:rtl/>
          <w:lang w:eastAsia="en-US"/>
        </w:rPr>
        <w:t xml:space="preserve"> </w:t>
      </w:r>
      <w:r w:rsidR="00C81D71" w:rsidRPr="00C119B1">
        <w:rPr>
          <w:rFonts w:hint="eastAsia"/>
          <w:sz w:val="24"/>
          <w:rtl/>
          <w:lang w:eastAsia="en-US"/>
        </w:rPr>
        <w:t>הקב</w:t>
      </w:r>
      <w:r w:rsidR="00C81D71" w:rsidRPr="00C119B1">
        <w:rPr>
          <w:sz w:val="24"/>
          <w:rtl/>
          <w:lang w:eastAsia="en-US"/>
        </w:rPr>
        <w:t>"</w:t>
      </w:r>
      <w:r w:rsidR="00C81D71" w:rsidRPr="00C119B1">
        <w:rPr>
          <w:rFonts w:hint="eastAsia"/>
          <w:sz w:val="24"/>
          <w:rtl/>
          <w:lang w:eastAsia="en-US"/>
        </w:rPr>
        <w:t>ה</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ר</w:t>
      </w:r>
      <w:r>
        <w:rPr>
          <w:rFonts w:hint="cs"/>
          <w:sz w:val="24"/>
          <w:rtl/>
          <w:lang w:eastAsia="en-US"/>
        </w:rPr>
        <w:t>י</w:t>
      </w:r>
      <w:r w:rsidR="00C81D71" w:rsidRPr="00C119B1">
        <w:rPr>
          <w:rFonts w:hint="eastAsia"/>
          <w:sz w:val="24"/>
          <w:rtl/>
          <w:lang w:eastAsia="en-US"/>
        </w:rPr>
        <w:t>בונו</w:t>
      </w:r>
      <w:r w:rsidR="00C81D71" w:rsidRPr="00C119B1">
        <w:rPr>
          <w:sz w:val="24"/>
          <w:rtl/>
          <w:lang w:eastAsia="en-US"/>
        </w:rPr>
        <w:t xml:space="preserve"> </w:t>
      </w:r>
      <w:r w:rsidR="00C81D71" w:rsidRPr="00C119B1">
        <w:rPr>
          <w:rFonts w:hint="eastAsia"/>
          <w:sz w:val="24"/>
          <w:rtl/>
          <w:lang w:eastAsia="en-US"/>
        </w:rPr>
        <w:t>של</w:t>
      </w:r>
      <w:r w:rsidR="00C81D71" w:rsidRPr="00C119B1">
        <w:rPr>
          <w:sz w:val="24"/>
          <w:rtl/>
          <w:lang w:eastAsia="en-US"/>
        </w:rPr>
        <w:t xml:space="preserve"> </w:t>
      </w:r>
      <w:r w:rsidR="00C81D71" w:rsidRPr="00C119B1">
        <w:rPr>
          <w:rFonts w:hint="eastAsia"/>
          <w:sz w:val="24"/>
          <w:rtl/>
          <w:lang w:eastAsia="en-US"/>
        </w:rPr>
        <w:t>עולם</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כתבת</w:t>
      </w:r>
      <w:r w:rsidR="00C81D71" w:rsidRPr="00C119B1">
        <w:rPr>
          <w:sz w:val="24"/>
          <w:rtl/>
          <w:lang w:eastAsia="en-US"/>
        </w:rPr>
        <w:t xml:space="preserve"> </w:t>
      </w:r>
      <w:r w:rsidR="00C81D71" w:rsidRPr="00C119B1">
        <w:rPr>
          <w:rFonts w:hint="eastAsia"/>
          <w:sz w:val="24"/>
          <w:rtl/>
          <w:lang w:eastAsia="en-US"/>
        </w:rPr>
        <w:t>בתורתך</w:t>
      </w:r>
      <w:r>
        <w:rPr>
          <w:rFonts w:hint="cs"/>
          <w:sz w:val="24"/>
          <w:rtl/>
          <w:lang w:eastAsia="en-US"/>
        </w:rPr>
        <w:t>:</w:t>
      </w:r>
      <w:r w:rsidR="00C81D71" w:rsidRPr="00C119B1">
        <w:rPr>
          <w:sz w:val="24"/>
          <w:rtl/>
          <w:lang w:eastAsia="en-US"/>
        </w:rPr>
        <w:t xml:space="preserve"> </w:t>
      </w:r>
      <w:r>
        <w:rPr>
          <w:rFonts w:hint="cs"/>
          <w:sz w:val="24"/>
          <w:rtl/>
          <w:lang w:eastAsia="en-US"/>
        </w:rPr>
        <w:t>"</w:t>
      </w:r>
      <w:r w:rsidR="00C81D71" w:rsidRPr="00C119B1">
        <w:rPr>
          <w:rFonts w:hint="eastAsia"/>
          <w:sz w:val="24"/>
          <w:rtl/>
          <w:lang w:eastAsia="en-US"/>
        </w:rPr>
        <w:t>ושור</w:t>
      </w:r>
      <w:r w:rsidR="00C81D71" w:rsidRPr="00C119B1">
        <w:rPr>
          <w:sz w:val="24"/>
          <w:rtl/>
          <w:lang w:eastAsia="en-US"/>
        </w:rPr>
        <w:t xml:space="preserve"> </w:t>
      </w:r>
      <w:r w:rsidR="00C81D71" w:rsidRPr="00C119B1">
        <w:rPr>
          <w:rFonts w:hint="eastAsia"/>
          <w:sz w:val="24"/>
          <w:rtl/>
          <w:lang w:eastAsia="en-US"/>
        </w:rPr>
        <w:t>או</w:t>
      </w:r>
      <w:r w:rsidR="00C81D71" w:rsidRPr="00C119B1">
        <w:rPr>
          <w:sz w:val="24"/>
          <w:rtl/>
          <w:lang w:eastAsia="en-US"/>
        </w:rPr>
        <w:t xml:space="preserve"> </w:t>
      </w:r>
      <w:r w:rsidR="00C81D71" w:rsidRPr="00C119B1">
        <w:rPr>
          <w:rFonts w:hint="eastAsia"/>
          <w:sz w:val="24"/>
          <w:rtl/>
          <w:lang w:eastAsia="en-US"/>
        </w:rPr>
        <w:t>שה</w:t>
      </w:r>
      <w:r w:rsidR="00C81D71" w:rsidRPr="00C119B1">
        <w:rPr>
          <w:sz w:val="24"/>
          <w:rtl/>
          <w:lang w:eastAsia="en-US"/>
        </w:rPr>
        <w:t xml:space="preserve"> </w:t>
      </w:r>
      <w:r w:rsidR="00C81D71" w:rsidRPr="00C119B1">
        <w:rPr>
          <w:rFonts w:hint="eastAsia"/>
          <w:sz w:val="24"/>
          <w:rtl/>
          <w:lang w:eastAsia="en-US"/>
        </w:rPr>
        <w:t>אותו</w:t>
      </w:r>
      <w:r w:rsidR="00C81D71" w:rsidRPr="00C119B1">
        <w:rPr>
          <w:sz w:val="24"/>
          <w:rtl/>
          <w:lang w:eastAsia="en-US"/>
        </w:rPr>
        <w:t xml:space="preserve"> </w:t>
      </w:r>
      <w:r w:rsidR="00C81D71" w:rsidRPr="00C119B1">
        <w:rPr>
          <w:rFonts w:hint="eastAsia"/>
          <w:sz w:val="24"/>
          <w:rtl/>
          <w:lang w:eastAsia="en-US"/>
        </w:rPr>
        <w:t>ואת</w:t>
      </w:r>
      <w:r w:rsidR="00C81D71" w:rsidRPr="00C119B1">
        <w:rPr>
          <w:sz w:val="24"/>
          <w:rtl/>
          <w:lang w:eastAsia="en-US"/>
        </w:rPr>
        <w:t xml:space="preserve"> </w:t>
      </w:r>
      <w:r w:rsidR="00C81D71" w:rsidRPr="00C119B1">
        <w:rPr>
          <w:rFonts w:hint="eastAsia"/>
          <w:sz w:val="24"/>
          <w:rtl/>
          <w:lang w:eastAsia="en-US"/>
        </w:rPr>
        <w:t>בנו</w:t>
      </w:r>
      <w:r w:rsidR="00C81D71" w:rsidRPr="00C119B1">
        <w:rPr>
          <w:sz w:val="24"/>
          <w:rtl/>
          <w:lang w:eastAsia="en-US"/>
        </w:rPr>
        <w:t xml:space="preserve"> </w:t>
      </w:r>
      <w:r w:rsidR="00C81D71" w:rsidRPr="00C119B1">
        <w:rPr>
          <w:rFonts w:hint="eastAsia"/>
          <w:sz w:val="24"/>
          <w:rtl/>
          <w:lang w:eastAsia="en-US"/>
        </w:rPr>
        <w:t>לא</w:t>
      </w:r>
      <w:r w:rsidR="00C81D71" w:rsidRPr="00C119B1">
        <w:rPr>
          <w:sz w:val="24"/>
          <w:rtl/>
          <w:lang w:eastAsia="en-US"/>
        </w:rPr>
        <w:t xml:space="preserve"> </w:t>
      </w:r>
      <w:r w:rsidR="00C81D71" w:rsidRPr="00C119B1">
        <w:rPr>
          <w:rFonts w:hint="eastAsia"/>
          <w:sz w:val="24"/>
          <w:rtl/>
          <w:lang w:eastAsia="en-US"/>
        </w:rPr>
        <w:t>תשחטו</w:t>
      </w:r>
      <w:r w:rsidR="00C81D71" w:rsidRPr="00C119B1">
        <w:rPr>
          <w:sz w:val="24"/>
          <w:rtl/>
          <w:lang w:eastAsia="en-US"/>
        </w:rPr>
        <w:t xml:space="preserve"> </w:t>
      </w:r>
      <w:r w:rsidR="00C81D71" w:rsidRPr="00C119B1">
        <w:rPr>
          <w:rFonts w:hint="eastAsia"/>
          <w:sz w:val="24"/>
          <w:rtl/>
          <w:lang w:eastAsia="en-US"/>
        </w:rPr>
        <w:t>ביום</w:t>
      </w:r>
      <w:r w:rsidR="00C81D71" w:rsidRPr="00C119B1">
        <w:rPr>
          <w:sz w:val="24"/>
          <w:rtl/>
          <w:lang w:eastAsia="en-US"/>
        </w:rPr>
        <w:t xml:space="preserve"> </w:t>
      </w:r>
      <w:r w:rsidR="00C81D71" w:rsidRPr="00C119B1">
        <w:rPr>
          <w:rFonts w:hint="eastAsia"/>
          <w:sz w:val="24"/>
          <w:rtl/>
          <w:lang w:eastAsia="en-US"/>
        </w:rPr>
        <w:t>אחד</w:t>
      </w:r>
      <w:r>
        <w:rPr>
          <w:rFonts w:hint="cs"/>
          <w:sz w:val="24"/>
          <w:rtl/>
          <w:lang w:eastAsia="en-US"/>
        </w:rPr>
        <w:t xml:space="preserve">" </w:t>
      </w:r>
      <w:r w:rsidRPr="00C119B1">
        <w:rPr>
          <w:sz w:val="24"/>
          <w:rtl/>
          <w:lang w:eastAsia="en-US"/>
        </w:rPr>
        <w:t>(</w:t>
      </w:r>
      <w:r w:rsidRPr="00C119B1">
        <w:rPr>
          <w:rFonts w:hint="eastAsia"/>
          <w:sz w:val="24"/>
          <w:rtl/>
          <w:lang w:eastAsia="en-US"/>
        </w:rPr>
        <w:t>ויקרא</w:t>
      </w:r>
      <w:r w:rsidRPr="00C119B1">
        <w:rPr>
          <w:sz w:val="24"/>
          <w:rtl/>
          <w:lang w:eastAsia="en-US"/>
        </w:rPr>
        <w:t xml:space="preserve"> </w:t>
      </w:r>
      <w:r w:rsidRPr="00C119B1">
        <w:rPr>
          <w:rFonts w:hint="eastAsia"/>
          <w:sz w:val="24"/>
          <w:rtl/>
          <w:lang w:eastAsia="en-US"/>
        </w:rPr>
        <w:t>כב</w:t>
      </w:r>
      <w:r>
        <w:rPr>
          <w:rFonts w:hint="cs"/>
          <w:sz w:val="24"/>
          <w:rtl/>
          <w:lang w:eastAsia="en-US"/>
        </w:rPr>
        <w:t xml:space="preserve"> כח</w:t>
      </w:r>
      <w:r w:rsidRPr="00C119B1">
        <w:rPr>
          <w:sz w:val="24"/>
          <w:rtl/>
          <w:lang w:eastAsia="en-US"/>
        </w:rPr>
        <w:t xml:space="preserve">) </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יב</w:t>
      </w:r>
      <w:r>
        <w:rPr>
          <w:rFonts w:hint="cs"/>
          <w:sz w:val="24"/>
          <w:rtl/>
          <w:lang w:eastAsia="en-US"/>
        </w:rPr>
        <w:t>ו</w:t>
      </w:r>
      <w:r w:rsidR="00C81D71" w:rsidRPr="00C119B1">
        <w:rPr>
          <w:rFonts w:hint="eastAsia"/>
          <w:sz w:val="24"/>
          <w:rtl/>
          <w:lang w:eastAsia="en-US"/>
        </w:rPr>
        <w:t>א</w:t>
      </w:r>
      <w:r w:rsidR="00C81D71" w:rsidRPr="00C119B1">
        <w:rPr>
          <w:sz w:val="24"/>
          <w:rtl/>
          <w:lang w:eastAsia="en-US"/>
        </w:rPr>
        <w:t xml:space="preserve"> </w:t>
      </w:r>
      <w:r w:rsidR="00C81D71" w:rsidRPr="00C119B1">
        <w:rPr>
          <w:rFonts w:hint="eastAsia"/>
          <w:sz w:val="24"/>
          <w:rtl/>
          <w:lang w:eastAsia="en-US"/>
        </w:rPr>
        <w:t>רשע</w:t>
      </w:r>
      <w:r w:rsidR="00C81D71" w:rsidRPr="00C119B1">
        <w:rPr>
          <w:sz w:val="24"/>
          <w:rtl/>
          <w:lang w:eastAsia="en-US"/>
        </w:rPr>
        <w:t xml:space="preserve"> </w:t>
      </w:r>
      <w:r w:rsidR="00C81D71" w:rsidRPr="00C119B1">
        <w:rPr>
          <w:rFonts w:hint="eastAsia"/>
          <w:sz w:val="24"/>
          <w:rtl/>
          <w:lang w:eastAsia="en-US"/>
        </w:rPr>
        <w:t>זה</w:t>
      </w:r>
      <w:r w:rsidR="00C81D71" w:rsidRPr="00C119B1">
        <w:rPr>
          <w:sz w:val="24"/>
          <w:rtl/>
          <w:lang w:eastAsia="en-US"/>
        </w:rPr>
        <w:t xml:space="preserve"> </w:t>
      </w:r>
      <w:r w:rsidR="00C81D71" w:rsidRPr="00C119B1">
        <w:rPr>
          <w:rFonts w:hint="eastAsia"/>
          <w:sz w:val="24"/>
          <w:rtl/>
          <w:lang w:eastAsia="en-US"/>
        </w:rPr>
        <w:t>ויאבד</w:t>
      </w:r>
      <w:r w:rsidR="00C81D71" w:rsidRPr="00C119B1">
        <w:rPr>
          <w:sz w:val="24"/>
          <w:rtl/>
          <w:lang w:eastAsia="en-US"/>
        </w:rPr>
        <w:t xml:space="preserve"> </w:t>
      </w:r>
      <w:r w:rsidR="00C81D71" w:rsidRPr="00C119B1">
        <w:rPr>
          <w:rFonts w:hint="eastAsia"/>
          <w:sz w:val="24"/>
          <w:rtl/>
          <w:lang w:eastAsia="en-US"/>
        </w:rPr>
        <w:t>את</w:t>
      </w:r>
      <w:r w:rsidR="00C81D71" w:rsidRPr="00C119B1">
        <w:rPr>
          <w:sz w:val="24"/>
          <w:rtl/>
          <w:lang w:eastAsia="en-US"/>
        </w:rPr>
        <w:t xml:space="preserve"> </w:t>
      </w:r>
      <w:r w:rsidR="00C81D71" w:rsidRPr="00C119B1">
        <w:rPr>
          <w:rFonts w:hint="eastAsia"/>
          <w:sz w:val="24"/>
          <w:rtl/>
          <w:lang w:eastAsia="en-US"/>
        </w:rPr>
        <w:t>בני</w:t>
      </w:r>
      <w:r w:rsidR="00C81D71" w:rsidRPr="00C119B1">
        <w:rPr>
          <w:sz w:val="24"/>
          <w:rtl/>
          <w:lang w:eastAsia="en-US"/>
        </w:rPr>
        <w:t xml:space="preserve"> </w:t>
      </w:r>
      <w:r w:rsidR="00C81D71" w:rsidRPr="00C119B1">
        <w:rPr>
          <w:rFonts w:hint="eastAsia"/>
          <w:sz w:val="24"/>
          <w:rtl/>
          <w:lang w:eastAsia="en-US"/>
        </w:rPr>
        <w:t>ואת</w:t>
      </w:r>
      <w:r w:rsidR="00C81D71" w:rsidRPr="00C119B1">
        <w:rPr>
          <w:sz w:val="24"/>
          <w:rtl/>
          <w:lang w:eastAsia="en-US"/>
        </w:rPr>
        <w:t xml:space="preserve"> </w:t>
      </w:r>
      <w:r w:rsidR="00C81D71" w:rsidRPr="00C119B1">
        <w:rPr>
          <w:rFonts w:hint="eastAsia"/>
          <w:sz w:val="24"/>
          <w:rtl/>
          <w:lang w:eastAsia="en-US"/>
        </w:rPr>
        <w:t>א</w:t>
      </w:r>
      <w:r>
        <w:rPr>
          <w:rFonts w:hint="cs"/>
          <w:sz w:val="24"/>
          <w:rtl/>
          <w:lang w:eastAsia="en-US"/>
        </w:rPr>
        <w:t>י</w:t>
      </w:r>
      <w:r w:rsidR="00C81D71" w:rsidRPr="00C119B1">
        <w:rPr>
          <w:rFonts w:hint="eastAsia"/>
          <w:sz w:val="24"/>
          <w:rtl/>
          <w:lang w:eastAsia="en-US"/>
        </w:rPr>
        <w:t>מ</w:t>
      </w:r>
      <w:r>
        <w:rPr>
          <w:rFonts w:hint="cs"/>
          <w:sz w:val="24"/>
          <w:rtl/>
          <w:lang w:eastAsia="en-US"/>
        </w:rPr>
        <w:t>ות</w:t>
      </w:r>
      <w:r w:rsidR="00C81D71" w:rsidRPr="00C119B1">
        <w:rPr>
          <w:rFonts w:hint="eastAsia"/>
          <w:sz w:val="24"/>
          <w:rtl/>
          <w:lang w:eastAsia="en-US"/>
        </w:rPr>
        <w:t>ם</w:t>
      </w:r>
      <w:r w:rsidR="00C81D71" w:rsidRPr="00C119B1">
        <w:rPr>
          <w:sz w:val="24"/>
          <w:rtl/>
          <w:lang w:eastAsia="en-US"/>
        </w:rPr>
        <w:t xml:space="preserve"> </w:t>
      </w:r>
      <w:r w:rsidR="00C81D71" w:rsidRPr="00C119B1">
        <w:rPr>
          <w:rFonts w:hint="eastAsia"/>
          <w:sz w:val="24"/>
          <w:rtl/>
          <w:lang w:eastAsia="en-US"/>
        </w:rPr>
        <w:t>כאחת</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ספר</w:t>
      </w:r>
      <w:r w:rsidR="00C81D71" w:rsidRPr="00C119B1">
        <w:rPr>
          <w:sz w:val="24"/>
          <w:rtl/>
          <w:lang w:eastAsia="en-US"/>
        </w:rPr>
        <w:t xml:space="preserve"> </w:t>
      </w:r>
      <w:r w:rsidR="00C81D71" w:rsidRPr="00C119B1">
        <w:rPr>
          <w:rFonts w:hint="eastAsia"/>
          <w:sz w:val="24"/>
          <w:rtl/>
          <w:lang w:eastAsia="en-US"/>
        </w:rPr>
        <w:t>תורה</w:t>
      </w:r>
      <w:r w:rsidR="00C81D71" w:rsidRPr="00C119B1">
        <w:rPr>
          <w:sz w:val="24"/>
          <w:rtl/>
          <w:lang w:eastAsia="en-US"/>
        </w:rPr>
        <w:t xml:space="preserve"> </w:t>
      </w:r>
      <w:r w:rsidR="00C81D71" w:rsidRPr="00C119B1">
        <w:rPr>
          <w:rFonts w:hint="eastAsia"/>
          <w:sz w:val="24"/>
          <w:rtl/>
          <w:lang w:eastAsia="en-US"/>
        </w:rPr>
        <w:t>שאתה</w:t>
      </w:r>
      <w:r w:rsidR="00C81D71" w:rsidRPr="00C119B1">
        <w:rPr>
          <w:sz w:val="24"/>
          <w:rtl/>
          <w:lang w:eastAsia="en-US"/>
        </w:rPr>
        <w:t xml:space="preserve"> </w:t>
      </w:r>
      <w:r w:rsidR="00C81D71" w:rsidRPr="00C119B1">
        <w:rPr>
          <w:rFonts w:hint="eastAsia"/>
          <w:sz w:val="24"/>
          <w:rtl/>
          <w:lang w:eastAsia="en-US"/>
        </w:rPr>
        <w:t>עתיד</w:t>
      </w:r>
      <w:r w:rsidR="00C81D71" w:rsidRPr="00C119B1">
        <w:rPr>
          <w:sz w:val="24"/>
          <w:rtl/>
          <w:lang w:eastAsia="en-US"/>
        </w:rPr>
        <w:t xml:space="preserve"> </w:t>
      </w:r>
      <w:r w:rsidR="00C81D71" w:rsidRPr="00C119B1">
        <w:rPr>
          <w:rFonts w:hint="eastAsia"/>
          <w:sz w:val="24"/>
          <w:rtl/>
          <w:lang w:eastAsia="en-US"/>
        </w:rPr>
        <w:t>ליתן</w:t>
      </w:r>
      <w:r w:rsidR="00C81D71" w:rsidRPr="00C119B1">
        <w:rPr>
          <w:sz w:val="24"/>
          <w:rtl/>
          <w:lang w:eastAsia="en-US"/>
        </w:rPr>
        <w:t xml:space="preserve"> </w:t>
      </w:r>
      <w:r w:rsidR="00C81D71" w:rsidRPr="00C119B1">
        <w:rPr>
          <w:rFonts w:hint="eastAsia"/>
          <w:sz w:val="24"/>
          <w:rtl/>
          <w:lang w:eastAsia="en-US"/>
        </w:rPr>
        <w:t>על</w:t>
      </w:r>
      <w:r w:rsidR="00C81D71" w:rsidRPr="00C119B1">
        <w:rPr>
          <w:sz w:val="24"/>
          <w:rtl/>
          <w:lang w:eastAsia="en-US"/>
        </w:rPr>
        <w:t xml:space="preserve"> </w:t>
      </w:r>
      <w:r w:rsidR="00C81D71" w:rsidRPr="00C119B1">
        <w:rPr>
          <w:rFonts w:hint="eastAsia"/>
          <w:sz w:val="24"/>
          <w:rtl/>
          <w:lang w:eastAsia="en-US"/>
        </w:rPr>
        <w:t>הר</w:t>
      </w:r>
      <w:r w:rsidR="00C81D71" w:rsidRPr="00C119B1">
        <w:rPr>
          <w:sz w:val="24"/>
          <w:rtl/>
          <w:lang w:eastAsia="en-US"/>
        </w:rPr>
        <w:t xml:space="preserve"> </w:t>
      </w:r>
      <w:r w:rsidR="00C81D71" w:rsidRPr="00C119B1">
        <w:rPr>
          <w:rFonts w:hint="eastAsia"/>
          <w:sz w:val="24"/>
          <w:rtl/>
          <w:lang w:eastAsia="en-US"/>
        </w:rPr>
        <w:t>סיני</w:t>
      </w:r>
      <w:r w:rsidR="00C81D71" w:rsidRPr="00C119B1">
        <w:rPr>
          <w:sz w:val="24"/>
          <w:rtl/>
          <w:lang w:eastAsia="en-US"/>
        </w:rPr>
        <w:t xml:space="preserve"> </w:t>
      </w:r>
      <w:r w:rsidR="00C81D71" w:rsidRPr="00C119B1">
        <w:rPr>
          <w:rFonts w:hint="eastAsia"/>
          <w:sz w:val="24"/>
          <w:rtl/>
          <w:lang w:eastAsia="en-US"/>
        </w:rPr>
        <w:t>מי</w:t>
      </w:r>
      <w:r w:rsidR="00C81D71" w:rsidRPr="00C119B1">
        <w:rPr>
          <w:sz w:val="24"/>
          <w:rtl/>
          <w:lang w:eastAsia="en-US"/>
        </w:rPr>
        <w:t xml:space="preserve"> </w:t>
      </w:r>
      <w:r w:rsidR="00C81D71" w:rsidRPr="00C119B1">
        <w:rPr>
          <w:rFonts w:hint="eastAsia"/>
          <w:sz w:val="24"/>
          <w:rtl/>
          <w:lang w:eastAsia="en-US"/>
        </w:rPr>
        <w:t>יקרא</w:t>
      </w:r>
      <w:r w:rsidR="00C81D71" w:rsidRPr="00C119B1">
        <w:rPr>
          <w:sz w:val="24"/>
          <w:rtl/>
          <w:lang w:eastAsia="en-US"/>
        </w:rPr>
        <w:t xml:space="preserve"> </w:t>
      </w:r>
      <w:r w:rsidR="00C81D71" w:rsidRPr="00C119B1">
        <w:rPr>
          <w:rFonts w:hint="eastAsia"/>
          <w:sz w:val="24"/>
          <w:rtl/>
          <w:lang w:eastAsia="en-US"/>
        </w:rPr>
        <w:t>בו</w:t>
      </w:r>
      <w:r>
        <w:rPr>
          <w:rFonts w:hint="cs"/>
          <w:sz w:val="24"/>
          <w:rtl/>
          <w:lang w:eastAsia="en-US"/>
        </w:rPr>
        <w:t>?</w:t>
      </w:r>
      <w:r>
        <w:rPr>
          <w:rStyle w:val="a5"/>
          <w:sz w:val="24"/>
          <w:rtl/>
          <w:lang w:eastAsia="en-US"/>
        </w:rPr>
        <w:footnoteReference w:id="17"/>
      </w:r>
      <w:r w:rsidR="00C81D71" w:rsidRPr="00C119B1">
        <w:rPr>
          <w:sz w:val="24"/>
          <w:rtl/>
          <w:lang w:eastAsia="en-US"/>
        </w:rPr>
        <w:t xml:space="preserve"> </w:t>
      </w:r>
      <w:r w:rsidR="00C81D71" w:rsidRPr="00C119B1">
        <w:rPr>
          <w:rFonts w:hint="eastAsia"/>
          <w:sz w:val="24"/>
          <w:rtl/>
          <w:lang w:eastAsia="en-US"/>
        </w:rPr>
        <w:t>בבקשה</w:t>
      </w:r>
      <w:r w:rsidR="00C81D71" w:rsidRPr="00C119B1">
        <w:rPr>
          <w:sz w:val="24"/>
          <w:rtl/>
          <w:lang w:eastAsia="en-US"/>
        </w:rPr>
        <w:t xml:space="preserve"> </w:t>
      </w:r>
      <w:r w:rsidR="00C81D71" w:rsidRPr="00C119B1">
        <w:rPr>
          <w:rFonts w:hint="eastAsia"/>
          <w:sz w:val="24"/>
          <w:rtl/>
          <w:lang w:eastAsia="en-US"/>
        </w:rPr>
        <w:t>ממך</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הצילני</w:t>
      </w:r>
      <w:r w:rsidR="00C81D71" w:rsidRPr="00C119B1">
        <w:rPr>
          <w:sz w:val="24"/>
          <w:rtl/>
          <w:lang w:eastAsia="en-US"/>
        </w:rPr>
        <w:t xml:space="preserve"> </w:t>
      </w:r>
      <w:r w:rsidR="00C81D71" w:rsidRPr="00C119B1">
        <w:rPr>
          <w:rFonts w:hint="eastAsia"/>
          <w:sz w:val="24"/>
          <w:rtl/>
          <w:lang w:eastAsia="en-US"/>
        </w:rPr>
        <w:t>נא</w:t>
      </w:r>
      <w:r w:rsidR="00C81D71" w:rsidRPr="00C119B1">
        <w:rPr>
          <w:sz w:val="24"/>
          <w:rtl/>
          <w:lang w:eastAsia="en-US"/>
        </w:rPr>
        <w:t xml:space="preserve"> </w:t>
      </w:r>
      <w:r w:rsidR="00C81D71" w:rsidRPr="00C119B1">
        <w:rPr>
          <w:rFonts w:hint="eastAsia"/>
          <w:sz w:val="24"/>
          <w:rtl/>
          <w:lang w:eastAsia="en-US"/>
        </w:rPr>
        <w:t>מידו</w:t>
      </w:r>
      <w:r w:rsidR="00C81D71" w:rsidRPr="00C119B1">
        <w:rPr>
          <w:sz w:val="24"/>
          <w:rtl/>
          <w:lang w:eastAsia="en-US"/>
        </w:rPr>
        <w:t xml:space="preserve"> </w:t>
      </w:r>
      <w:r w:rsidR="00C81D71" w:rsidRPr="00C119B1">
        <w:rPr>
          <w:rFonts w:hint="eastAsia"/>
          <w:sz w:val="24"/>
          <w:rtl/>
          <w:lang w:eastAsia="en-US"/>
        </w:rPr>
        <w:t>שלא</w:t>
      </w:r>
      <w:r w:rsidR="00C81D71" w:rsidRPr="00C119B1">
        <w:rPr>
          <w:sz w:val="24"/>
          <w:rtl/>
          <w:lang w:eastAsia="en-US"/>
        </w:rPr>
        <w:t xml:space="preserve"> </w:t>
      </w:r>
      <w:r w:rsidR="00C81D71" w:rsidRPr="00C119B1">
        <w:rPr>
          <w:rFonts w:hint="eastAsia"/>
          <w:sz w:val="24"/>
          <w:rtl/>
          <w:lang w:eastAsia="en-US"/>
        </w:rPr>
        <w:t>יב</w:t>
      </w:r>
      <w:r>
        <w:rPr>
          <w:rFonts w:hint="cs"/>
          <w:sz w:val="24"/>
          <w:rtl/>
          <w:lang w:eastAsia="en-US"/>
        </w:rPr>
        <w:t>ו</w:t>
      </w:r>
      <w:r w:rsidR="00C81D71" w:rsidRPr="00C119B1">
        <w:rPr>
          <w:rFonts w:hint="eastAsia"/>
          <w:sz w:val="24"/>
          <w:rtl/>
          <w:lang w:eastAsia="en-US"/>
        </w:rPr>
        <w:t>א</w:t>
      </w:r>
      <w:r w:rsidR="00C81D71" w:rsidRPr="00C119B1">
        <w:rPr>
          <w:sz w:val="24"/>
          <w:rtl/>
          <w:lang w:eastAsia="en-US"/>
        </w:rPr>
        <w:t xml:space="preserve"> </w:t>
      </w:r>
      <w:r w:rsidR="00C81D71" w:rsidRPr="00C119B1">
        <w:rPr>
          <w:rFonts w:hint="eastAsia"/>
          <w:sz w:val="24"/>
          <w:rtl/>
          <w:lang w:eastAsia="en-US"/>
        </w:rPr>
        <w:t>ויכני</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על</w:t>
      </w:r>
      <w:r w:rsidR="00C81D71" w:rsidRPr="00C119B1">
        <w:rPr>
          <w:sz w:val="24"/>
          <w:rtl/>
          <w:lang w:eastAsia="en-US"/>
        </w:rPr>
        <w:t xml:space="preserve"> </w:t>
      </w:r>
      <w:r w:rsidR="00C81D71" w:rsidRPr="00C119B1">
        <w:rPr>
          <w:rFonts w:hint="eastAsia"/>
          <w:sz w:val="24"/>
          <w:rtl/>
          <w:lang w:eastAsia="en-US"/>
        </w:rPr>
        <w:t>בנים</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שנאמר</w:t>
      </w:r>
      <w:r>
        <w:rPr>
          <w:rFonts w:hint="cs"/>
          <w:sz w:val="24"/>
          <w:rtl/>
          <w:lang w:eastAsia="en-US"/>
        </w:rPr>
        <w:t>:</w:t>
      </w:r>
      <w:r w:rsidR="00C81D71" w:rsidRPr="00C119B1">
        <w:rPr>
          <w:sz w:val="24"/>
          <w:rtl/>
          <w:lang w:eastAsia="en-US"/>
        </w:rPr>
        <w:t xml:space="preserve"> </w:t>
      </w:r>
      <w:r>
        <w:rPr>
          <w:rFonts w:hint="cs"/>
          <w:sz w:val="24"/>
          <w:rtl/>
          <w:lang w:eastAsia="en-US"/>
        </w:rPr>
        <w:t>"</w:t>
      </w:r>
      <w:r w:rsidR="00C81D71" w:rsidRPr="00C119B1">
        <w:rPr>
          <w:rFonts w:hint="eastAsia"/>
          <w:sz w:val="24"/>
          <w:rtl/>
          <w:lang w:eastAsia="en-US"/>
        </w:rPr>
        <w:t>הצילני</w:t>
      </w:r>
      <w:r w:rsidR="00C81D71" w:rsidRPr="00C119B1">
        <w:rPr>
          <w:sz w:val="24"/>
          <w:rtl/>
          <w:lang w:eastAsia="en-US"/>
        </w:rPr>
        <w:t xml:space="preserve"> </w:t>
      </w:r>
      <w:r w:rsidR="00C81D71" w:rsidRPr="00C119B1">
        <w:rPr>
          <w:rFonts w:hint="eastAsia"/>
          <w:sz w:val="24"/>
          <w:rtl/>
          <w:lang w:eastAsia="en-US"/>
        </w:rPr>
        <w:t>נא</w:t>
      </w:r>
      <w:r>
        <w:rPr>
          <w:rFonts w:hint="cs"/>
          <w:sz w:val="24"/>
          <w:rtl/>
          <w:lang w:eastAsia="en-US"/>
        </w:rPr>
        <w:t>".</w:t>
      </w:r>
      <w:r w:rsidR="002056CE">
        <w:rPr>
          <w:rStyle w:val="a5"/>
          <w:sz w:val="24"/>
          <w:rtl/>
          <w:lang w:eastAsia="en-US"/>
        </w:rPr>
        <w:footnoteReference w:id="18"/>
      </w:r>
    </w:p>
    <w:p w:rsidR="00C24C63" w:rsidRDefault="00C24C63" w:rsidP="00C24C63">
      <w:pPr>
        <w:pStyle w:val="ab"/>
        <w:rPr>
          <w:rtl/>
        </w:rPr>
      </w:pPr>
      <w:r>
        <w:rPr>
          <w:rtl/>
        </w:rPr>
        <w:t xml:space="preserve">ויקרא רבה כז יא </w:t>
      </w:r>
    </w:p>
    <w:p w:rsidR="00C24C63" w:rsidRDefault="00C24C63" w:rsidP="00C24C63">
      <w:pPr>
        <w:pStyle w:val="ac"/>
        <w:rPr>
          <w:rFonts w:hint="cs"/>
          <w:sz w:val="24"/>
          <w:rtl/>
          <w:lang w:eastAsia="en-US"/>
        </w:rPr>
      </w:pPr>
      <w:r>
        <w:rPr>
          <w:rtl/>
        </w:rPr>
        <w:t>"ושור או שה אותו ואת בנו לא תשחטו ביום אחד". אמר ר' ברכיה בשם ר' לוי: כתיב: "יודע צדיק נפש בהמתו"  (משלי יב י). "יודע צדיק" - זה הקב"ה, שכתוב בתורתו: "לא תקח האם על הבנים" (דברים כב ו). "ורחמי רשעים אכזרי" - זה סנחריב שכתוב בו: "אם על בנים רוטשה" (הושע י יד). דבר אחר: "יודע צדיק נפש בהמתו" - זה הקב"ה שכתוב בתורתו: "שור או כשב או עז כי יולד והיה שבעת ימים תחת אמו". "ורחמי רשעים אכזרי" - זה המן הרשע דכתיב: "להשמיד להרוג ולאבד"</w:t>
      </w:r>
      <w:r>
        <w:rPr>
          <w:rFonts w:hint="cs"/>
          <w:sz w:val="24"/>
          <w:rtl/>
          <w:lang w:eastAsia="en-US"/>
        </w:rPr>
        <w:t>.</w:t>
      </w:r>
      <w:r w:rsidR="009A5139">
        <w:rPr>
          <w:rStyle w:val="a5"/>
          <w:sz w:val="24"/>
          <w:rtl/>
          <w:lang w:eastAsia="en-US"/>
        </w:rPr>
        <w:footnoteReference w:id="19"/>
      </w:r>
    </w:p>
    <w:p w:rsidR="005C1EF7" w:rsidRDefault="00D32568" w:rsidP="000C41BB">
      <w:pPr>
        <w:pStyle w:val="ab"/>
        <w:rPr>
          <w:rFonts w:hint="cs"/>
          <w:rtl/>
          <w:lang w:eastAsia="en-US"/>
        </w:rPr>
      </w:pPr>
      <w:r>
        <w:rPr>
          <w:rtl/>
          <w:lang w:eastAsia="en-US"/>
        </w:rPr>
        <w:t>איכה רבה (וילנא) פתיחתות</w:t>
      </w:r>
      <w:r>
        <w:rPr>
          <w:rFonts w:hint="cs"/>
          <w:rtl/>
          <w:lang w:eastAsia="en-US"/>
        </w:rPr>
        <w:t>, פתיחתא כד</w:t>
      </w:r>
    </w:p>
    <w:p w:rsidR="00306085" w:rsidRDefault="00D32568" w:rsidP="00AE0DC2">
      <w:pPr>
        <w:pStyle w:val="ac"/>
        <w:rPr>
          <w:rFonts w:hint="cs"/>
          <w:rtl/>
          <w:lang w:eastAsia="en-US"/>
        </w:rPr>
      </w:pPr>
      <w:r>
        <w:rPr>
          <w:rFonts w:hint="cs"/>
          <w:rtl/>
          <w:lang w:eastAsia="en-US"/>
        </w:rPr>
        <w:t>ש</w:t>
      </w:r>
      <w:r w:rsidR="005C1EF7">
        <w:rPr>
          <w:rtl/>
          <w:lang w:eastAsia="en-US"/>
        </w:rPr>
        <w:t>וב פתח משה ואמר</w:t>
      </w:r>
      <w:r>
        <w:rPr>
          <w:rFonts w:hint="cs"/>
          <w:rtl/>
          <w:lang w:eastAsia="en-US"/>
        </w:rPr>
        <w:t>:</w:t>
      </w:r>
      <w:r w:rsidR="005C1EF7">
        <w:rPr>
          <w:rtl/>
          <w:lang w:eastAsia="en-US"/>
        </w:rPr>
        <w:t xml:space="preserve"> ווי על זיו</w:t>
      </w:r>
      <w:r>
        <w:rPr>
          <w:rFonts w:hint="cs"/>
          <w:rtl/>
          <w:lang w:eastAsia="en-US"/>
        </w:rPr>
        <w:t xml:space="preserve"> ה</w:t>
      </w:r>
      <w:r w:rsidR="005C1EF7">
        <w:rPr>
          <w:rtl/>
          <w:lang w:eastAsia="en-US"/>
        </w:rPr>
        <w:t>מקדש</w:t>
      </w:r>
      <w:r>
        <w:rPr>
          <w:rFonts w:hint="cs"/>
          <w:rtl/>
          <w:lang w:eastAsia="en-US"/>
        </w:rPr>
        <w:t xml:space="preserve"> איך חשך. </w:t>
      </w:r>
      <w:r w:rsidR="005C1EF7">
        <w:rPr>
          <w:rtl/>
          <w:lang w:eastAsia="en-US"/>
        </w:rPr>
        <w:t xml:space="preserve">ווי כי </w:t>
      </w:r>
      <w:r w:rsidR="00166776">
        <w:rPr>
          <w:rFonts w:hint="cs"/>
          <w:rtl/>
          <w:lang w:eastAsia="en-US"/>
        </w:rPr>
        <w:t>הגיע זמנו להיחרב וההיכל להישרף, ותינוקות של בית רבן נהרגים ואבותיהם הולכים בשבי, בגלות ובחרב.</w:t>
      </w:r>
      <w:r w:rsidR="00166776">
        <w:rPr>
          <w:rStyle w:val="a5"/>
          <w:rtl/>
          <w:lang w:eastAsia="en-US"/>
        </w:rPr>
        <w:footnoteReference w:id="20"/>
      </w:r>
      <w:r w:rsidR="00166776">
        <w:rPr>
          <w:rFonts w:hint="cs"/>
          <w:rtl/>
          <w:lang w:eastAsia="en-US"/>
        </w:rPr>
        <w:t xml:space="preserve"> ש</w:t>
      </w:r>
      <w:r w:rsidR="005C1EF7">
        <w:rPr>
          <w:rtl/>
          <w:lang w:eastAsia="en-US"/>
        </w:rPr>
        <w:t>וב פתח משה ואמר</w:t>
      </w:r>
      <w:r w:rsidR="00166776">
        <w:rPr>
          <w:rFonts w:hint="cs"/>
          <w:rtl/>
          <w:lang w:eastAsia="en-US"/>
        </w:rPr>
        <w:t>:</w:t>
      </w:r>
      <w:r w:rsidR="005C1EF7">
        <w:rPr>
          <w:rtl/>
          <w:lang w:eastAsia="en-US"/>
        </w:rPr>
        <w:t xml:space="preserve"> שבאי</w:t>
      </w:r>
      <w:r w:rsidR="00166776">
        <w:rPr>
          <w:rFonts w:hint="cs"/>
          <w:rtl/>
          <w:lang w:eastAsia="en-US"/>
        </w:rPr>
        <w:t xml:space="preserve">ם בחייכם! אתם ההורגים, אל תהרגו הרג אכזרי ואל תעשו כיליון גמור ואל תהרגו בן בפני אביו ובת בפני </w:t>
      </w:r>
      <w:r w:rsidR="00AE0DC2">
        <w:rPr>
          <w:rFonts w:hint="cs"/>
          <w:rtl/>
          <w:lang w:eastAsia="en-US"/>
        </w:rPr>
        <w:t>א</w:t>
      </w:r>
      <w:r w:rsidR="00AE0DC2">
        <w:rPr>
          <w:rFonts w:hint="eastAsia"/>
          <w:rtl/>
          <w:lang w:eastAsia="en-US"/>
        </w:rPr>
        <w:t>ִ</w:t>
      </w:r>
      <w:r w:rsidR="00AE0DC2">
        <w:rPr>
          <w:rFonts w:hint="cs"/>
          <w:rtl/>
          <w:lang w:eastAsia="en-US"/>
        </w:rPr>
        <w:t>מ</w:t>
      </w:r>
      <w:r w:rsidR="00AE0DC2">
        <w:rPr>
          <w:rFonts w:hint="eastAsia"/>
          <w:rtl/>
          <w:lang w:eastAsia="en-US"/>
        </w:rPr>
        <w:t>ָּ</w:t>
      </w:r>
      <w:r w:rsidR="00AE0DC2">
        <w:rPr>
          <w:rFonts w:hint="cs"/>
          <w:rtl/>
          <w:lang w:eastAsia="en-US"/>
        </w:rPr>
        <w:t>ה</w:t>
      </w:r>
      <w:r w:rsidR="00AE0DC2">
        <w:rPr>
          <w:rFonts w:hint="eastAsia"/>
          <w:rtl/>
          <w:lang w:eastAsia="en-US"/>
        </w:rPr>
        <w:t>ּ</w:t>
      </w:r>
      <w:r w:rsidR="00166776">
        <w:rPr>
          <w:rFonts w:hint="cs"/>
          <w:rtl/>
          <w:lang w:eastAsia="en-US"/>
        </w:rPr>
        <w:t>. כי תבוא השעה שאדון השמים יבוא אתכם בחשבון</w:t>
      </w:r>
      <w:r w:rsidR="00AE0DC2">
        <w:rPr>
          <w:rFonts w:hint="cs"/>
          <w:rtl/>
          <w:lang w:eastAsia="en-US"/>
        </w:rPr>
        <w:t>!</w:t>
      </w:r>
      <w:r w:rsidR="00166776">
        <w:rPr>
          <w:rFonts w:hint="cs"/>
          <w:rtl/>
          <w:lang w:eastAsia="en-US"/>
        </w:rPr>
        <w:t xml:space="preserve"> </w:t>
      </w:r>
      <w:r w:rsidR="005C1EF7">
        <w:rPr>
          <w:rtl/>
          <w:lang w:eastAsia="en-US"/>
        </w:rPr>
        <w:t>ו</w:t>
      </w:r>
      <w:r w:rsidR="00166776">
        <w:rPr>
          <w:rFonts w:hint="cs"/>
          <w:rtl/>
          <w:lang w:eastAsia="en-US"/>
        </w:rPr>
        <w:t>ה</w:t>
      </w:r>
      <w:r w:rsidR="005C1EF7">
        <w:rPr>
          <w:rtl/>
          <w:lang w:eastAsia="en-US"/>
        </w:rPr>
        <w:t>כשדי</w:t>
      </w:r>
      <w:r w:rsidR="00166776">
        <w:rPr>
          <w:rFonts w:hint="cs"/>
          <w:rtl/>
          <w:lang w:eastAsia="en-US"/>
        </w:rPr>
        <w:t>ם ה</w:t>
      </w:r>
      <w:r w:rsidR="005C1EF7">
        <w:rPr>
          <w:rtl/>
          <w:lang w:eastAsia="en-US"/>
        </w:rPr>
        <w:t>רשעי</w:t>
      </w:r>
      <w:r w:rsidR="00166776">
        <w:rPr>
          <w:rFonts w:hint="cs"/>
          <w:rtl/>
          <w:lang w:eastAsia="en-US"/>
        </w:rPr>
        <w:t>ם</w:t>
      </w:r>
      <w:r w:rsidR="005C1EF7">
        <w:rPr>
          <w:rtl/>
          <w:lang w:eastAsia="en-US"/>
        </w:rPr>
        <w:t xml:space="preserve"> לא </w:t>
      </w:r>
      <w:r w:rsidR="00AE0DC2">
        <w:rPr>
          <w:rFonts w:hint="cs"/>
          <w:rtl/>
          <w:lang w:eastAsia="en-US"/>
        </w:rPr>
        <w:t xml:space="preserve">עשו כן, אלא היו מושיבים את הבן בכנפי אמו ואומרים לאביו: קום שחוט אותו. בכתה אמו ונשרו דמעותיה עליו ואביו תלה את ראשו. </w:t>
      </w:r>
      <w:r w:rsidR="005C1EF7">
        <w:rPr>
          <w:rtl/>
          <w:lang w:eastAsia="en-US"/>
        </w:rPr>
        <w:t>ועוד אמר לפניו</w:t>
      </w:r>
      <w:r w:rsidR="00AE0DC2">
        <w:rPr>
          <w:rFonts w:hint="cs"/>
          <w:rtl/>
          <w:lang w:eastAsia="en-US"/>
        </w:rPr>
        <w:t>:</w:t>
      </w:r>
      <w:r w:rsidR="005C1EF7">
        <w:rPr>
          <w:rtl/>
          <w:lang w:eastAsia="en-US"/>
        </w:rPr>
        <w:t xml:space="preserve"> רבש"ע כתבת בתורתך (ויקרא כ"ב) ושור או שה אותו ואת בנו לא תשחטו ביום אחד, והלא כבר הרגו ב</w:t>
      </w:r>
      <w:r w:rsidR="00D4795E">
        <w:rPr>
          <w:rtl/>
          <w:lang w:eastAsia="en-US"/>
        </w:rPr>
        <w:t>נים ואמותיהם כמה וכמה ואתה שותק</w:t>
      </w:r>
      <w:r w:rsidR="00D4795E">
        <w:rPr>
          <w:rFonts w:hint="cs"/>
          <w:rtl/>
          <w:lang w:eastAsia="en-US"/>
        </w:rPr>
        <w:t>.</w:t>
      </w:r>
      <w:r w:rsidR="002F6DDC">
        <w:rPr>
          <w:rStyle w:val="a5"/>
          <w:rtl/>
          <w:lang w:eastAsia="en-US"/>
        </w:rPr>
        <w:footnoteReference w:id="21"/>
      </w:r>
    </w:p>
    <w:p w:rsidR="00F64608" w:rsidRPr="00927269" w:rsidRDefault="00F64608" w:rsidP="000573A9">
      <w:pPr>
        <w:pStyle w:val="ad"/>
        <w:spacing w:before="120"/>
        <w:outlineLvl w:val="0"/>
        <w:rPr>
          <w:rFonts w:hint="cs"/>
          <w:rtl/>
        </w:rPr>
      </w:pPr>
      <w:r w:rsidRPr="00927269">
        <w:rPr>
          <w:rtl/>
        </w:rPr>
        <w:t>שבת שלום</w:t>
      </w:r>
      <w:r w:rsidR="000573A9">
        <w:rPr>
          <w:rFonts w:hint="cs"/>
          <w:rtl/>
        </w:rPr>
        <w:t xml:space="preserve">, </w:t>
      </w:r>
      <w:r w:rsidRPr="00927269">
        <w:rPr>
          <w:rtl/>
        </w:rPr>
        <w:t>מחלקי המים</w:t>
      </w:r>
    </w:p>
    <w:sectPr w:rsidR="00F64608" w:rsidRPr="00927269" w:rsidSect="000573A9">
      <w:headerReference w:type="default" r:id="rId6"/>
      <w:footerReference w:type="default" r:id="rId7"/>
      <w:headerReference w:type="first" r:id="rId8"/>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1D" w:rsidRDefault="005E661D">
      <w:r>
        <w:separator/>
      </w:r>
    </w:p>
  </w:endnote>
  <w:endnote w:type="continuationSeparator" w:id="0">
    <w:p w:rsidR="005E661D" w:rsidRDefault="005E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E0" w:rsidRPr="00F8747C" w:rsidRDefault="00EA6BE0" w:rsidP="00876E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C427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C4279">
      <w:rPr>
        <w:rStyle w:val="af0"/>
        <w:noProof/>
        <w:rtl/>
      </w:rPr>
      <w:t>3</w:t>
    </w:r>
    <w:r w:rsidRPr="00F8747C">
      <w:rPr>
        <w:rStyle w:val="af0"/>
      </w:rPr>
      <w:fldChar w:fldCharType="end"/>
    </w:r>
  </w:p>
  <w:p w:rsidR="00EA6BE0" w:rsidRDefault="00EA6B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1D" w:rsidRDefault="005E661D">
      <w:r>
        <w:separator/>
      </w:r>
    </w:p>
  </w:footnote>
  <w:footnote w:type="continuationSeparator" w:id="0">
    <w:p w:rsidR="005E661D" w:rsidRDefault="005E661D">
      <w:r>
        <w:continuationSeparator/>
      </w:r>
    </w:p>
  </w:footnote>
  <w:footnote w:id="1">
    <w:p w:rsidR="00EA6BE0" w:rsidRDefault="00EA6BE0" w:rsidP="00E14C11">
      <w:pPr>
        <w:pStyle w:val="a3"/>
        <w:rPr>
          <w:rFonts w:hint="cs"/>
        </w:rPr>
      </w:pPr>
      <w:r>
        <w:rPr>
          <w:rStyle w:val="a5"/>
        </w:rPr>
        <w:footnoteRef/>
      </w:r>
      <w:r>
        <w:rPr>
          <w:rtl/>
        </w:rPr>
        <w:t xml:space="preserve"> </w:t>
      </w:r>
      <w:r>
        <w:rPr>
          <w:rFonts w:hint="cs"/>
          <w:rtl/>
        </w:rPr>
        <w:t>וכאן האב שואל בשולחן שבת: איזו מצווה אחרת בתורה מזכירה מצווה זו? רמז: ספר דברים ... פרשת כי תצא ... שם זה אם ולא אב ... התשובה: מצוות שילוח הקן: "לא תקח האם על הבנים". ויש עוד מצווה דומה! ועוד נידרש לשתיהן בהמשך דברינו.</w:t>
      </w:r>
    </w:p>
  </w:footnote>
  <w:footnote w:id="2">
    <w:p w:rsidR="00EA6BE0" w:rsidRDefault="00EA6BE0" w:rsidP="002F6DDC">
      <w:pPr>
        <w:pStyle w:val="a3"/>
        <w:rPr>
          <w:rFonts w:hint="cs"/>
        </w:rPr>
      </w:pPr>
      <w:r>
        <w:rPr>
          <w:rStyle w:val="a5"/>
        </w:rPr>
        <w:footnoteRef/>
      </w:r>
      <w:r>
        <w:rPr>
          <w:rtl/>
        </w:rPr>
        <w:t xml:space="preserve"> </w:t>
      </w:r>
      <w:r>
        <w:rPr>
          <w:rFonts w:hint="cs"/>
          <w:rtl/>
        </w:rPr>
        <w:t>פרק חמישי במסכת חולין נקרא פרק אותו ואת בנו ומוקדש רובו ככולו לדין האיסור של שחיטת בהמה ובנה (או אמה). ראה תמצית הפרק בפתיחה של פירוש קהתי לפרק זה במשנה חולין. וראה עיקרי הדין וההלכות בפרק יב מהלכות שחיטה לרמב"ם: "</w:t>
      </w:r>
      <w:r>
        <w:rPr>
          <w:rtl/>
          <w:lang w:eastAsia="en-US"/>
        </w:rPr>
        <w:t>השוחט אותו ואת בנו ביום אחד הבשר מותר באכילה והשוחט לוקה</w:t>
      </w:r>
      <w:r>
        <w:rPr>
          <w:rFonts w:hint="cs"/>
          <w:rtl/>
          <w:lang w:eastAsia="en-US"/>
        </w:rPr>
        <w:t>,</w:t>
      </w:r>
      <w:r>
        <w:rPr>
          <w:rtl/>
          <w:lang w:eastAsia="en-US"/>
        </w:rPr>
        <w:t xml:space="preserve"> שנאמר</w:t>
      </w:r>
      <w:r>
        <w:rPr>
          <w:rFonts w:hint="cs"/>
          <w:rtl/>
          <w:lang w:eastAsia="en-US"/>
        </w:rPr>
        <w:t>:</w:t>
      </w:r>
      <w:r>
        <w:rPr>
          <w:rtl/>
          <w:lang w:eastAsia="en-US"/>
        </w:rPr>
        <w:t xml:space="preserve"> אותו ואת בנו לא תשחטו ביום אחד</w:t>
      </w:r>
      <w:r>
        <w:rPr>
          <w:rFonts w:hint="cs"/>
          <w:rtl/>
          <w:lang w:eastAsia="en-US"/>
        </w:rPr>
        <w:t>.</w:t>
      </w:r>
      <w:r>
        <w:rPr>
          <w:rtl/>
          <w:lang w:eastAsia="en-US"/>
        </w:rPr>
        <w:t xml:space="preserve"> ואינו לוקה אלא על שחיטת האחרון, לפיכך אם שחט אחד משניהן ובא חבירו ושחט את השני חבירו לוקה</w:t>
      </w:r>
      <w:r>
        <w:rPr>
          <w:rFonts w:hint="cs"/>
          <w:rtl/>
          <w:lang w:eastAsia="en-US"/>
        </w:rPr>
        <w:t>"</w:t>
      </w:r>
      <w:r>
        <w:rPr>
          <w:rtl/>
          <w:lang w:eastAsia="en-US"/>
        </w:rPr>
        <w:t>.</w:t>
      </w:r>
    </w:p>
  </w:footnote>
  <w:footnote w:id="3">
    <w:p w:rsidR="00EA6BE0" w:rsidRDefault="00EA6BE0">
      <w:pPr>
        <w:pStyle w:val="a3"/>
        <w:rPr>
          <w:rFonts w:hint="cs"/>
          <w:rtl/>
        </w:rPr>
      </w:pPr>
      <w:r>
        <w:rPr>
          <w:rStyle w:val="a5"/>
        </w:rPr>
        <w:footnoteRef/>
      </w:r>
      <w:r>
        <w:rPr>
          <w:rtl/>
        </w:rPr>
        <w:t xml:space="preserve"> </w:t>
      </w:r>
      <w:r>
        <w:rPr>
          <w:rFonts w:hint="cs"/>
          <w:rtl/>
        </w:rPr>
        <w:t>בשחיטת חולין וגם בבית המקדש. וקהתי מוסיף: "בין בקרבנות הנאכלים (שלמים, חטאת) ובין בקרבנות שאינם נאכלים (עולה)".</w:t>
      </w:r>
    </w:p>
  </w:footnote>
  <w:footnote w:id="4">
    <w:p w:rsidR="00EA6BE0" w:rsidRDefault="00EA6BE0" w:rsidP="004E6A7A">
      <w:pPr>
        <w:pStyle w:val="a3"/>
        <w:rPr>
          <w:rFonts w:hint="cs"/>
          <w:rtl/>
        </w:rPr>
      </w:pPr>
      <w:r>
        <w:rPr>
          <w:rStyle w:val="a5"/>
        </w:rPr>
        <w:footnoteRef/>
      </w:r>
      <w:r>
        <w:rPr>
          <w:rtl/>
        </w:rPr>
        <w:t xml:space="preserve"> </w:t>
      </w:r>
      <w:r>
        <w:rPr>
          <w:rFonts w:hint="cs"/>
          <w:rtl/>
        </w:rPr>
        <w:t xml:space="preserve">שרבי שמעון סבור ששחיטה שאינה ראויה לאכילה אינה נחשבת ולפיכך השוחט את הבהמה השנייה, האב או הבן, אינו חייב. אבל הלכה כחכמים משום שלעניין האיסור של אותו ואת בנו הייתה כאן שחיטת שניהם והלכות כשרות השחיטה אינן נוגעת לאיסור. </w:t>
      </w:r>
    </w:p>
  </w:footnote>
  <w:footnote w:id="5">
    <w:p w:rsidR="00EA6BE0" w:rsidRDefault="00EA6BE0" w:rsidP="002F6DDC">
      <w:pPr>
        <w:pStyle w:val="a3"/>
        <w:rPr>
          <w:rFonts w:hint="cs"/>
          <w:rtl/>
        </w:rPr>
      </w:pPr>
      <w:r>
        <w:rPr>
          <w:rStyle w:val="a5"/>
        </w:rPr>
        <w:footnoteRef/>
      </w:r>
      <w:r>
        <w:rPr>
          <w:rtl/>
        </w:rPr>
        <w:t xml:space="preserve"> </w:t>
      </w:r>
      <w:r>
        <w:rPr>
          <w:rFonts w:hint="cs"/>
          <w:rtl/>
        </w:rPr>
        <w:t>כאן גם חכמים מודים משום שאין כאן שחיטה בכלל (קהתי). ראה גם לשון הרמב"ם ב</w:t>
      </w:r>
      <w:r>
        <w:rPr>
          <w:rtl/>
        </w:rPr>
        <w:t xml:space="preserve">הלכות שחיטה יב </w:t>
      </w:r>
      <w:r>
        <w:rPr>
          <w:rFonts w:hint="cs"/>
          <w:rtl/>
        </w:rPr>
        <w:t>ג שממנו משמע שמותר לכתחילה, לא רק פטור בדיעבד: "</w:t>
      </w:r>
      <w:r>
        <w:rPr>
          <w:rtl/>
        </w:rPr>
        <w:t>אין איסור אותו ואת בנו נוהג אלא בשחיטה בלבד שנאמר לא תשחטו</w:t>
      </w:r>
      <w:r>
        <w:rPr>
          <w:rFonts w:hint="cs"/>
          <w:rtl/>
        </w:rPr>
        <w:t>,</w:t>
      </w:r>
      <w:r>
        <w:rPr>
          <w:rtl/>
        </w:rPr>
        <w:t xml:space="preserve"> בשחיטת שניהן הוא האיסור</w:t>
      </w:r>
      <w:r>
        <w:rPr>
          <w:rFonts w:hint="cs"/>
          <w:rtl/>
        </w:rPr>
        <w:t>.</w:t>
      </w:r>
      <w:r>
        <w:rPr>
          <w:rtl/>
        </w:rPr>
        <w:t xml:space="preserve"> אבל אם נחר הראשון או נתנבל בידו מותר לשחוט</w:t>
      </w:r>
      <w:r>
        <w:rPr>
          <w:rFonts w:hint="cs"/>
          <w:rtl/>
        </w:rPr>
        <w:t>.</w:t>
      </w:r>
      <w:r>
        <w:rPr>
          <w:rtl/>
        </w:rPr>
        <w:t xml:space="preserve"> וכן אם שחט הראשון ונחר השני או נתנבל בידו פטור</w:t>
      </w:r>
      <w:r>
        <w:rPr>
          <w:rFonts w:hint="cs"/>
          <w:rtl/>
        </w:rPr>
        <w:t>"</w:t>
      </w:r>
      <w:r>
        <w:rPr>
          <w:rtl/>
        </w:rPr>
        <w:t xml:space="preserve">. </w:t>
      </w:r>
      <w:r>
        <w:rPr>
          <w:rFonts w:hint="cs"/>
          <w:rtl/>
        </w:rPr>
        <w:t>ועדיין צריך הסבר ועיון מה ההבדל בין המקרה הקודם (השוחט ונמצא טריפה) ובין נחירה, בפרט לדעות שנראה להלן שדורשות טעמי המצווה .</w:t>
      </w:r>
    </w:p>
  </w:footnote>
  <w:footnote w:id="6">
    <w:p w:rsidR="00EA6BE0" w:rsidRDefault="00EA6BE0" w:rsidP="00E14C11">
      <w:pPr>
        <w:pStyle w:val="a3"/>
        <w:rPr>
          <w:rFonts w:hint="cs"/>
          <w:rtl/>
        </w:rPr>
      </w:pPr>
      <w:r>
        <w:rPr>
          <w:rStyle w:val="a5"/>
        </w:rPr>
        <w:footnoteRef/>
      </w:r>
      <w:r>
        <w:rPr>
          <w:rtl/>
        </w:rPr>
        <w:t xml:space="preserve"> </w:t>
      </w:r>
      <w:r>
        <w:rPr>
          <w:rFonts w:hint="cs"/>
          <w:rtl/>
        </w:rPr>
        <w:t xml:space="preserve">בארבעה או חמישה ימים אלה אנשים רבים לוקחים בהמות לכבוד החג ומן הסתם הראשון שחט אותה באותו היום ולפיכך צריך להודיע לשני שיידע ויזהר. וזאת, כמובן כאשר המוכר יודע את ייחוס הבהמות. האם ייתכן שביום יום </w:t>
      </w:r>
      <w:smartTag w:uri="urn:schemas-microsoft-com:office:smarttags" w:element="PersonName">
        <w:r>
          <w:rPr>
            <w:rFonts w:hint="cs"/>
            <w:rtl/>
          </w:rPr>
          <w:t>עוב</w:t>
        </w:r>
      </w:smartTag>
      <w:r>
        <w:rPr>
          <w:rFonts w:hint="cs"/>
          <w:rtl/>
        </w:rPr>
        <w:t>רים על האיסור בלי שום מודעות במין שוגג של שוגג, גם בהסתברות נמוכה וללא כל אפשרות לדעת ולהיזהר? היש גבול הסתברותי לאיסור?</w:t>
      </w:r>
    </w:p>
  </w:footnote>
  <w:footnote w:id="7">
    <w:p w:rsidR="00EA6BE0" w:rsidRDefault="00EA6BE0" w:rsidP="00161CA2">
      <w:pPr>
        <w:pStyle w:val="a3"/>
        <w:rPr>
          <w:rFonts w:hint="cs"/>
          <w:rtl/>
        </w:rPr>
      </w:pPr>
      <w:r>
        <w:rPr>
          <w:rStyle w:val="a5"/>
        </w:rPr>
        <w:footnoteRef/>
      </w:r>
      <w:r>
        <w:rPr>
          <w:rtl/>
        </w:rPr>
        <w:t xml:space="preserve"> </w:t>
      </w:r>
      <w:r>
        <w:rPr>
          <w:rFonts w:hint="cs"/>
          <w:rtl/>
          <w:lang w:eastAsia="en-US"/>
        </w:rPr>
        <w:t>בעבודת בית המקדש הלילה הולך אחר היום, ראה למשל תוספתא</w:t>
      </w:r>
      <w:r w:rsidRPr="00810922">
        <w:rPr>
          <w:rtl/>
        </w:rPr>
        <w:t xml:space="preserve"> </w:t>
      </w:r>
      <w:r>
        <w:rPr>
          <w:rtl/>
          <w:lang w:eastAsia="en-US"/>
        </w:rPr>
        <w:t>זבחים ו</w:t>
      </w:r>
      <w:r>
        <w:rPr>
          <w:rFonts w:hint="cs"/>
          <w:rtl/>
          <w:lang w:eastAsia="en-US"/>
        </w:rPr>
        <w:t xml:space="preserve"> יח: "</w:t>
      </w:r>
      <w:r>
        <w:rPr>
          <w:rtl/>
          <w:lang w:eastAsia="en-US"/>
        </w:rPr>
        <w:t>ובכל מקום היום הולך אחר הלילה</w:t>
      </w:r>
      <w:r>
        <w:rPr>
          <w:rFonts w:hint="cs"/>
          <w:rtl/>
          <w:lang w:eastAsia="en-US"/>
        </w:rPr>
        <w:t>,</w:t>
      </w:r>
      <w:r>
        <w:rPr>
          <w:rtl/>
          <w:lang w:eastAsia="en-US"/>
        </w:rPr>
        <w:t xml:space="preserve"> לאכילת קדשים הלילה הולך אחר היום</w:t>
      </w:r>
      <w:r>
        <w:rPr>
          <w:rFonts w:hint="cs"/>
          <w:rtl/>
          <w:lang w:eastAsia="en-US"/>
        </w:rPr>
        <w:t xml:space="preserve">". לפיכך צריך להדגיש שכאן, בדין אותו ואת בנו שנוהג כאמור לעיל גם בקדשים, היום הולך אחר הלילה ו"יום" </w:t>
      </w:r>
      <w:r>
        <w:rPr>
          <w:rtl/>
          <w:lang w:eastAsia="en-US"/>
        </w:rPr>
        <w:t>–</w:t>
      </w:r>
      <w:r>
        <w:rPr>
          <w:rFonts w:hint="cs"/>
          <w:rtl/>
          <w:lang w:eastAsia="en-US"/>
        </w:rPr>
        <w:t xml:space="preserve"> היינו יממה מתחיל משקיעת החמה ומסתיים בשקיעתה למחרת, כפי שאנו נוהגים בשבתות, חגים ובביום יום. ובמקום שקצרה המשנה, הרחיבה ואמרה זאת במפורש הברייתא שהגמרא (חולין פג ע"א) מביאה: "</w:t>
      </w:r>
      <w:r>
        <w:rPr>
          <w:rtl/>
          <w:lang w:eastAsia="en-US"/>
        </w:rPr>
        <w:t>ת</w:t>
      </w:r>
      <w:r>
        <w:rPr>
          <w:rFonts w:hint="cs"/>
          <w:rtl/>
          <w:lang w:eastAsia="en-US"/>
        </w:rPr>
        <w:t xml:space="preserve">נו רבנן: </w:t>
      </w:r>
      <w:r>
        <w:rPr>
          <w:rtl/>
          <w:lang w:eastAsia="en-US"/>
        </w:rPr>
        <w:t>את זו דרש ר"ש בן זומא: לפי שכל הענין כולו אינו מדבר אלא בקדשים, ובקדשים לילה הולך אחר היום, יכול אף זה כן? נאמר כאן יום אחד, ונאמר במעשה בראשית יום אחד</w:t>
      </w:r>
      <w:r>
        <w:rPr>
          <w:rFonts w:hint="cs"/>
          <w:rtl/>
          <w:lang w:eastAsia="en-US"/>
        </w:rPr>
        <w:t>.</w:t>
      </w:r>
      <w:r>
        <w:rPr>
          <w:rtl/>
          <w:lang w:eastAsia="en-US"/>
        </w:rPr>
        <w:t xml:space="preserve"> מה יום אחד האמור במעשה בראשית - היום הולך אחר הלילה, אף יום אחד האמור באותו ואת בנו - היום הולך אחר הלילה</w:t>
      </w:r>
      <w:r>
        <w:rPr>
          <w:rFonts w:hint="cs"/>
          <w:rtl/>
          <w:lang w:eastAsia="en-US"/>
        </w:rPr>
        <w:t>"</w:t>
      </w:r>
      <w:r>
        <w:rPr>
          <w:rtl/>
          <w:lang w:eastAsia="en-US"/>
        </w:rPr>
        <w:t>.</w:t>
      </w:r>
      <w:r>
        <w:rPr>
          <w:rFonts w:hint="cs"/>
          <w:rtl/>
          <w:lang w:eastAsia="en-US"/>
        </w:rPr>
        <w:t xml:space="preserve"> ומכל זה נראה קושיה גדולה לשיטת הרשב"ם הייחודית בפירושו לפסוק "ויהי ערב ויהי בוקר" במעשה בראשית: "כשהבקיר יום ונגמרה הלילה, הרי נגמר יום אחד והתחיל יום שני". וצ"ע ואכמ"ל.</w:t>
      </w:r>
      <w:r>
        <w:rPr>
          <w:rFonts w:hint="cs"/>
          <w:rtl/>
        </w:rPr>
        <w:t xml:space="preserve"> והרוצה להמשיך חכמתו ועיונו בדין זה יעיין בפירוש משך חכמה על הפסוק וימצא דיון גיאוגרפי מעניין בהפרשי שעות על פני כדור הארץ ועד כאן.</w:t>
      </w:r>
    </w:p>
  </w:footnote>
  <w:footnote w:id="8">
    <w:p w:rsidR="00EA6BE0" w:rsidRDefault="00EA6BE0">
      <w:pPr>
        <w:pStyle w:val="a3"/>
        <w:rPr>
          <w:rFonts w:hint="cs"/>
        </w:rPr>
      </w:pPr>
      <w:r>
        <w:rPr>
          <w:rStyle w:val="a5"/>
        </w:rPr>
        <w:footnoteRef/>
      </w:r>
      <w:r>
        <w:rPr>
          <w:rtl/>
        </w:rPr>
        <w:t xml:space="preserve"> </w:t>
      </w:r>
      <w:r>
        <w:rPr>
          <w:rFonts w:hint="cs"/>
          <w:rtl/>
        </w:rPr>
        <w:t>ואנו מבינים שחכמים חולקים על ר' חנניה וסוברים שהדין נוהג רק באם: פרה וכבשה (לשון רס"ג) ובנה או בתה. וזה כפי שנראה כוחם של חכמים לקחת פסוק מהמקרא ולשנות את משמעותו להלכה.</w:t>
      </w:r>
    </w:p>
  </w:footnote>
  <w:footnote w:id="9">
    <w:p w:rsidR="00EA6BE0" w:rsidRDefault="00EA6BE0" w:rsidP="005D62C1">
      <w:pPr>
        <w:pStyle w:val="a3"/>
        <w:rPr>
          <w:rFonts w:hint="cs"/>
        </w:rPr>
      </w:pPr>
      <w:r>
        <w:rPr>
          <w:rStyle w:val="a5"/>
        </w:rPr>
        <w:footnoteRef/>
      </w:r>
      <w:r>
        <w:rPr>
          <w:rtl/>
        </w:rPr>
        <w:t xml:space="preserve"> </w:t>
      </w:r>
      <w:r>
        <w:rPr>
          <w:rFonts w:hint="cs"/>
          <w:rtl/>
        </w:rPr>
        <w:t>שאמר בלשון יחיד "אותו", משמע "באחד הוא נוהג ולא בשניים" (רש"י בגמרא שם), צריך להחליט אם מדובר באב או באם, אי אפשר בשניהם. והבחירה באם באה מההיקש לדין קן ציפור, ששם כתוב במפורש "לא תקח האם על הבנים". האם זו באמת הסיבה או שמא רק דרשה ואסמכתא מקרא?</w:t>
      </w:r>
    </w:p>
  </w:footnote>
  <w:footnote w:id="10">
    <w:p w:rsidR="00EA6BE0" w:rsidRDefault="00EA6BE0">
      <w:pPr>
        <w:pStyle w:val="a3"/>
        <w:rPr>
          <w:rFonts w:hint="cs"/>
          <w:rtl/>
        </w:rPr>
      </w:pPr>
      <w:r>
        <w:rPr>
          <w:rStyle w:val="a5"/>
        </w:rPr>
        <w:footnoteRef/>
      </w:r>
      <w:r>
        <w:rPr>
          <w:rtl/>
        </w:rPr>
        <w:t xml:space="preserve"> </w:t>
      </w:r>
      <w:r>
        <w:rPr>
          <w:rFonts w:hint="cs"/>
          <w:rtl/>
        </w:rPr>
        <w:t>ואם תרצה לומר עוד הסבר. וכאן נראה שאנחנו מגיעים לעיקר שיטת חכמים מדוע אמא ולא אבא ובניגוד גמור ללשון המקרא.</w:t>
      </w:r>
    </w:p>
  </w:footnote>
  <w:footnote w:id="11">
    <w:p w:rsidR="00EA6BE0" w:rsidRDefault="00EA6BE0" w:rsidP="004C565C">
      <w:pPr>
        <w:pStyle w:val="a3"/>
        <w:rPr>
          <w:rFonts w:hint="cs"/>
          <w:rtl/>
        </w:rPr>
      </w:pPr>
      <w:r>
        <w:rPr>
          <w:rStyle w:val="a5"/>
        </w:rPr>
        <w:footnoteRef/>
      </w:r>
      <w:r>
        <w:rPr>
          <w:rtl/>
        </w:rPr>
        <w:t xml:space="preserve"> </w:t>
      </w:r>
      <w:r>
        <w:rPr>
          <w:rFonts w:hint="cs"/>
          <w:rtl/>
          <w:lang w:eastAsia="en-US"/>
        </w:rPr>
        <w:t>ראה המשך הדיון בגמרא שם: "</w:t>
      </w:r>
      <w:r>
        <w:rPr>
          <w:rtl/>
          <w:lang w:eastAsia="en-US"/>
        </w:rPr>
        <w:t>מה אם נפשך לומר? וכי תימא אותו - זכר משמע, הרי הוא אומר בנו - מי שבנו כרוך אחריו, יצא זכר שאין בנו כרוך אחריו</w:t>
      </w:r>
      <w:r>
        <w:rPr>
          <w:rFonts w:hint="cs"/>
          <w:rtl/>
          <w:lang w:eastAsia="en-US"/>
        </w:rPr>
        <w:t>"</w:t>
      </w:r>
      <w:r>
        <w:rPr>
          <w:rtl/>
          <w:lang w:eastAsia="en-US"/>
        </w:rPr>
        <w:t>.</w:t>
      </w:r>
      <w:r>
        <w:rPr>
          <w:rFonts w:hint="cs"/>
          <w:rtl/>
          <w:lang w:eastAsia="en-US"/>
        </w:rPr>
        <w:t xml:space="preserve"> לא רק את "אותו" משנים חכמים אלא גם את "בנו", את אותו שנפשו כרוכה אחרי האם. והרי "בנו" כתוב ולא "בנה"! שוב, זו כוחה של דרשת חכמים. ולהלכה נפסק כחכמים (ונגד שמואל שפוסק בגמרא כר' חנניה) כי הנושא קשור לדין אחר אם חוששים או לא חוששים (מתחשבים) לזרע האב (לדיני כלאיים בבהמות, ראה באריכות בגמרא שם). ונפסק להלכה: שאין חוששין לזרע האב ולפיכך גם הלכה כחכמים כאן, הגם שיש דעת מיעוט כשיטת חנניה ולפיכך ההלכה הסופית היא שנוהג איסור זה מספק גם בזכרים, כשידוע בוודאות מי אביו של אותה בהמה. ובכל מקרה, אין דין זה נוהג בחיות כי אם רק בבהמות כשרות.</w:t>
      </w:r>
      <w:r>
        <w:rPr>
          <w:rFonts w:hint="cs"/>
          <w:rtl/>
        </w:rPr>
        <w:t xml:space="preserve"> ראה דברי הרמב"ם במורה נבוכים חלק ג פרק מח: "ונעשה דין זה מיוחד בשור ושה כי הם אשר מותרת לנו אכילתם מן הביתיים שאכילתם רגילה על הרוב, והם אשר ידועים האם מן הבן".</w:t>
      </w:r>
    </w:p>
  </w:footnote>
  <w:footnote w:id="12">
    <w:p w:rsidR="00EA6BE0" w:rsidRDefault="00EA6BE0" w:rsidP="00610899">
      <w:pPr>
        <w:pStyle w:val="a3"/>
        <w:rPr>
          <w:rFonts w:hint="cs"/>
          <w:rtl/>
        </w:rPr>
      </w:pPr>
      <w:r>
        <w:rPr>
          <w:rStyle w:val="a5"/>
        </w:rPr>
        <w:footnoteRef/>
      </w:r>
      <w:r>
        <w:rPr>
          <w:rtl/>
        </w:rPr>
        <w:t xml:space="preserve"> </w:t>
      </w:r>
      <w:r>
        <w:rPr>
          <w:rFonts w:hint="cs"/>
          <w:rtl/>
          <w:lang w:eastAsia="en-US"/>
        </w:rPr>
        <w:t>וכן הוא ברס"ג וברש"י שרמב"ן מצטט. וראה גם פירוש א</w:t>
      </w:r>
      <w:r>
        <w:rPr>
          <w:rtl/>
          <w:lang w:eastAsia="en-US"/>
        </w:rPr>
        <w:t xml:space="preserve">ברבנאל </w:t>
      </w:r>
      <w:r>
        <w:rPr>
          <w:rFonts w:hint="cs"/>
          <w:rtl/>
          <w:lang w:eastAsia="en-US"/>
        </w:rPr>
        <w:t>ל</w:t>
      </w:r>
      <w:r>
        <w:rPr>
          <w:rtl/>
          <w:lang w:eastAsia="en-US"/>
        </w:rPr>
        <w:t>ויקרא פרק כא</w:t>
      </w:r>
      <w:r>
        <w:rPr>
          <w:rFonts w:hint="cs"/>
          <w:rtl/>
          <w:lang w:eastAsia="en-US"/>
        </w:rPr>
        <w:t>: "</w:t>
      </w:r>
      <w:r>
        <w:rPr>
          <w:rtl/>
          <w:lang w:eastAsia="en-US"/>
        </w:rPr>
        <w:t>ובא בקבלה האמתית שאין הבהמה נמשכת ונגררת רק אחר האם כי אין אנו מכירין את האב ובנו. וגם הבהמה תכיר את האם אשר ילדתו ולא תכיר את האב ולכן יהיה אמרו אותו ואת בנו הבן והאם</w:t>
      </w:r>
      <w:r>
        <w:rPr>
          <w:rFonts w:hint="cs"/>
          <w:rtl/>
          <w:lang w:eastAsia="en-US"/>
        </w:rPr>
        <w:t xml:space="preserve"> ... </w:t>
      </w:r>
      <w:r>
        <w:rPr>
          <w:rtl/>
          <w:lang w:eastAsia="en-US"/>
        </w:rPr>
        <w:t>האמנם אמר הכתוב אותו ואת בנו בלשון זכר</w:t>
      </w:r>
      <w:r>
        <w:rPr>
          <w:rFonts w:hint="cs"/>
          <w:rtl/>
          <w:lang w:eastAsia="en-US"/>
        </w:rPr>
        <w:t>,</w:t>
      </w:r>
      <w:r>
        <w:rPr>
          <w:rtl/>
          <w:lang w:eastAsia="en-US"/>
        </w:rPr>
        <w:t xml:space="preserve"> בערך השוחט שהוא אדם ורחמי האב על הבן ואין האשה שוחטת. וכא</w:t>
      </w:r>
      <w:r>
        <w:rPr>
          <w:rFonts w:hint="cs"/>
          <w:rtl/>
          <w:lang w:eastAsia="en-US"/>
        </w:rPr>
        <w:t>י</w:t>
      </w:r>
      <w:r>
        <w:rPr>
          <w:rtl/>
          <w:lang w:eastAsia="en-US"/>
        </w:rPr>
        <w:t>לו יעורר רחמי השוחט שלא ישחט האם והבן כי יהיה בעיניו אכזריות גדול כשוחט האדם את בנו אהובו</w:t>
      </w:r>
      <w:r>
        <w:rPr>
          <w:rFonts w:hint="cs"/>
          <w:rtl/>
          <w:lang w:eastAsia="en-US"/>
        </w:rPr>
        <w:t>"</w:t>
      </w:r>
      <w:r>
        <w:rPr>
          <w:rtl/>
          <w:lang w:eastAsia="en-US"/>
        </w:rPr>
        <w:t xml:space="preserve">. </w:t>
      </w:r>
      <w:r>
        <w:rPr>
          <w:rFonts w:hint="cs"/>
          <w:rtl/>
          <w:lang w:eastAsia="en-US"/>
        </w:rPr>
        <w:t xml:space="preserve">הרי לנו ניסיון קלאסי של מפרשי המקרא לגשר בין פשט הכתוב ובין הלכות חכמים, בין תורה שבכתב ותורה שבע"פ, בין דין התורה והמציאות הטבעית שלא רק שהבן כרוך יותר אחרי האם, אלא בד"כ אינו מכיר כלל את האב ואין לו כל זיקה אליו. (ומכאן אולי גם מקור לברכה ששמעתי בשם פרופ' </w:t>
      </w:r>
      <w:smartTag w:uri="urn:schemas-microsoft-com:office:smarttags" w:element="PersonName">
        <w:smartTagPr>
          <w:attr w:name="ProductID" w:val="ישעיהו לייבוביץ"/>
        </w:smartTagPr>
        <w:r>
          <w:rPr>
            <w:rFonts w:hint="cs"/>
            <w:rtl/>
            <w:lang w:eastAsia="en-US"/>
          </w:rPr>
          <w:t>ישעיהו לייבוביץ</w:t>
        </w:r>
      </w:smartTag>
      <w:r>
        <w:rPr>
          <w:rFonts w:hint="cs"/>
          <w:rtl/>
          <w:lang w:eastAsia="en-US"/>
        </w:rPr>
        <w:t xml:space="preserve"> לכל מי שנעשה סבא או סבתא, שקשר לדור שלישי היא תכונה מיוחדת למין האנושי). ולגבי פירוש אונקלוס הנזכר בדברי רמב"ן, ראה תרגומו לפסוק: "</w:t>
      </w:r>
      <w:r>
        <w:rPr>
          <w:rtl/>
          <w:lang w:eastAsia="en-US"/>
        </w:rPr>
        <w:t>ותורתא או סיתא לה ולברה לא תכסון ביומא חד</w:t>
      </w:r>
      <w:r>
        <w:rPr>
          <w:rFonts w:hint="cs"/>
          <w:rtl/>
          <w:lang w:eastAsia="en-US"/>
        </w:rPr>
        <w:t xml:space="preserve">". ואין אנו מכירים מקומות אחרים בהם מצוטט אונקלוס להלכה. האם ציטוט זה יכול ללמד משהו על מקומו ההיסטורי ו\או ההלכתי של תרגום אונקלוס? האם הוא כבר ידע את ההלכה ותרגם כפי שתרגם לאחר שכבר נקבעה ההלכה (ראה גמרא מגילה </w:t>
      </w:r>
      <w:r>
        <w:rPr>
          <w:rtl/>
          <w:lang w:eastAsia="en-US"/>
        </w:rPr>
        <w:t>ג ע</w:t>
      </w:r>
      <w:r>
        <w:rPr>
          <w:rFonts w:hint="cs"/>
          <w:rtl/>
          <w:lang w:eastAsia="en-US"/>
        </w:rPr>
        <w:t>"א: "</w:t>
      </w:r>
      <w:r>
        <w:rPr>
          <w:rtl/>
          <w:lang w:eastAsia="en-US"/>
        </w:rPr>
        <w:t>תרגום של תורה - אונקלוס הגר אמרו מפי רבי אליעזר ורבי יהושע</w:t>
      </w:r>
      <w:r>
        <w:rPr>
          <w:rFonts w:hint="cs"/>
          <w:rtl/>
          <w:lang w:eastAsia="en-US"/>
        </w:rPr>
        <w:t>" והוא מאוחר לתרגום יונתן בן עוזיאל לנביאים), או שמא התרגום משקף מסורת עתיקה לתורה שבע"פ שהשפיעה על קביעת ההלכה?</w:t>
      </w:r>
    </w:p>
  </w:footnote>
  <w:footnote w:id="13">
    <w:p w:rsidR="00EA6BE0" w:rsidRDefault="00EA6BE0">
      <w:pPr>
        <w:pStyle w:val="a3"/>
        <w:rPr>
          <w:rFonts w:hint="cs"/>
          <w:rtl/>
        </w:rPr>
      </w:pPr>
      <w:r>
        <w:rPr>
          <w:rStyle w:val="a5"/>
        </w:rPr>
        <w:footnoteRef/>
      </w:r>
      <w:r>
        <w:rPr>
          <w:rtl/>
        </w:rPr>
        <w:t xml:space="preserve"> </w:t>
      </w:r>
      <w:r>
        <w:rPr>
          <w:rFonts w:hint="cs"/>
          <w:rtl/>
        </w:rPr>
        <w:t>במסורת המקרא שבידינו "ויעש" הוא הכתיב בפסוק ו"ויעט" הוא הקרי. האם נוסח זה לא היה לפני רש"י שהוא אומר "כמו"?</w:t>
      </w:r>
    </w:p>
  </w:footnote>
  <w:footnote w:id="14">
    <w:p w:rsidR="00EA6BE0" w:rsidRDefault="00EA6BE0" w:rsidP="00B53E60">
      <w:pPr>
        <w:pStyle w:val="a3"/>
        <w:rPr>
          <w:rFonts w:hint="cs"/>
          <w:rtl/>
        </w:rPr>
      </w:pPr>
      <w:r>
        <w:rPr>
          <w:rStyle w:val="a5"/>
        </w:rPr>
        <w:footnoteRef/>
      </w:r>
      <w:r>
        <w:rPr>
          <w:rtl/>
        </w:rPr>
        <w:t xml:space="preserve"> </w:t>
      </w:r>
      <w:r>
        <w:rPr>
          <w:rFonts w:hint="cs"/>
          <w:rtl/>
          <w:lang w:eastAsia="en-US"/>
        </w:rPr>
        <w:t>מדובר במלחמת שאול ויונתן בפלשתים (המלחמה בה יונתן שלא שמע את שבועת אביו ואכל מיערת הדבש). לאחר הניצחון העם עט על השלל וקיים שחיטה גדולה וחגיגת ניצחון עליה נאמר "</w:t>
      </w:r>
      <w:r>
        <w:rPr>
          <w:rtl/>
          <w:lang w:eastAsia="en-US"/>
        </w:rPr>
        <w:t>וַיִּשְׁחֲטוּ אָרְצָה וַיֹּאכַל הָעָם עַל הַדָּם</w:t>
      </w:r>
      <w:r>
        <w:rPr>
          <w:rFonts w:hint="cs"/>
          <w:rtl/>
          <w:lang w:eastAsia="en-US"/>
        </w:rPr>
        <w:t>". שאול קורא להם לשחוט כסדר. לפי חז"ל (זבחים קנ א) הייתה כאן שחיטה שלא כסדר לפני הבמה המותרת. אבל רש"י מציע פירוש משלו שעברו שם על האיסור של אותו ואת בנו לא תשחטו ביום אחד. וזה היה חטאם. הכיצד? וכי ידעו בבירור מי הוא בן ומי הוא אב או אם בשלל שלקחו? האם שבו מהפלשתים עדרים של פרות ועגלים שברור היה שמדובר באב ואם עם עגליהם או טלאיהם? או שמא עצם החגיגה המופרזת, השחיטה ללא גבולות, ההשחתה הגדולה שהייתה שם, היא מעין "אותו ואת בנו". כי אולי זה מהות האיסור: שחיטה ותאוות בשר מופרזים הגובלים בהשחתת האדם וסביבתו? עכ"פ, פירוש רש"י זה הוא ללא ספק ייחודי ומעניין.</w:t>
      </w:r>
    </w:p>
  </w:footnote>
  <w:footnote w:id="15">
    <w:p w:rsidR="00EA6BE0" w:rsidRDefault="00EA6BE0" w:rsidP="000573A9">
      <w:pPr>
        <w:pStyle w:val="a3"/>
        <w:rPr>
          <w:rFonts w:hint="cs"/>
          <w:rtl/>
        </w:rPr>
      </w:pPr>
      <w:r>
        <w:rPr>
          <w:rStyle w:val="a5"/>
        </w:rPr>
        <w:footnoteRef/>
      </w:r>
      <w:r>
        <w:rPr>
          <w:rtl/>
        </w:rPr>
        <w:t xml:space="preserve"> </w:t>
      </w:r>
      <w:r>
        <w:rPr>
          <w:rFonts w:hint="cs"/>
          <w:rtl/>
        </w:rPr>
        <w:t xml:space="preserve">רמב"ן מחלק את כל המצוות שבספר דברים למצוות מתחדשות שנזכרות לראשונה בספר ומצוות מבוארות, שנזכרו כבר באחד מארבעת החומשים הקודמים וחוזרות ומבוארות ומוסברות שוב </w:t>
      </w:r>
      <w:hyperlink r:id="rId1" w:history="1">
        <w:r w:rsidRPr="00B53E60">
          <w:rPr>
            <w:rStyle w:val="Hyperlink"/>
            <w:rFonts w:hint="cs"/>
            <w:rtl/>
          </w:rPr>
          <w:t xml:space="preserve">בספר דברים הוא </w:t>
        </w:r>
        <w:r w:rsidRPr="00B53E60">
          <w:rPr>
            <w:rStyle w:val="Hyperlink"/>
            <w:rFonts w:hint="cs"/>
            <w:rtl/>
          </w:rPr>
          <w:t>מ</w:t>
        </w:r>
        <w:r w:rsidRPr="00B53E60">
          <w:rPr>
            <w:rStyle w:val="Hyperlink"/>
            <w:rFonts w:hint="cs"/>
            <w:rtl/>
          </w:rPr>
          <w:t>שנה תורה</w:t>
        </w:r>
      </w:hyperlink>
      <w:r>
        <w:rPr>
          <w:rFonts w:hint="cs"/>
          <w:rtl/>
        </w:rPr>
        <w:t>. ומצוות קן ציפור שאותה מפרש שם רמב"ן היא מצווה מבוארת שיסודה במצוות אותו ואת בנו שבפרשתנו.</w:t>
      </w:r>
      <w:r w:rsidR="000573A9">
        <w:rPr>
          <w:rFonts w:hint="cs"/>
          <w:rtl/>
        </w:rPr>
        <w:t xml:space="preserve"> ראה דברינו </w:t>
      </w:r>
      <w:hyperlink r:id="rId2" w:history="1">
        <w:r w:rsidR="000573A9" w:rsidRPr="000573A9">
          <w:rPr>
            <w:rStyle w:val="Hyperlink"/>
            <w:rFonts w:hint="cs"/>
            <w:rtl/>
          </w:rPr>
          <w:t>כי יקרא קן ציפור לפניך</w:t>
        </w:r>
      </w:hyperlink>
      <w:r w:rsidR="000573A9">
        <w:rPr>
          <w:rFonts w:hint="cs"/>
          <w:rtl/>
        </w:rPr>
        <w:t xml:space="preserve"> בפרשת כי תצא.</w:t>
      </w:r>
    </w:p>
  </w:footnote>
  <w:footnote w:id="16">
    <w:p w:rsidR="00EA6BE0" w:rsidRDefault="00EA6BE0" w:rsidP="00B53E60">
      <w:pPr>
        <w:pStyle w:val="a3"/>
        <w:rPr>
          <w:rFonts w:hint="cs"/>
          <w:rtl/>
        </w:rPr>
      </w:pPr>
      <w:r>
        <w:rPr>
          <w:rStyle w:val="a5"/>
        </w:rPr>
        <w:footnoteRef/>
      </w:r>
      <w:r>
        <w:rPr>
          <w:rtl/>
        </w:rPr>
        <w:t xml:space="preserve"> </w:t>
      </w:r>
      <w:r>
        <w:rPr>
          <w:rFonts w:hint="cs"/>
          <w:rtl/>
          <w:lang w:eastAsia="en-US"/>
        </w:rPr>
        <w:t xml:space="preserve">כבר דנו ברמב"ן וברמב"ם אלה ובשאר המפרשים הדורשים את טעמי המצוות לכאורה נגד הגמרא הידועה ממסכת ברכות </w:t>
      </w:r>
      <w:r>
        <w:rPr>
          <w:rtl/>
        </w:rPr>
        <w:t>לג ע</w:t>
      </w:r>
      <w:r>
        <w:rPr>
          <w:rFonts w:hint="cs"/>
          <w:rtl/>
        </w:rPr>
        <w:t>"ב: "</w:t>
      </w:r>
      <w:r>
        <w:rPr>
          <w:rtl/>
        </w:rPr>
        <w:t>האומר על קן צפור יגיעו רחמיך .... משתקין אותו</w:t>
      </w:r>
      <w:r>
        <w:rPr>
          <w:rFonts w:hint="cs"/>
          <w:rtl/>
        </w:rPr>
        <w:t xml:space="preserve"> ... </w:t>
      </w:r>
      <w:r>
        <w:rPr>
          <w:rtl/>
        </w:rPr>
        <w:t>מפני שעושה מידותיו של הק</w:t>
      </w:r>
      <w:r>
        <w:rPr>
          <w:rFonts w:hint="cs"/>
          <w:rtl/>
        </w:rPr>
        <w:t xml:space="preserve">ב"ה </w:t>
      </w:r>
      <w:r>
        <w:rPr>
          <w:rtl/>
        </w:rPr>
        <w:t>רחמים, ואינן אלא גזרות</w:t>
      </w:r>
      <w:r>
        <w:rPr>
          <w:rFonts w:hint="cs"/>
          <w:rtl/>
        </w:rPr>
        <w:t xml:space="preserve">". ראה דברינו </w:t>
      </w:r>
      <w:hyperlink r:id="rId3" w:history="1">
        <w:r w:rsidRPr="002F6DDC">
          <w:rPr>
            <w:rStyle w:val="Hyperlink"/>
            <w:rFonts w:hint="cs"/>
            <w:rtl/>
          </w:rPr>
          <w:t>על מידות, גזירות וטעמי המצוות</w:t>
        </w:r>
      </w:hyperlink>
      <w:r>
        <w:rPr>
          <w:rFonts w:hint="cs"/>
          <w:rtl/>
        </w:rPr>
        <w:t xml:space="preserve"> בפרשת כי תצא. שם </w:t>
      </w:r>
      <w:r>
        <w:rPr>
          <w:rFonts w:hint="cs"/>
          <w:rtl/>
          <w:lang w:eastAsia="en-US"/>
        </w:rPr>
        <w:t>הבאנו סמך לדברי רמב"ן ורמב"ם ממדרש ויקרא רבה כג יא וכן דברים רבה ו א והראנו שהדעות שיש כאן לימוד של מוסר וגילוי רחמים גם כלפי ב</w:t>
      </w:r>
      <w:smartTag w:uri="urn:schemas-microsoft-com:office:smarttags" w:element="PersonName">
        <w:smartTagPr>
          <w:attr w:name="ProductID" w:val="עלי חיים"/>
        </w:smartTagPr>
        <w:r>
          <w:rPr>
            <w:rFonts w:hint="cs"/>
            <w:rtl/>
            <w:lang w:eastAsia="en-US"/>
          </w:rPr>
          <w:t>עלי חיים</w:t>
        </w:r>
      </w:smartTag>
      <w:r>
        <w:rPr>
          <w:rFonts w:hint="cs"/>
          <w:rtl/>
          <w:lang w:eastAsia="en-US"/>
        </w:rPr>
        <w:t xml:space="preserve"> והימנעות ממידת האכזריות, יש להן על מה לסמוך. וראה עוד פירוש אבן עזרא לשמות כא יט על איסור לא תבשל גדי בחלב אמו שמצרף איסור זה לשילוח הקן ולאותו ואת בנו לעניין אחד: "... </w:t>
      </w:r>
      <w:r>
        <w:rPr>
          <w:rtl/>
          <w:lang w:eastAsia="en-US"/>
        </w:rPr>
        <w:t>כי אכזריות לב הוא לבשל הגדי עם חלב אמו, כדרך ושור או שה אותו ואת בנו לא תשחטו (ויקרא כב, כח). גם לא תקח האם על הבנים (דבר</w:t>
      </w:r>
      <w:r>
        <w:rPr>
          <w:rFonts w:hint="cs"/>
          <w:rtl/>
          <w:lang w:eastAsia="en-US"/>
        </w:rPr>
        <w:t>ים</w:t>
      </w:r>
      <w:r>
        <w:rPr>
          <w:rtl/>
          <w:lang w:eastAsia="en-US"/>
        </w:rPr>
        <w:t xml:space="preserve"> כב, ו)</w:t>
      </w:r>
      <w:r>
        <w:rPr>
          <w:rFonts w:hint="cs"/>
          <w:rtl/>
          <w:lang w:eastAsia="en-US"/>
        </w:rPr>
        <w:t>"</w:t>
      </w:r>
      <w:r>
        <w:rPr>
          <w:rtl/>
          <w:lang w:eastAsia="en-US"/>
        </w:rPr>
        <w:t xml:space="preserve">. </w:t>
      </w:r>
      <w:r>
        <w:rPr>
          <w:rFonts w:hint="cs"/>
          <w:rtl/>
        </w:rPr>
        <w:t>ואיסור בשר בחלב הכללי נובע מכך שאי אפשר לדעת של מי הוא החלב והבשר שקונים בשוק ...</w:t>
      </w:r>
    </w:p>
  </w:footnote>
  <w:footnote w:id="17">
    <w:p w:rsidR="00EA6BE0" w:rsidRDefault="00EA6BE0" w:rsidP="00B80025">
      <w:pPr>
        <w:pStyle w:val="a3"/>
        <w:rPr>
          <w:rFonts w:hint="cs"/>
        </w:rPr>
      </w:pPr>
      <w:r>
        <w:rPr>
          <w:rStyle w:val="a5"/>
        </w:rPr>
        <w:footnoteRef/>
      </w:r>
      <w:r>
        <w:rPr>
          <w:rtl/>
        </w:rPr>
        <w:t xml:space="preserve"> </w:t>
      </w:r>
      <w:r>
        <w:rPr>
          <w:rFonts w:hint="cs"/>
          <w:rtl/>
        </w:rPr>
        <w:t>אפשר גם להוסיף: ואם יימ</w:t>
      </w:r>
      <w:r>
        <w:rPr>
          <w:rFonts w:hint="eastAsia"/>
          <w:rtl/>
        </w:rPr>
        <w:t>ָ</w:t>
      </w:r>
      <w:r>
        <w:rPr>
          <w:rFonts w:hint="cs"/>
          <w:rtl/>
        </w:rPr>
        <w:t>צ</w:t>
      </w:r>
      <w:r>
        <w:rPr>
          <w:rFonts w:hint="eastAsia"/>
          <w:rtl/>
        </w:rPr>
        <w:t>ֵ</w:t>
      </w:r>
      <w:r>
        <w:rPr>
          <w:rFonts w:hint="cs"/>
          <w:rtl/>
        </w:rPr>
        <w:t>א מי שיקרא בו, מה ימ</w:t>
      </w:r>
      <w:r>
        <w:rPr>
          <w:rFonts w:hint="eastAsia"/>
          <w:rtl/>
        </w:rPr>
        <w:t>ְ</w:t>
      </w:r>
      <w:r>
        <w:rPr>
          <w:rFonts w:hint="cs"/>
          <w:rtl/>
        </w:rPr>
        <w:t>צ</w:t>
      </w:r>
      <w:r>
        <w:rPr>
          <w:rFonts w:hint="eastAsia"/>
          <w:rtl/>
        </w:rPr>
        <w:t>ָ</w:t>
      </w:r>
      <w:r>
        <w:rPr>
          <w:rFonts w:hint="cs"/>
          <w:rtl/>
        </w:rPr>
        <w:t>א כתוב בו? "אותו ואת בנו לא תשחטו ביום אחד" והנה אמהות ובנים חו"ח יישחטו ביום אחד ע"י עשו. יעקב אכן ניצל וכן גם אסתר ומרדכי שנראה להלן, אבל רבים אחרים לא נצלו, אבות ובנים.</w:t>
      </w:r>
    </w:p>
  </w:footnote>
  <w:footnote w:id="18">
    <w:p w:rsidR="00EA6BE0" w:rsidRDefault="00EA6BE0" w:rsidP="00C24C63">
      <w:pPr>
        <w:pStyle w:val="a3"/>
        <w:rPr>
          <w:rFonts w:hint="cs"/>
        </w:rPr>
      </w:pPr>
      <w:r>
        <w:rPr>
          <w:rStyle w:val="a5"/>
        </w:rPr>
        <w:footnoteRef/>
      </w:r>
      <w:r>
        <w:rPr>
          <w:rtl/>
        </w:rPr>
        <w:t xml:space="preserve"> </w:t>
      </w:r>
      <w:r>
        <w:rPr>
          <w:rFonts w:hint="cs"/>
          <w:rtl/>
          <w:lang w:eastAsia="en-US"/>
        </w:rPr>
        <w:t xml:space="preserve">ובהמשך </w:t>
      </w:r>
      <w:r>
        <w:rPr>
          <w:rtl/>
          <w:lang w:eastAsia="en-US"/>
        </w:rPr>
        <w:t xml:space="preserve">בראשית רבה </w:t>
      </w:r>
      <w:r>
        <w:rPr>
          <w:rFonts w:hint="cs"/>
          <w:rtl/>
          <w:lang w:eastAsia="en-US"/>
        </w:rPr>
        <w:t>שם בפרשה עו ו מצטרפת גם מצוות שילוח הקן: "</w:t>
      </w:r>
      <w:r>
        <w:rPr>
          <w:rtl/>
          <w:lang w:eastAsia="en-US"/>
        </w:rPr>
        <w:t>פן יבא והכני אם על בנים</w:t>
      </w:r>
      <w:r>
        <w:rPr>
          <w:rFonts w:hint="cs"/>
          <w:rtl/>
          <w:lang w:eastAsia="en-US"/>
        </w:rPr>
        <w:t xml:space="preserve"> -</w:t>
      </w:r>
      <w:r>
        <w:rPr>
          <w:rtl/>
          <w:lang w:eastAsia="en-US"/>
        </w:rPr>
        <w:t xml:space="preserve"> ואתה אמרת (דברים כב) לא תקח האם על הבנים</w:t>
      </w:r>
      <w:r>
        <w:rPr>
          <w:rFonts w:hint="cs"/>
          <w:rtl/>
          <w:lang w:eastAsia="en-US"/>
        </w:rPr>
        <w:t>.</w:t>
      </w:r>
      <w:r>
        <w:rPr>
          <w:rtl/>
          <w:lang w:eastAsia="en-US"/>
        </w:rPr>
        <w:t xml:space="preserve"> ד</w:t>
      </w:r>
      <w:r>
        <w:rPr>
          <w:rFonts w:hint="cs"/>
          <w:rtl/>
          <w:lang w:eastAsia="en-US"/>
        </w:rPr>
        <w:t xml:space="preserve">בר אחר: </w:t>
      </w:r>
      <w:r>
        <w:rPr>
          <w:rtl/>
          <w:lang w:eastAsia="en-US"/>
        </w:rPr>
        <w:t>פן יבא והכני אם על בנים, ואתה אמרת (ויקרא כב) ושור ושה אותו ואת בנו לא תשחטו ביום אחד</w:t>
      </w:r>
      <w:r>
        <w:rPr>
          <w:rFonts w:hint="cs"/>
          <w:rtl/>
          <w:lang w:eastAsia="en-US"/>
        </w:rPr>
        <w:t>"</w:t>
      </w:r>
      <w:r>
        <w:rPr>
          <w:rtl/>
          <w:lang w:eastAsia="en-US"/>
        </w:rPr>
        <w:t>.</w:t>
      </w:r>
      <w:r>
        <w:rPr>
          <w:rFonts w:hint="cs"/>
          <w:rtl/>
          <w:lang w:eastAsia="en-US"/>
        </w:rPr>
        <w:t xml:space="preserve"> ובמדרש </w:t>
      </w:r>
      <w:r>
        <w:rPr>
          <w:rtl/>
          <w:lang w:eastAsia="en-US"/>
        </w:rPr>
        <w:t>שכל טוב (בובר) בראשית פרק לב</w:t>
      </w:r>
      <w:r>
        <w:rPr>
          <w:rFonts w:hint="cs"/>
          <w:rtl/>
          <w:lang w:eastAsia="en-US"/>
        </w:rPr>
        <w:t>: "</w:t>
      </w:r>
      <w:r>
        <w:rPr>
          <w:rtl/>
          <w:lang w:eastAsia="en-US"/>
        </w:rPr>
        <w:t>והכני אם על בנים. כלומר אותי ואת נשי ואת בני ואתה מרחם את בריותיך</w:t>
      </w:r>
      <w:r>
        <w:rPr>
          <w:rFonts w:hint="cs"/>
          <w:rtl/>
          <w:lang w:eastAsia="en-US"/>
        </w:rPr>
        <w:t>.</w:t>
      </w:r>
      <w:r>
        <w:rPr>
          <w:rtl/>
          <w:lang w:eastAsia="en-US"/>
        </w:rPr>
        <w:t xml:space="preserve"> עתידים בני לה</w:t>
      </w:r>
      <w:r>
        <w:rPr>
          <w:rFonts w:hint="cs"/>
          <w:rtl/>
          <w:lang w:eastAsia="en-US"/>
        </w:rPr>
        <w:t>י</w:t>
      </w:r>
      <w:r>
        <w:rPr>
          <w:rtl/>
          <w:lang w:eastAsia="en-US"/>
        </w:rPr>
        <w:t>זהר על לא תקח האם על הבנים (דברים כב ו), ועל אותו ואת בנו לא תשחטו ביום אחד (ויקרא כב כח)</w:t>
      </w:r>
      <w:r>
        <w:rPr>
          <w:rFonts w:hint="cs"/>
          <w:rtl/>
          <w:lang w:eastAsia="en-US"/>
        </w:rPr>
        <w:t>".</w:t>
      </w:r>
      <w:r>
        <w:rPr>
          <w:rFonts w:hint="cs"/>
          <w:rtl/>
        </w:rPr>
        <w:t xml:space="preserve"> וב</w:t>
      </w:r>
      <w:r>
        <w:rPr>
          <w:rtl/>
        </w:rPr>
        <w:t>פסיקתא זוטרתא (לקח טוב) בראשית פרק לב</w:t>
      </w:r>
      <w:r>
        <w:rPr>
          <w:rFonts w:hint="cs"/>
          <w:rtl/>
        </w:rPr>
        <w:t>, הוא כבר מרמז על עשו לדורות, עשו של אדום ורומי: "</w:t>
      </w:r>
      <w:r>
        <w:rPr>
          <w:rtl/>
        </w:rPr>
        <w:t>הצילני נא מיד אחי מיד עשו. מיד אחי עכשיו, מידי עשו את בני בגליות: פן יבא והכני אם על בנים. ואתה חסת על העופות, ואמרת לא תקח האם על הבנים (דברים כב ו), וכמו כן על הבהמות, שאמרת אותו ואת בנו לא תשחטו ביום אחד (ויקרא כב כח), ואיך לא תחוס עלי שהבטחתני ואמרת לי</w:t>
      </w:r>
      <w:r>
        <w:rPr>
          <w:rFonts w:hint="cs"/>
          <w:rtl/>
        </w:rPr>
        <w:t>".</w:t>
      </w:r>
    </w:p>
  </w:footnote>
  <w:footnote w:id="19">
    <w:p w:rsidR="00EA6BE0" w:rsidRDefault="00EA6BE0" w:rsidP="00B80025">
      <w:pPr>
        <w:pStyle w:val="a3"/>
        <w:rPr>
          <w:rFonts w:hint="cs"/>
        </w:rPr>
      </w:pPr>
      <w:r>
        <w:rPr>
          <w:rStyle w:val="a5"/>
        </w:rPr>
        <w:footnoteRef/>
      </w:r>
      <w:r>
        <w:rPr>
          <w:rtl/>
        </w:rPr>
        <w:t xml:space="preserve"> </w:t>
      </w:r>
      <w:r>
        <w:rPr>
          <w:rFonts w:hint="cs"/>
          <w:rtl/>
          <w:lang w:eastAsia="en-US"/>
        </w:rPr>
        <w:t xml:space="preserve">וראה </w:t>
      </w:r>
      <w:r>
        <w:rPr>
          <w:rtl/>
          <w:lang w:eastAsia="en-US"/>
        </w:rPr>
        <w:t>מדרש תהלים (בובר) מזמור קיט</w:t>
      </w:r>
      <w:r>
        <w:rPr>
          <w:rFonts w:hint="cs"/>
          <w:rtl/>
          <w:lang w:eastAsia="en-US"/>
        </w:rPr>
        <w:t>: "</w:t>
      </w:r>
      <w:r>
        <w:rPr>
          <w:rtl/>
          <w:lang w:eastAsia="en-US"/>
        </w:rPr>
        <w:t>כרו לי זדים שיחות. כך אמרו ישראל אל הקב</w:t>
      </w:r>
      <w:r>
        <w:rPr>
          <w:rFonts w:hint="cs"/>
          <w:rtl/>
          <w:lang w:eastAsia="en-US"/>
        </w:rPr>
        <w:t>"</w:t>
      </w:r>
      <w:r>
        <w:rPr>
          <w:rtl/>
          <w:lang w:eastAsia="en-US"/>
        </w:rPr>
        <w:t>ה</w:t>
      </w:r>
      <w:r>
        <w:rPr>
          <w:rFonts w:hint="cs"/>
          <w:rtl/>
          <w:lang w:eastAsia="en-US"/>
        </w:rPr>
        <w:t xml:space="preserve">: </w:t>
      </w:r>
      <w:r>
        <w:rPr>
          <w:rtl/>
          <w:lang w:eastAsia="en-US"/>
        </w:rPr>
        <w:t>לא שיחה אחת כרו לי הרשעים אלא שיחות הרבה, כתבת בתורה אותו ואת בנו לא תשחטו ביום אחד (ויקרא כב כח), ועלי כתיב אם על בנים רטשה (הושע י יד), כתבת בתורה ושפך את דמו וכסהו בעפר (ויקרא יז יג), ועלי כתיב שפכו דמם כמים וגו' (תהלים עט ג)</w:t>
      </w:r>
      <w:r>
        <w:rPr>
          <w:rFonts w:hint="cs"/>
          <w:rtl/>
          <w:lang w:eastAsia="en-US"/>
        </w:rPr>
        <w:t xml:space="preserve">". הטענה מתחילה כלפי האומות, אבל מתגלגלת כלפי שמיא. ראה </w:t>
      </w:r>
      <w:r>
        <w:rPr>
          <w:rtl/>
          <w:lang w:eastAsia="en-US"/>
        </w:rPr>
        <w:t>מדרש תהלים (בובר) מזמור כב</w:t>
      </w:r>
      <w:r>
        <w:rPr>
          <w:rFonts w:hint="cs"/>
          <w:rtl/>
          <w:lang w:eastAsia="en-US"/>
        </w:rPr>
        <w:t xml:space="preserve"> (על בסיס איכה רבה א ג וכן הוא בילק"ש תהלים רמז תתעז): "</w:t>
      </w:r>
      <w:r>
        <w:rPr>
          <w:rtl/>
          <w:lang w:eastAsia="en-US"/>
        </w:rPr>
        <w:t>כתיב להכרית עולל מחוץ (ירמיה ט כ)</w:t>
      </w:r>
      <w:r>
        <w:rPr>
          <w:rFonts w:hint="cs"/>
          <w:rtl/>
          <w:lang w:eastAsia="en-US"/>
        </w:rPr>
        <w:t xml:space="preserve"> -</w:t>
      </w:r>
      <w:r>
        <w:rPr>
          <w:rtl/>
          <w:lang w:eastAsia="en-US"/>
        </w:rPr>
        <w:t xml:space="preserve"> ולא מבתי כנסיות. בחורים מרחובות (שם)</w:t>
      </w:r>
      <w:r>
        <w:rPr>
          <w:rFonts w:hint="cs"/>
          <w:rtl/>
          <w:lang w:eastAsia="en-US"/>
        </w:rPr>
        <w:t xml:space="preserve"> -</w:t>
      </w:r>
      <w:r>
        <w:rPr>
          <w:rtl/>
          <w:lang w:eastAsia="en-US"/>
        </w:rPr>
        <w:t xml:space="preserve"> ולא מבתי מדרשות</w:t>
      </w:r>
      <w:r>
        <w:rPr>
          <w:rFonts w:hint="cs"/>
          <w:rtl/>
          <w:lang w:eastAsia="en-US"/>
        </w:rPr>
        <w:t>.</w:t>
      </w:r>
      <w:r>
        <w:rPr>
          <w:rtl/>
          <w:lang w:eastAsia="en-US"/>
        </w:rPr>
        <w:t xml:space="preserve"> ובירושלים כתיב</w:t>
      </w:r>
      <w:r>
        <w:rPr>
          <w:rFonts w:hint="cs"/>
          <w:rtl/>
          <w:lang w:eastAsia="en-US"/>
        </w:rPr>
        <w:t>:</w:t>
      </w:r>
      <w:r>
        <w:rPr>
          <w:rtl/>
          <w:lang w:eastAsia="en-US"/>
        </w:rPr>
        <w:t xml:space="preserve"> ויהר</w:t>
      </w:r>
      <w:r>
        <w:rPr>
          <w:rFonts w:hint="cs"/>
          <w:rtl/>
          <w:lang w:eastAsia="en-US"/>
        </w:rPr>
        <w:t>ו</w:t>
      </w:r>
      <w:r>
        <w:rPr>
          <w:rtl/>
          <w:lang w:eastAsia="en-US"/>
        </w:rPr>
        <w:t>ג בחוריהם בחרב בבית מקדשם (דברי הימים ב לו יז)</w:t>
      </w:r>
      <w:r>
        <w:rPr>
          <w:rFonts w:hint="cs"/>
          <w:rtl/>
          <w:lang w:eastAsia="en-US"/>
        </w:rPr>
        <w:t>.</w:t>
      </w:r>
      <w:r>
        <w:rPr>
          <w:rtl/>
          <w:lang w:eastAsia="en-US"/>
        </w:rPr>
        <w:t xml:space="preserve"> כתיב</w:t>
      </w:r>
      <w:r>
        <w:rPr>
          <w:rFonts w:hint="cs"/>
          <w:rtl/>
          <w:lang w:eastAsia="en-US"/>
        </w:rPr>
        <w:t>:</w:t>
      </w:r>
      <w:r>
        <w:rPr>
          <w:rtl/>
          <w:lang w:eastAsia="en-US"/>
        </w:rPr>
        <w:t xml:space="preserve"> לא תקח האם על הבנים (דברים כב ו), ובירושלים כתיב</w:t>
      </w:r>
      <w:r>
        <w:rPr>
          <w:rFonts w:hint="cs"/>
          <w:rtl/>
          <w:lang w:eastAsia="en-US"/>
        </w:rPr>
        <w:t>:</w:t>
      </w:r>
      <w:r>
        <w:rPr>
          <w:rtl/>
          <w:lang w:eastAsia="en-US"/>
        </w:rPr>
        <w:t xml:space="preserve"> אם על בנים רוטשה (הושע י יד)</w:t>
      </w:r>
      <w:r>
        <w:rPr>
          <w:rFonts w:hint="cs"/>
          <w:rtl/>
          <w:lang w:eastAsia="en-US"/>
        </w:rPr>
        <w:t>.</w:t>
      </w:r>
      <w:r>
        <w:rPr>
          <w:rtl/>
          <w:lang w:eastAsia="en-US"/>
        </w:rPr>
        <w:t xml:space="preserve"> אמר ר' יהודה ב"ר סימון</w:t>
      </w:r>
      <w:r>
        <w:rPr>
          <w:rFonts w:hint="cs"/>
          <w:rtl/>
          <w:lang w:eastAsia="en-US"/>
        </w:rPr>
        <w:t>:</w:t>
      </w:r>
      <w:r>
        <w:rPr>
          <w:rtl/>
          <w:lang w:eastAsia="en-US"/>
        </w:rPr>
        <w:t xml:space="preserve"> כתיב</w:t>
      </w:r>
      <w:r>
        <w:rPr>
          <w:rFonts w:hint="cs"/>
          <w:rtl/>
          <w:lang w:eastAsia="en-US"/>
        </w:rPr>
        <w:t>:</w:t>
      </w:r>
      <w:r>
        <w:rPr>
          <w:rtl/>
          <w:lang w:eastAsia="en-US"/>
        </w:rPr>
        <w:t xml:space="preserve"> אותו ואת בנו לא תשחטו ביום אחד (ויקרא כב כח), ובשושן הבירה כתיב להשמיד להרוג ולאבד את כל היהודים (אסתר ג יג)</w:t>
      </w:r>
      <w:r>
        <w:rPr>
          <w:rFonts w:hint="cs"/>
          <w:rtl/>
          <w:lang w:eastAsia="en-US"/>
        </w:rPr>
        <w:t>.</w:t>
      </w:r>
      <w:r>
        <w:rPr>
          <w:rtl/>
          <w:lang w:eastAsia="en-US"/>
        </w:rPr>
        <w:t xml:space="preserve"> כתיב</w:t>
      </w:r>
      <w:r>
        <w:rPr>
          <w:rFonts w:hint="cs"/>
          <w:rtl/>
          <w:lang w:eastAsia="en-US"/>
        </w:rPr>
        <w:t>:</w:t>
      </w:r>
      <w:r>
        <w:rPr>
          <w:rtl/>
          <w:lang w:eastAsia="en-US"/>
        </w:rPr>
        <w:t xml:space="preserve"> אשר יצוד ציד חיה או עוף [וגו'] וכסהו בעפר (ויקרא יז יג), ובירושלים כתיב</w:t>
      </w:r>
      <w:r>
        <w:rPr>
          <w:rFonts w:hint="cs"/>
          <w:rtl/>
          <w:lang w:eastAsia="en-US"/>
        </w:rPr>
        <w:t>:</w:t>
      </w:r>
      <w:r>
        <w:rPr>
          <w:rtl/>
          <w:lang w:eastAsia="en-US"/>
        </w:rPr>
        <w:t xml:space="preserve"> שפכו דמם כמים סביבות ירושלים ואין קובר (תהלים עט ג)</w:t>
      </w:r>
      <w:r>
        <w:rPr>
          <w:rFonts w:hint="cs"/>
          <w:rtl/>
          <w:lang w:eastAsia="en-US"/>
        </w:rPr>
        <w:t>.</w:t>
      </w:r>
      <w:r>
        <w:rPr>
          <w:rtl/>
          <w:lang w:eastAsia="en-US"/>
        </w:rPr>
        <w:t xml:space="preserve"> אמר ר' ברכיה</w:t>
      </w:r>
      <w:r>
        <w:rPr>
          <w:rFonts w:hint="cs"/>
          <w:rtl/>
          <w:lang w:eastAsia="en-US"/>
        </w:rPr>
        <w:t>:</w:t>
      </w:r>
      <w:r>
        <w:rPr>
          <w:rtl/>
          <w:lang w:eastAsia="en-US"/>
        </w:rPr>
        <w:t xml:space="preserve"> אמרה כנסת ישראל לפני הק</w:t>
      </w:r>
      <w:r>
        <w:rPr>
          <w:rFonts w:hint="cs"/>
          <w:rtl/>
          <w:lang w:eastAsia="en-US"/>
        </w:rPr>
        <w:t xml:space="preserve">ב"ה: </w:t>
      </w:r>
      <w:r>
        <w:rPr>
          <w:rtl/>
          <w:lang w:eastAsia="en-US"/>
        </w:rPr>
        <w:t>ר</w:t>
      </w:r>
      <w:r>
        <w:rPr>
          <w:rFonts w:hint="cs"/>
          <w:rtl/>
          <w:lang w:eastAsia="en-US"/>
        </w:rPr>
        <w:t>י</w:t>
      </w:r>
      <w:r>
        <w:rPr>
          <w:rtl/>
          <w:lang w:eastAsia="en-US"/>
        </w:rPr>
        <w:t>בונו של עולם לחמורים נתת קבורה, ולחסידיך לא נתת קבורה</w:t>
      </w:r>
      <w:r>
        <w:rPr>
          <w:rFonts w:hint="cs"/>
          <w:rtl/>
          <w:lang w:eastAsia="en-US"/>
        </w:rPr>
        <w:t>". חמורים שם הם המצרים שלפי האגדה לא הים ולא היבשה רצו לקבלם לקבורה ובסוף כפה הקב"ה על היבשה לקבלם לקבורה.</w:t>
      </w:r>
    </w:p>
  </w:footnote>
  <w:footnote w:id="20">
    <w:p w:rsidR="00EA6BE0" w:rsidRDefault="00EA6BE0" w:rsidP="00166776">
      <w:pPr>
        <w:pStyle w:val="a3"/>
        <w:rPr>
          <w:rFonts w:hint="cs"/>
          <w:rtl/>
        </w:rPr>
      </w:pPr>
      <w:r>
        <w:rPr>
          <w:rStyle w:val="a5"/>
        </w:rPr>
        <w:footnoteRef/>
      </w:r>
      <w:r>
        <w:rPr>
          <w:rtl/>
        </w:rPr>
        <w:t xml:space="preserve"> </w:t>
      </w:r>
      <w:r>
        <w:rPr>
          <w:rFonts w:hint="cs"/>
          <w:rtl/>
        </w:rPr>
        <w:t>המקור הוא בארמית ואנו הרשינו לעצמנו לתרגם לעברית בעזרת מדרש רבה המבואר.</w:t>
      </w:r>
    </w:p>
  </w:footnote>
  <w:footnote w:id="21">
    <w:p w:rsidR="00EA6BE0" w:rsidRDefault="00EA6BE0" w:rsidP="00EF2046">
      <w:pPr>
        <w:pStyle w:val="a3"/>
        <w:rPr>
          <w:rFonts w:hint="cs"/>
          <w:rtl/>
        </w:rPr>
      </w:pPr>
      <w:r>
        <w:rPr>
          <w:rStyle w:val="a5"/>
        </w:rPr>
        <w:footnoteRef/>
      </w:r>
      <w:r>
        <w:rPr>
          <w:rtl/>
        </w:rPr>
        <w:t xml:space="preserve"> </w:t>
      </w:r>
      <w:r>
        <w:rPr>
          <w:rFonts w:hint="cs"/>
          <w:rtl/>
          <w:lang w:eastAsia="en-US"/>
        </w:rPr>
        <w:t xml:space="preserve">כאן הטענה היא כבר לא מול האומות, כאן גם לא הייתה בסוף שום הצלה ושום נחמה פורתא, כמו בפורים. כאן הטענה היא כולה כלפי שמיא והטוען הוא משה, שעל ידו נתנה התורה! זאת ועוד, הוא מתאר שחיטת הבן לפני האם והאב גם יחד, מכה אשר לא כתובה בתורה (דברים כח סא). ואולי יש כאן גם רמז ו"עקיצה" לדיון ההלכתי לעיל אם האיסור הוא באב או באם. הנה בפועל ואצל בני אדם שקבלו את התורה הוא בשניהם גם יחד! אך נראה שהקשה מכולם הוא התיאור של מרים </w:t>
      </w:r>
      <w:r>
        <w:rPr>
          <w:rtl/>
          <w:lang w:eastAsia="en-US"/>
        </w:rPr>
        <w:t xml:space="preserve">בת נחתום </w:t>
      </w:r>
      <w:r>
        <w:rPr>
          <w:rFonts w:hint="cs"/>
          <w:rtl/>
          <w:lang w:eastAsia="en-US"/>
        </w:rPr>
        <w:t>ושבעת בניה (</w:t>
      </w:r>
      <w:r>
        <w:rPr>
          <w:rtl/>
          <w:lang w:eastAsia="en-US"/>
        </w:rPr>
        <w:t xml:space="preserve">איכה רבה א </w:t>
      </w:r>
      <w:r>
        <w:rPr>
          <w:rFonts w:hint="cs"/>
          <w:rtl/>
          <w:lang w:eastAsia="en-US"/>
        </w:rPr>
        <w:t xml:space="preserve">נ), בפרט מות הבן השביעי הקטן: "... </w:t>
      </w:r>
      <w:r>
        <w:rPr>
          <w:rtl/>
          <w:lang w:eastAsia="en-US"/>
        </w:rPr>
        <w:t>הוציא השביעי והוא היה קטן שבכולן אמר</w:t>
      </w:r>
      <w:r>
        <w:rPr>
          <w:rFonts w:hint="cs"/>
          <w:rtl/>
          <w:lang w:eastAsia="en-US"/>
        </w:rPr>
        <w:t>:</w:t>
      </w:r>
      <w:r>
        <w:rPr>
          <w:rtl/>
          <w:lang w:eastAsia="en-US"/>
        </w:rPr>
        <w:t xml:space="preserve"> בני השתחוה לצלם, אמר לו</w:t>
      </w:r>
      <w:r>
        <w:rPr>
          <w:rFonts w:hint="cs"/>
          <w:rtl/>
          <w:lang w:eastAsia="en-US"/>
        </w:rPr>
        <w:t>: חס וחלילה ...</w:t>
      </w:r>
      <w:r>
        <w:rPr>
          <w:rtl/>
          <w:lang w:eastAsia="en-US"/>
        </w:rPr>
        <w:t xml:space="preserve"> </w:t>
      </w:r>
      <w:r>
        <w:rPr>
          <w:rFonts w:hint="cs"/>
          <w:rtl/>
          <w:lang w:eastAsia="en-US"/>
        </w:rPr>
        <w:t>...</w:t>
      </w:r>
      <w:r>
        <w:rPr>
          <w:rtl/>
          <w:lang w:eastAsia="en-US"/>
        </w:rPr>
        <w:t xml:space="preserve"> מיד גזר עליו להורגו</w:t>
      </w:r>
      <w:r>
        <w:rPr>
          <w:rFonts w:hint="cs"/>
          <w:rtl/>
          <w:lang w:eastAsia="en-US"/>
        </w:rPr>
        <w:t>.</w:t>
      </w:r>
      <w:r>
        <w:rPr>
          <w:rtl/>
          <w:lang w:eastAsia="en-US"/>
        </w:rPr>
        <w:t xml:space="preserve"> אמרה לו אמו</w:t>
      </w:r>
      <w:r>
        <w:rPr>
          <w:rFonts w:hint="cs"/>
          <w:rtl/>
          <w:lang w:eastAsia="en-US"/>
        </w:rPr>
        <w:t>:</w:t>
      </w:r>
      <w:r>
        <w:rPr>
          <w:rtl/>
          <w:lang w:eastAsia="en-US"/>
        </w:rPr>
        <w:t xml:space="preserve"> בחיי ראשך קיסר</w:t>
      </w:r>
      <w:r>
        <w:rPr>
          <w:rFonts w:hint="cs"/>
          <w:rtl/>
          <w:lang w:eastAsia="en-US"/>
        </w:rPr>
        <w:t>,</w:t>
      </w:r>
      <w:r>
        <w:rPr>
          <w:rtl/>
          <w:lang w:eastAsia="en-US"/>
        </w:rPr>
        <w:t xml:space="preserve"> הרגני תח</w:t>
      </w:r>
      <w:r>
        <w:rPr>
          <w:rFonts w:hint="cs"/>
          <w:rtl/>
          <w:lang w:eastAsia="en-US"/>
        </w:rPr>
        <w:t>י</w:t>
      </w:r>
      <w:r>
        <w:rPr>
          <w:rtl/>
          <w:lang w:eastAsia="en-US"/>
        </w:rPr>
        <w:t>לה ואחר כך הרגהו</w:t>
      </w:r>
      <w:r>
        <w:rPr>
          <w:rFonts w:hint="cs"/>
          <w:rtl/>
          <w:lang w:eastAsia="en-US"/>
        </w:rPr>
        <w:t>.</w:t>
      </w:r>
      <w:r>
        <w:rPr>
          <w:rtl/>
          <w:lang w:eastAsia="en-US"/>
        </w:rPr>
        <w:t xml:space="preserve"> אמר לה קיסר</w:t>
      </w:r>
      <w:r>
        <w:rPr>
          <w:rFonts w:hint="cs"/>
          <w:rtl/>
          <w:lang w:eastAsia="en-US"/>
        </w:rPr>
        <w:t>:</w:t>
      </w:r>
      <w:r>
        <w:rPr>
          <w:rtl/>
          <w:lang w:eastAsia="en-US"/>
        </w:rPr>
        <w:t xml:space="preserve"> איני שומע ליך מפני שכתוב בתורתכם (ויקרא כ"ב) ושור או שה אותו ואת בנו לא תשחטו ביום אחד</w:t>
      </w:r>
      <w:r>
        <w:rPr>
          <w:rFonts w:hint="cs"/>
          <w:rtl/>
          <w:lang w:eastAsia="en-US"/>
        </w:rPr>
        <w:t xml:space="preserve">. אמר לו אותו תינוק: רשע </w:t>
      </w:r>
      <w:r>
        <w:rPr>
          <w:rtl/>
          <w:lang w:eastAsia="en-US"/>
        </w:rPr>
        <w:t>שבעולם</w:t>
      </w:r>
      <w:r>
        <w:rPr>
          <w:rFonts w:hint="cs"/>
          <w:rtl/>
          <w:lang w:eastAsia="en-US"/>
        </w:rPr>
        <w:t>!</w:t>
      </w:r>
      <w:r>
        <w:rPr>
          <w:rtl/>
          <w:lang w:eastAsia="en-US"/>
        </w:rPr>
        <w:t xml:space="preserve"> כבר קיימת כל המצות ולא נשאר לך אלא זו בלבד</w:t>
      </w:r>
      <w:r>
        <w:rPr>
          <w:rFonts w:hint="cs"/>
          <w:rtl/>
          <w:lang w:eastAsia="en-US"/>
        </w:rPr>
        <w:t>!</w:t>
      </w:r>
      <w:r>
        <w:rPr>
          <w:rtl/>
          <w:lang w:eastAsia="en-US"/>
        </w:rPr>
        <w:t xml:space="preserve"> מיד צוה עליו להרגו</w:t>
      </w:r>
      <w:r>
        <w:rPr>
          <w:rFonts w:hint="cs"/>
          <w:rtl/>
          <w:lang w:eastAsia="en-US"/>
        </w:rPr>
        <w:t>.</w:t>
      </w:r>
      <w:r>
        <w:rPr>
          <w:rtl/>
          <w:lang w:eastAsia="en-US"/>
        </w:rPr>
        <w:t xml:space="preserve"> נפלה אמו עליו והיתה מחבקתו ומנשקתו ואמרה לו</w:t>
      </w:r>
      <w:r>
        <w:rPr>
          <w:rFonts w:hint="cs"/>
          <w:rtl/>
          <w:lang w:eastAsia="en-US"/>
        </w:rPr>
        <w:t>:</w:t>
      </w:r>
      <w:r>
        <w:rPr>
          <w:rtl/>
          <w:lang w:eastAsia="en-US"/>
        </w:rPr>
        <w:t xml:space="preserve"> בני</w:t>
      </w:r>
      <w:r>
        <w:rPr>
          <w:rFonts w:hint="cs"/>
          <w:rtl/>
          <w:lang w:eastAsia="en-US"/>
        </w:rPr>
        <w:t>,</w:t>
      </w:r>
      <w:r>
        <w:rPr>
          <w:rtl/>
          <w:lang w:eastAsia="en-US"/>
        </w:rPr>
        <w:t xml:space="preserve"> לך אצל אברהם אביכם ואמור לו כך אמרה אמי</w:t>
      </w:r>
      <w:r>
        <w:rPr>
          <w:rFonts w:hint="cs"/>
          <w:rtl/>
          <w:lang w:eastAsia="en-US"/>
        </w:rPr>
        <w:t>:</w:t>
      </w:r>
      <w:r>
        <w:rPr>
          <w:rtl/>
          <w:lang w:eastAsia="en-US"/>
        </w:rPr>
        <w:t xml:space="preserve"> אל תזוח דעתך עליך ותאמר בניתי מזבח והעליתי את יצחק בני</w:t>
      </w:r>
      <w:r>
        <w:rPr>
          <w:rFonts w:hint="cs"/>
          <w:rtl/>
          <w:lang w:eastAsia="en-US"/>
        </w:rPr>
        <w:t>.</w:t>
      </w:r>
      <w:r>
        <w:rPr>
          <w:rtl/>
          <w:lang w:eastAsia="en-US"/>
        </w:rPr>
        <w:t xml:space="preserve"> הרי אמנו בנתה שבעה מזבחות והעלתה שבעה בנים ביום אחד</w:t>
      </w:r>
      <w:r>
        <w:rPr>
          <w:rFonts w:hint="cs"/>
          <w:rtl/>
          <w:lang w:eastAsia="en-US"/>
        </w:rPr>
        <w:t>.</w:t>
      </w:r>
      <w:r>
        <w:rPr>
          <w:rtl/>
          <w:lang w:eastAsia="en-US"/>
        </w:rPr>
        <w:t xml:space="preserve"> אתה נסיון ואני מעשה</w:t>
      </w:r>
      <w:r>
        <w:rPr>
          <w:rFonts w:hint="cs"/>
          <w:rtl/>
          <w:lang w:eastAsia="en-US"/>
        </w:rPr>
        <w:t>". ומה נאמר אנו שהעלינו 6 מיליון מזבחות אבות ובנים, אמהות ובנות שנשחטו ביום אחד ובים אחד של רשע שלא היה כדוגמתו והארץ והשמים שתקו והחרישו.</w:t>
      </w:r>
      <w:r w:rsidR="000573A9">
        <w:rPr>
          <w:rFonts w:hint="cs"/>
          <w:rtl/>
        </w:rPr>
        <w:t xml:space="preserve"> ראה דברינו </w:t>
      </w:r>
      <w:hyperlink r:id="rId4" w:history="1">
        <w:r w:rsidR="000573A9" w:rsidRPr="00EF2046">
          <w:rPr>
            <w:rStyle w:val="Hyperlink"/>
            <w:rFonts w:hint="cs"/>
            <w:rtl/>
          </w:rPr>
          <w:t>על הנספים ועל המשרפות</w:t>
        </w:r>
      </w:hyperlink>
      <w:r w:rsidR="000573A9">
        <w:rPr>
          <w:rFonts w:hint="cs"/>
          <w:rtl/>
        </w:rPr>
        <w:t xml:space="preserve"> ביום הזיכרון לשואה ולגבורה.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E0" w:rsidRDefault="00EA6BE0" w:rsidP="00876EF2">
    <w:pPr>
      <w:pStyle w:val="1"/>
      <w:rPr>
        <w:rFonts w:hint="cs"/>
        <w:rtl/>
      </w:rPr>
    </w:pPr>
    <w:r>
      <w:rPr>
        <w:rtl/>
      </w:rPr>
      <w:t xml:space="preserve">פרשת </w:t>
    </w:r>
    <w:fldSimple w:instr=" SUBJECT  \* MERGEFORMAT ">
      <w:r>
        <w:rPr>
          <w:rtl/>
        </w:rPr>
        <w:t>אמור</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E0" w:rsidRDefault="00EA6BE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427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3C"/>
    <w:rsid w:val="000437F0"/>
    <w:rsid w:val="00045ECE"/>
    <w:rsid w:val="000469B7"/>
    <w:rsid w:val="000541A1"/>
    <w:rsid w:val="000573A9"/>
    <w:rsid w:val="00087BE3"/>
    <w:rsid w:val="0009415F"/>
    <w:rsid w:val="000B551B"/>
    <w:rsid w:val="000C41BB"/>
    <w:rsid w:val="000C5CEB"/>
    <w:rsid w:val="000D4818"/>
    <w:rsid w:val="000F0D91"/>
    <w:rsid w:val="000F758E"/>
    <w:rsid w:val="00143BA6"/>
    <w:rsid w:val="00150850"/>
    <w:rsid w:val="00161CA2"/>
    <w:rsid w:val="00166776"/>
    <w:rsid w:val="00166C59"/>
    <w:rsid w:val="00185DB1"/>
    <w:rsid w:val="00187D89"/>
    <w:rsid w:val="001A3BAA"/>
    <w:rsid w:val="001A71C8"/>
    <w:rsid w:val="002056CE"/>
    <w:rsid w:val="00287BD2"/>
    <w:rsid w:val="002974FF"/>
    <w:rsid w:val="00297D79"/>
    <w:rsid w:val="002A1CBC"/>
    <w:rsid w:val="002B20C8"/>
    <w:rsid w:val="002B2964"/>
    <w:rsid w:val="002C28BB"/>
    <w:rsid w:val="002F6DDC"/>
    <w:rsid w:val="00306085"/>
    <w:rsid w:val="00326D97"/>
    <w:rsid w:val="00347C44"/>
    <w:rsid w:val="00350570"/>
    <w:rsid w:val="00365112"/>
    <w:rsid w:val="003675DF"/>
    <w:rsid w:val="00387BDB"/>
    <w:rsid w:val="0039361E"/>
    <w:rsid w:val="003C07B4"/>
    <w:rsid w:val="003D6F24"/>
    <w:rsid w:val="003F17DC"/>
    <w:rsid w:val="00431DD4"/>
    <w:rsid w:val="00437B9B"/>
    <w:rsid w:val="004818B1"/>
    <w:rsid w:val="004874F2"/>
    <w:rsid w:val="00490438"/>
    <w:rsid w:val="00494CB5"/>
    <w:rsid w:val="00495DB2"/>
    <w:rsid w:val="004970B9"/>
    <w:rsid w:val="004B327D"/>
    <w:rsid w:val="004C565C"/>
    <w:rsid w:val="004E6A7A"/>
    <w:rsid w:val="004F02A5"/>
    <w:rsid w:val="004F67D7"/>
    <w:rsid w:val="00532B64"/>
    <w:rsid w:val="005335DC"/>
    <w:rsid w:val="00550976"/>
    <w:rsid w:val="0056235A"/>
    <w:rsid w:val="00566928"/>
    <w:rsid w:val="00570340"/>
    <w:rsid w:val="00582CE5"/>
    <w:rsid w:val="005B4C7C"/>
    <w:rsid w:val="005C1EF7"/>
    <w:rsid w:val="005D4026"/>
    <w:rsid w:val="005D62C1"/>
    <w:rsid w:val="005E661D"/>
    <w:rsid w:val="00601001"/>
    <w:rsid w:val="00605A21"/>
    <w:rsid w:val="00610899"/>
    <w:rsid w:val="00665E66"/>
    <w:rsid w:val="00673EB0"/>
    <w:rsid w:val="00674209"/>
    <w:rsid w:val="006A4772"/>
    <w:rsid w:val="006A47B7"/>
    <w:rsid w:val="006C3DA9"/>
    <w:rsid w:val="00716B81"/>
    <w:rsid w:val="00720988"/>
    <w:rsid w:val="00722A8A"/>
    <w:rsid w:val="00747C21"/>
    <w:rsid w:val="00753E02"/>
    <w:rsid w:val="007811D7"/>
    <w:rsid w:val="00785A8E"/>
    <w:rsid w:val="007C11AC"/>
    <w:rsid w:val="007C2E3F"/>
    <w:rsid w:val="007C4279"/>
    <w:rsid w:val="007D0A22"/>
    <w:rsid w:val="007D78C1"/>
    <w:rsid w:val="00810922"/>
    <w:rsid w:val="0084420C"/>
    <w:rsid w:val="008500D5"/>
    <w:rsid w:val="00870774"/>
    <w:rsid w:val="00876EF2"/>
    <w:rsid w:val="00894128"/>
    <w:rsid w:val="008C6DDC"/>
    <w:rsid w:val="008D3D3F"/>
    <w:rsid w:val="00906537"/>
    <w:rsid w:val="00907928"/>
    <w:rsid w:val="00927269"/>
    <w:rsid w:val="00934046"/>
    <w:rsid w:val="00954522"/>
    <w:rsid w:val="00967E67"/>
    <w:rsid w:val="00974765"/>
    <w:rsid w:val="00993DD5"/>
    <w:rsid w:val="009A5139"/>
    <w:rsid w:val="009B51DA"/>
    <w:rsid w:val="00A20A1A"/>
    <w:rsid w:val="00A50653"/>
    <w:rsid w:val="00A636E1"/>
    <w:rsid w:val="00A65207"/>
    <w:rsid w:val="00AC3878"/>
    <w:rsid w:val="00AE0DC2"/>
    <w:rsid w:val="00AE3230"/>
    <w:rsid w:val="00AF12A7"/>
    <w:rsid w:val="00AF3ADC"/>
    <w:rsid w:val="00AF5220"/>
    <w:rsid w:val="00B16BAF"/>
    <w:rsid w:val="00B17D60"/>
    <w:rsid w:val="00B24C9E"/>
    <w:rsid w:val="00B53E60"/>
    <w:rsid w:val="00B61B10"/>
    <w:rsid w:val="00B71799"/>
    <w:rsid w:val="00B80025"/>
    <w:rsid w:val="00BA370D"/>
    <w:rsid w:val="00BA4E9E"/>
    <w:rsid w:val="00BF531D"/>
    <w:rsid w:val="00C119B1"/>
    <w:rsid w:val="00C24C63"/>
    <w:rsid w:val="00C268C5"/>
    <w:rsid w:val="00C27686"/>
    <w:rsid w:val="00C37154"/>
    <w:rsid w:val="00C61103"/>
    <w:rsid w:val="00C77EC4"/>
    <w:rsid w:val="00C81D71"/>
    <w:rsid w:val="00C90CD4"/>
    <w:rsid w:val="00D023C4"/>
    <w:rsid w:val="00D17F6A"/>
    <w:rsid w:val="00D32568"/>
    <w:rsid w:val="00D4795E"/>
    <w:rsid w:val="00D51B63"/>
    <w:rsid w:val="00D559DD"/>
    <w:rsid w:val="00D55AA0"/>
    <w:rsid w:val="00D601FF"/>
    <w:rsid w:val="00D75155"/>
    <w:rsid w:val="00DC553C"/>
    <w:rsid w:val="00DD6500"/>
    <w:rsid w:val="00E14C11"/>
    <w:rsid w:val="00E67ED8"/>
    <w:rsid w:val="00E87A1E"/>
    <w:rsid w:val="00E9710F"/>
    <w:rsid w:val="00EA02F3"/>
    <w:rsid w:val="00EA6BE0"/>
    <w:rsid w:val="00EB523F"/>
    <w:rsid w:val="00EE14B2"/>
    <w:rsid w:val="00EF2046"/>
    <w:rsid w:val="00EF6652"/>
    <w:rsid w:val="00F26D6F"/>
    <w:rsid w:val="00F270D4"/>
    <w:rsid w:val="00F33CFD"/>
    <w:rsid w:val="00F37427"/>
    <w:rsid w:val="00F40541"/>
    <w:rsid w:val="00F64608"/>
    <w:rsid w:val="00F8632C"/>
    <w:rsid w:val="00F93E8C"/>
    <w:rsid w:val="00FA503C"/>
    <w:rsid w:val="00FA55DF"/>
    <w:rsid w:val="00FB7700"/>
    <w:rsid w:val="00FC6F1E"/>
    <w:rsid w:val="00FD2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413A6C4-35D6-481F-BC1B-C180C91A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C4279"/>
    <w:pPr>
      <w:bidi/>
    </w:pPr>
    <w:rPr>
      <w:rFonts w:cs="Narkisim"/>
      <w:sz w:val="22"/>
      <w:szCs w:val="22"/>
      <w:lang w:eastAsia="he-IL"/>
    </w:rPr>
  </w:style>
  <w:style w:type="paragraph" w:styleId="1">
    <w:name w:val="heading 1"/>
    <w:basedOn w:val="a"/>
    <w:next w:val="a"/>
    <w:link w:val="10"/>
    <w:qFormat/>
    <w:rsid w:val="007C4279"/>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7C427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4279"/>
  </w:style>
  <w:style w:type="paragraph" w:styleId="a3">
    <w:name w:val="footnote text"/>
    <w:basedOn w:val="a"/>
    <w:link w:val="a4"/>
    <w:semiHidden/>
    <w:rsid w:val="007C4279"/>
    <w:pPr>
      <w:ind w:left="170" w:hanging="170"/>
      <w:jc w:val="both"/>
    </w:pPr>
    <w:rPr>
      <w:sz w:val="20"/>
      <w:szCs w:val="20"/>
    </w:rPr>
  </w:style>
  <w:style w:type="character" w:styleId="a5">
    <w:name w:val="footnote reference"/>
    <w:semiHidden/>
    <w:rsid w:val="007C4279"/>
    <w:rPr>
      <w:vertAlign w:val="superscript"/>
    </w:rPr>
  </w:style>
  <w:style w:type="paragraph" w:styleId="a6">
    <w:name w:val="header"/>
    <w:basedOn w:val="a"/>
    <w:link w:val="a7"/>
    <w:rsid w:val="007C4279"/>
    <w:pPr>
      <w:tabs>
        <w:tab w:val="center" w:pos="4153"/>
        <w:tab w:val="right" w:pos="8306"/>
      </w:tabs>
    </w:pPr>
  </w:style>
  <w:style w:type="paragraph" w:styleId="a8">
    <w:name w:val="footer"/>
    <w:basedOn w:val="a"/>
    <w:link w:val="a9"/>
    <w:rsid w:val="007C4279"/>
    <w:pPr>
      <w:tabs>
        <w:tab w:val="center" w:pos="4153"/>
        <w:tab w:val="right" w:pos="8306"/>
      </w:tabs>
    </w:pPr>
  </w:style>
  <w:style w:type="paragraph" w:customStyle="1" w:styleId="aa">
    <w:name w:val="כותרת"/>
    <w:basedOn w:val="a"/>
    <w:rsid w:val="007C4279"/>
    <w:pPr>
      <w:spacing w:before="240" w:line="320" w:lineRule="atLeast"/>
      <w:jc w:val="center"/>
    </w:pPr>
    <w:rPr>
      <w:rFonts w:cs="David"/>
      <w:b/>
      <w:bCs/>
      <w:spacing w:val="20"/>
      <w:szCs w:val="32"/>
    </w:rPr>
  </w:style>
  <w:style w:type="paragraph" w:customStyle="1" w:styleId="ab">
    <w:name w:val="כותרת קטע"/>
    <w:basedOn w:val="a"/>
    <w:rsid w:val="007C4279"/>
    <w:pPr>
      <w:spacing w:before="240" w:line="300" w:lineRule="atLeast"/>
    </w:pPr>
    <w:rPr>
      <w:rFonts w:cs="Arial"/>
      <w:b/>
      <w:bCs/>
      <w:szCs w:val="24"/>
    </w:rPr>
  </w:style>
  <w:style w:type="paragraph" w:customStyle="1" w:styleId="ac">
    <w:name w:val="מקור"/>
    <w:basedOn w:val="a"/>
    <w:rsid w:val="007C4279"/>
    <w:pPr>
      <w:spacing w:line="320" w:lineRule="atLeast"/>
      <w:jc w:val="both"/>
    </w:pPr>
    <w:rPr>
      <w:rFonts w:cs="David"/>
      <w:szCs w:val="24"/>
    </w:rPr>
  </w:style>
  <w:style w:type="paragraph" w:customStyle="1" w:styleId="ad">
    <w:name w:val="מחלקי המים"/>
    <w:basedOn w:val="a"/>
    <w:rsid w:val="007C427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7C4279"/>
    <w:rPr>
      <w:color w:val="0000FF"/>
      <w:u w:val="single"/>
    </w:rPr>
  </w:style>
  <w:style w:type="character" w:styleId="FollowedHyperlink">
    <w:name w:val="FollowedHyperlink"/>
    <w:rPr>
      <w:color w:val="800080"/>
      <w:u w:val="single"/>
    </w:rPr>
  </w:style>
  <w:style w:type="character" w:styleId="af0">
    <w:name w:val="page number"/>
    <w:basedOn w:val="a0"/>
    <w:rsid w:val="00876EF2"/>
  </w:style>
  <w:style w:type="paragraph" w:styleId="af1">
    <w:name w:val="Balloon Text"/>
    <w:basedOn w:val="a"/>
    <w:link w:val="af2"/>
    <w:uiPriority w:val="99"/>
    <w:semiHidden/>
    <w:unhideWhenUsed/>
    <w:rsid w:val="007C4279"/>
    <w:rPr>
      <w:rFonts w:ascii="Tahoma" w:hAnsi="Tahoma" w:cs="Tahoma"/>
      <w:sz w:val="16"/>
      <w:szCs w:val="16"/>
    </w:rPr>
  </w:style>
  <w:style w:type="character" w:customStyle="1" w:styleId="a4">
    <w:name w:val="טקסט הערת שוליים תו"/>
    <w:link w:val="a3"/>
    <w:semiHidden/>
    <w:rsid w:val="007C4279"/>
    <w:rPr>
      <w:rFonts w:cs="Narkisim"/>
      <w:lang w:eastAsia="he-IL"/>
    </w:rPr>
  </w:style>
  <w:style w:type="character" w:customStyle="1" w:styleId="10">
    <w:name w:val="כותרת 1 תו"/>
    <w:link w:val="1"/>
    <w:rsid w:val="007C4279"/>
    <w:rPr>
      <w:rFonts w:cs="David"/>
      <w:b/>
      <w:bCs/>
      <w:sz w:val="22"/>
      <w:szCs w:val="28"/>
      <w:lang w:eastAsia="he-IL"/>
    </w:rPr>
  </w:style>
  <w:style w:type="character" w:customStyle="1" w:styleId="a7">
    <w:name w:val="כותרת עליונה תו"/>
    <w:link w:val="a6"/>
    <w:rsid w:val="007C4279"/>
    <w:rPr>
      <w:rFonts w:cs="Narkisim"/>
      <w:sz w:val="22"/>
      <w:szCs w:val="22"/>
      <w:lang w:eastAsia="he-IL"/>
    </w:rPr>
  </w:style>
  <w:style w:type="character" w:customStyle="1" w:styleId="a9">
    <w:name w:val="כותרת תחתונה תו"/>
    <w:link w:val="a8"/>
    <w:rsid w:val="007C4279"/>
    <w:rPr>
      <w:rFonts w:cs="Narkisim"/>
      <w:sz w:val="22"/>
      <w:szCs w:val="22"/>
      <w:lang w:eastAsia="he-IL"/>
    </w:rPr>
  </w:style>
  <w:style w:type="character" w:customStyle="1" w:styleId="af2">
    <w:name w:val="טקסט בלונים תו"/>
    <w:link w:val="af1"/>
    <w:uiPriority w:val="99"/>
    <w:semiHidden/>
    <w:rsid w:val="007C427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e%d7%99%d7%93%d7%95%d7%aa-%d7%92%d7%96%d7%99%d7%a8%d7%95%d7%aa-%d7%95%d7%98%d7%a2%d7%9e%d7%99-%d7%94%d7%9e%d7%a6%d7%95%d7%95%d7%aa" TargetMode="External"/><Relationship Id="rId2" Type="http://schemas.openxmlformats.org/officeDocument/2006/relationships/hyperlink" Target="http://www.mayim.org.il/?parasha=%D7%9B%D7%99-%D7%99%D7%A7%D7%A8%D7%90-%D7%A7%D7%9F-%D7%A6%D7%99%D7%A4%D7%95%D7%A8-%D7%9C%D7%A4%D7%A0%D7%99%D7%9A1" TargetMode="External"/><Relationship Id="rId1" Type="http://schemas.openxmlformats.org/officeDocument/2006/relationships/hyperlink" Target="http://www.mayim.org.il/?parasha=%d7%a1%d7%a4%d7%a8-%d7%93%d7%91%d7%a8%d7%99%d7%9d-%d7%9e%d7%a9%d7%a0%d7%94-%d7%aa%d7%95%d7%a8%d7%941" TargetMode="External"/><Relationship Id="rId4" Type="http://schemas.openxmlformats.org/officeDocument/2006/relationships/hyperlink" Target="http://www.mayim.org.il/?holiday=%d7%a2%d6%b7%d7%9c-%d7%94%d7%a0%d6%b4%d7%a1%d6%b0%d7%a4%d6%bc%d6%b4%d7%99%d7%9d-%d7%95%d6%b0%d7%a2%d6%b7%d7%9c-%d7%94%d7%9e%d6%b4%d7%a9%d7%82%d6%b0%d7%a8%d6%b8%d7%a4%d7%95%d6%b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726</Words>
  <Characters>3633</Characters>
  <Application>Microsoft Office Word</Application>
  <DocSecurity>0</DocSecurity>
  <Lines>30</Lines>
  <Paragraphs>8</Paragraphs>
  <ScaleCrop>false</ScaleCrop>
  <HeadingPairs>
    <vt:vector size="6" baseType="variant">
      <vt:variant>
        <vt:lpstr>שם</vt:lpstr>
      </vt:variant>
      <vt:variant>
        <vt:i4>1</vt:i4>
      </vt:variant>
      <vt:variant>
        <vt:lpstr>כותרות</vt:lpstr>
      </vt:variant>
      <vt:variant>
        <vt:i4>3</vt:i4>
      </vt:variant>
      <vt:variant>
        <vt:lpstr>Title</vt:lpstr>
      </vt:variant>
      <vt:variant>
        <vt:i4>1</vt:i4>
      </vt:variant>
    </vt:vector>
  </HeadingPairs>
  <TitlesOfParts>
    <vt:vector size="5" baseType="lpstr">
      <vt:lpstr>אותו ואת בנו</vt:lpstr>
      <vt:lpstr>אותו ואת בנו</vt:lpstr>
      <vt:lpstr>וְשׁוֹר אוֹ שֶׂה אֹתוֹ וְאֶת בְּנוֹ לֹא תִשְׁחֲטוּ בְּיוֹם אֶחָד: (ויקרא ככ כח).</vt:lpstr>
      <vt:lpstr>שבת שלום, מחלקי המים</vt:lpstr>
      <vt:lpstr>אותו ואת בנו</vt:lpstr>
    </vt:vector>
  </TitlesOfParts>
  <Company> </Company>
  <LinksUpToDate>false</LinksUpToDate>
  <CharactersWithSpaces>4351</CharactersWithSpaces>
  <SharedDoc>false</SharedDoc>
  <HLinks>
    <vt:vector size="24" baseType="variant">
      <vt:variant>
        <vt:i4>5701714</vt:i4>
      </vt:variant>
      <vt:variant>
        <vt:i4>9</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786507</vt:i4>
      </vt:variant>
      <vt:variant>
        <vt:i4>6</vt:i4>
      </vt:variant>
      <vt:variant>
        <vt:i4>0</vt:i4>
      </vt:variant>
      <vt:variant>
        <vt:i4>5</vt:i4>
      </vt:variant>
      <vt:variant>
        <vt:lpwstr>http://www.mayim.org.il/?parasha=%d7%a2%d7%9c-%d7%9e%d7%99%d7%93%d7%95%d7%aa-%d7%92%d7%96%d7%99%d7%a8%d7%95%d7%aa-%d7%95%d7%98%d7%a2%d7%9e%d7%99-%d7%94%d7%9e%d7%a6%d7%95%d7%95%d7%aa</vt:lpwstr>
      </vt:variant>
      <vt:variant>
        <vt:lpwstr/>
      </vt:variant>
      <vt:variant>
        <vt:i4>4128811</vt:i4>
      </vt:variant>
      <vt:variant>
        <vt:i4>3</vt:i4>
      </vt:variant>
      <vt:variant>
        <vt:i4>0</vt:i4>
      </vt:variant>
      <vt:variant>
        <vt:i4>5</vt:i4>
      </vt:variant>
      <vt:variant>
        <vt:lpwstr>http://www.mayim.org.il/?parasha=%D7%9B%D7%99-%D7%99%D7%A7%D7%A8%D7%90-%D7%A7%D7%9F-%D7%A6%D7%99%D7%A4%D7%95%D7%A8-%D7%9C%D7%A4%D7%A0%D7%99%D7%9A1</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אותו ואת בנו</dc:title>
  <dc:subject>אמור</dc:subject>
  <dc:creator>Asher Yuval</dc:creator>
  <cp:keywords/>
  <dc:description/>
  <cp:lastModifiedBy>שמעון אפק</cp:lastModifiedBy>
  <cp:revision>2</cp:revision>
  <cp:lastPrinted>2011-05-06T07:10:00Z</cp:lastPrinted>
  <dcterms:created xsi:type="dcterms:W3CDTF">2017-01-29T06:13:00Z</dcterms:created>
  <dcterms:modified xsi:type="dcterms:W3CDTF">2017-01-29T06:13:00Z</dcterms:modified>
</cp:coreProperties>
</file>