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7CC" w:rsidRPr="0039207A" w:rsidRDefault="008E37CC" w:rsidP="00137928">
      <w:pPr>
        <w:pStyle w:val="aa"/>
        <w:bidi w:val="0"/>
        <w:outlineLvl w:val="0"/>
      </w:pPr>
      <w:r w:rsidRPr="0039207A">
        <w:rPr>
          <w:rtl/>
        </w:rPr>
        <w:fldChar w:fldCharType="begin"/>
      </w:r>
      <w:r w:rsidRPr="0039207A">
        <w:rPr>
          <w:rtl/>
        </w:rPr>
        <w:instrText xml:space="preserve"> </w:instrText>
      </w:r>
      <w:r w:rsidRPr="0039207A">
        <w:instrText>TITLE  \* MERGEFORMAT</w:instrText>
      </w:r>
      <w:r w:rsidRPr="0039207A">
        <w:rPr>
          <w:rtl/>
        </w:rPr>
        <w:instrText xml:space="preserve"> </w:instrText>
      </w:r>
      <w:r w:rsidRPr="0039207A">
        <w:rPr>
          <w:rtl/>
        </w:rPr>
        <w:fldChar w:fldCharType="separate"/>
      </w:r>
      <w:r w:rsidR="001E48C6">
        <w:rPr>
          <w:rtl/>
        </w:rPr>
        <w:t>מעשה הפרוכת</w:t>
      </w:r>
      <w:r w:rsidRPr="0039207A">
        <w:rPr>
          <w:rtl/>
        </w:rPr>
        <w:fldChar w:fldCharType="end"/>
      </w:r>
    </w:p>
    <w:p w:rsidR="008E37CC" w:rsidRDefault="00C31394" w:rsidP="000C1753">
      <w:pPr>
        <w:autoSpaceDE w:val="0"/>
        <w:autoSpaceDN w:val="0"/>
        <w:adjustRightInd w:val="0"/>
        <w:spacing w:before="240" w:line="320" w:lineRule="atLeast"/>
        <w:jc w:val="both"/>
        <w:rPr>
          <w:rFonts w:hint="cs"/>
          <w:rtl/>
        </w:rPr>
      </w:pPr>
      <w:r w:rsidRPr="00C31394">
        <w:rPr>
          <w:rFonts w:cs="David"/>
          <w:b/>
          <w:bCs/>
          <w:szCs w:val="24"/>
          <w:rtl/>
        </w:rPr>
        <w:t>וְעָשִׂיתָ פָרֹכֶת תְּכֵלֶת וְאַרְגָּמָן וְתוֹלַעַת שָׁנִי וְשֵׁשׁ מָשְׁזָר מַעֲשֵׂה חֹשֵׁב יַעֲשֶׂה אֹתָהּ כְּרֻבִים</w:t>
      </w:r>
      <w:r>
        <w:rPr>
          <w:rFonts w:cs="David" w:hint="cs"/>
          <w:b/>
          <w:bCs/>
          <w:szCs w:val="24"/>
          <w:rtl/>
        </w:rPr>
        <w:t xml:space="preserve"> ...</w:t>
      </w:r>
      <w:r w:rsidRPr="00C31394">
        <w:rPr>
          <w:rFonts w:cs="David"/>
          <w:b/>
          <w:bCs/>
          <w:szCs w:val="24"/>
          <w:rtl/>
        </w:rPr>
        <w:t xml:space="preserve"> וְהֵבֵאתָ שָׁמָּה מִבֵּית לַפָּרֹכֶת אֵת אֲרוֹן הָעֵדוּת וְהִבְדִּילָה הַפָּרֹכֶת לָכֶם בֵּין הַקֹּדֶשׁ וּבֵין קֹדֶשׁ הַקֳּדָשִׁים:</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Pr>
          <w:rFonts w:hint="cs"/>
          <w:rtl/>
        </w:rPr>
        <w:t>ו</w:t>
      </w:r>
      <w:r w:rsidR="007A5321" w:rsidRPr="0039207A">
        <w:rPr>
          <w:rFonts w:hint="cs"/>
          <w:rtl/>
        </w:rPr>
        <w:t xml:space="preserve"> לא</w:t>
      </w:r>
      <w:r>
        <w:rPr>
          <w:rFonts w:hint="cs"/>
          <w:rtl/>
        </w:rPr>
        <w:t>, לג</w:t>
      </w:r>
      <w:r w:rsidR="008E37CC" w:rsidRPr="0039207A">
        <w:rPr>
          <w:rFonts w:hint="cs"/>
          <w:rtl/>
        </w:rPr>
        <w:t>)</w:t>
      </w:r>
      <w:r w:rsidR="007A5321" w:rsidRPr="0039207A">
        <w:rPr>
          <w:rFonts w:hint="cs"/>
          <w:rtl/>
        </w:rPr>
        <w:t>.</w:t>
      </w:r>
      <w:r w:rsidR="00723149">
        <w:rPr>
          <w:rStyle w:val="a5"/>
          <w:rtl/>
        </w:rPr>
        <w:footnoteReference w:id="1"/>
      </w:r>
    </w:p>
    <w:p w:rsidR="000B5E99" w:rsidRDefault="000B5E99" w:rsidP="000C1753">
      <w:pPr>
        <w:pStyle w:val="a3"/>
        <w:spacing w:before="120" w:line="320" w:lineRule="atLeast"/>
        <w:rPr>
          <w:rFonts w:hint="cs"/>
          <w:rtl/>
        </w:rPr>
      </w:pPr>
      <w:r w:rsidRPr="000B5E99">
        <w:rPr>
          <w:rFonts w:cs="David"/>
          <w:b/>
          <w:bCs/>
          <w:sz w:val="22"/>
          <w:szCs w:val="24"/>
          <w:rtl/>
        </w:rPr>
        <w:t>וַיַּעַשׂ אֶת הַפָּרֹכֶת תְּכֵלֶת וְאַרְגָּמָן וְכַרְמִיל וּבוּץ וַיַּעַל עָלָיו כְּרוּבִים</w:t>
      </w:r>
      <w:r w:rsidR="000C1753">
        <w:rPr>
          <w:rFonts w:cs="David" w:hint="cs"/>
          <w:b/>
          <w:bCs/>
          <w:sz w:val="22"/>
          <w:szCs w:val="24"/>
          <w:rtl/>
        </w:rPr>
        <w:t>:</w:t>
      </w:r>
      <w:r>
        <w:rPr>
          <w:rFonts w:cs="David" w:hint="cs"/>
          <w:b/>
          <w:bCs/>
          <w:sz w:val="22"/>
          <w:szCs w:val="24"/>
          <w:rtl/>
        </w:rPr>
        <w:t xml:space="preserve"> (</w:t>
      </w:r>
      <w:r>
        <w:rPr>
          <w:rtl/>
        </w:rPr>
        <w:t xml:space="preserve">דברי הימים ב פרק ג </w:t>
      </w:r>
      <w:r>
        <w:rPr>
          <w:rFonts w:hint="cs"/>
          <w:rtl/>
        </w:rPr>
        <w:t>פסוק יד).</w:t>
      </w:r>
      <w:r w:rsidR="00723149" w:rsidRPr="0016281C">
        <w:rPr>
          <w:rStyle w:val="a5"/>
          <w:sz w:val="22"/>
          <w:szCs w:val="22"/>
          <w:rtl/>
        </w:rPr>
        <w:footnoteReference w:id="2"/>
      </w:r>
    </w:p>
    <w:p w:rsidR="00723149" w:rsidRDefault="00723149" w:rsidP="00723149">
      <w:pPr>
        <w:pStyle w:val="ab"/>
        <w:rPr>
          <w:rFonts w:hint="cs"/>
          <w:rtl/>
        </w:rPr>
      </w:pPr>
      <w:r>
        <w:rPr>
          <w:rFonts w:hint="cs"/>
          <w:rtl/>
        </w:rPr>
        <w:t>פירוש רש"י, שמות כו לא</w:t>
      </w:r>
    </w:p>
    <w:p w:rsidR="00723149" w:rsidRDefault="00723149" w:rsidP="0016281C">
      <w:pPr>
        <w:pStyle w:val="ac"/>
        <w:rPr>
          <w:rFonts w:hint="cs"/>
          <w:rtl/>
        </w:rPr>
      </w:pPr>
      <w:r>
        <w:rPr>
          <w:rFonts w:hint="cs"/>
          <w:rtl/>
        </w:rPr>
        <w:t>פרוכת - לשון מחיצה הוא ובלשון חכמים פרגוד, דבר המבדיל בין המלך ובין העם.</w:t>
      </w:r>
      <w:r w:rsidR="0016281C">
        <w:rPr>
          <w:rStyle w:val="a5"/>
          <w:rtl/>
        </w:rPr>
        <w:footnoteReference w:id="3"/>
      </w:r>
    </w:p>
    <w:p w:rsidR="00C31394" w:rsidRDefault="00C31394" w:rsidP="0003763C">
      <w:pPr>
        <w:pStyle w:val="ab"/>
        <w:rPr>
          <w:rtl/>
          <w:lang w:eastAsia="en-US"/>
        </w:rPr>
      </w:pPr>
      <w:r>
        <w:rPr>
          <w:rtl/>
          <w:lang w:eastAsia="en-US"/>
        </w:rPr>
        <w:t xml:space="preserve">שמות רבה פרשה נ </w:t>
      </w:r>
      <w:r w:rsidR="00D172FD">
        <w:rPr>
          <w:rFonts w:hint="cs"/>
          <w:rtl/>
          <w:lang w:eastAsia="en-US"/>
        </w:rPr>
        <w:t>סימן ד, פרשת ויקהל</w:t>
      </w:r>
    </w:p>
    <w:p w:rsidR="000D6D9B" w:rsidRDefault="00C31394" w:rsidP="000E0FF0">
      <w:pPr>
        <w:pStyle w:val="ac"/>
        <w:rPr>
          <w:rFonts w:hint="cs"/>
          <w:rtl/>
          <w:lang w:eastAsia="en-US"/>
        </w:rPr>
      </w:pPr>
      <w:r>
        <w:rPr>
          <w:rtl/>
          <w:lang w:eastAsia="en-US"/>
        </w:rPr>
        <w:t>מה כתיב למעלה</w:t>
      </w:r>
      <w:r w:rsidR="000E0FF0">
        <w:rPr>
          <w:rFonts w:hint="cs"/>
          <w:rtl/>
          <w:lang w:eastAsia="en-US"/>
        </w:rPr>
        <w:t>?</w:t>
      </w:r>
      <w:r>
        <w:rPr>
          <w:rtl/>
          <w:lang w:eastAsia="en-US"/>
        </w:rPr>
        <w:t xml:space="preserve"> </w:t>
      </w:r>
      <w:r w:rsidR="000E0FF0">
        <w:rPr>
          <w:rFonts w:hint="cs"/>
          <w:rtl/>
          <w:lang w:eastAsia="en-US"/>
        </w:rPr>
        <w:t>"</w:t>
      </w:r>
      <w:r>
        <w:rPr>
          <w:rtl/>
          <w:lang w:eastAsia="en-US"/>
        </w:rPr>
        <w:t>ויעש את הפרוכת תכלת וארגמן</w:t>
      </w:r>
      <w:r w:rsidR="000E0FF0">
        <w:rPr>
          <w:rFonts w:hint="cs"/>
          <w:rtl/>
          <w:lang w:eastAsia="en-US"/>
        </w:rPr>
        <w:t xml:space="preserve"> וכו' ".</w:t>
      </w:r>
      <w:r w:rsidR="000E0FF0">
        <w:rPr>
          <w:rStyle w:val="a5"/>
          <w:rtl/>
          <w:lang w:eastAsia="en-US"/>
        </w:rPr>
        <w:footnoteReference w:id="4"/>
      </w:r>
      <w:r>
        <w:rPr>
          <w:rtl/>
          <w:lang w:eastAsia="en-US"/>
        </w:rPr>
        <w:t xml:space="preserve"> שנו רבותינו</w:t>
      </w:r>
      <w:r w:rsidR="000E0FF0">
        <w:rPr>
          <w:rFonts w:hint="cs"/>
          <w:rtl/>
          <w:lang w:eastAsia="en-US"/>
        </w:rPr>
        <w:t>:</w:t>
      </w:r>
      <w:r>
        <w:rPr>
          <w:rtl/>
          <w:lang w:eastAsia="en-US"/>
        </w:rPr>
        <w:t xml:space="preserve"> פרוכת היה עובי</w:t>
      </w:r>
      <w:r w:rsidR="000E0FF0">
        <w:rPr>
          <w:rFonts w:hint="cs"/>
          <w:rtl/>
          <w:lang w:eastAsia="en-US"/>
        </w:rPr>
        <w:t>ה</w:t>
      </w:r>
      <w:r>
        <w:rPr>
          <w:rtl/>
          <w:lang w:eastAsia="en-US"/>
        </w:rPr>
        <w:t xml:space="preserve"> טפח ועל ע"ב נירים נארגת</w:t>
      </w:r>
      <w:r w:rsidR="000E0FF0">
        <w:rPr>
          <w:rFonts w:hint="cs"/>
          <w:rtl/>
          <w:lang w:eastAsia="en-US"/>
        </w:rPr>
        <w:t>,</w:t>
      </w:r>
      <w:r>
        <w:rPr>
          <w:rtl/>
          <w:lang w:eastAsia="en-US"/>
        </w:rPr>
        <w:t xml:space="preserve"> ולא היה בה קשר</w:t>
      </w:r>
      <w:r w:rsidR="000E0FF0">
        <w:rPr>
          <w:rFonts w:hint="cs"/>
          <w:rtl/>
          <w:lang w:eastAsia="en-US"/>
        </w:rPr>
        <w:t>,</w:t>
      </w:r>
      <w:r>
        <w:rPr>
          <w:rtl/>
          <w:lang w:eastAsia="en-US"/>
        </w:rPr>
        <w:t xml:space="preserve"> ושתים עושים בכל שנה ושנה</w:t>
      </w:r>
      <w:r w:rsidR="000E0FF0">
        <w:rPr>
          <w:rFonts w:hint="cs"/>
          <w:rtl/>
          <w:lang w:eastAsia="en-US"/>
        </w:rPr>
        <w:t>,</w:t>
      </w:r>
      <w:r w:rsidR="000E0FF0">
        <w:rPr>
          <w:rStyle w:val="a5"/>
          <w:rtl/>
          <w:lang w:eastAsia="en-US"/>
        </w:rPr>
        <w:footnoteReference w:id="5"/>
      </w:r>
      <w:r>
        <w:rPr>
          <w:rtl/>
          <w:lang w:eastAsia="en-US"/>
        </w:rPr>
        <w:t xml:space="preserve"> ו</w:t>
      </w:r>
      <w:r w:rsidR="000E0FF0">
        <w:rPr>
          <w:rFonts w:hint="cs"/>
          <w:rtl/>
          <w:lang w:eastAsia="en-US"/>
        </w:rPr>
        <w:t xml:space="preserve">שלוש מאות </w:t>
      </w:r>
      <w:r>
        <w:rPr>
          <w:rtl/>
          <w:lang w:eastAsia="en-US"/>
        </w:rPr>
        <w:t>כהנים מטבילין אותה</w:t>
      </w:r>
      <w:r w:rsidR="000E0FF0">
        <w:rPr>
          <w:rFonts w:hint="cs"/>
          <w:rtl/>
          <w:lang w:eastAsia="en-US"/>
        </w:rPr>
        <w:t>,</w:t>
      </w:r>
      <w:r>
        <w:rPr>
          <w:rtl/>
          <w:lang w:eastAsia="en-US"/>
        </w:rPr>
        <w:t xml:space="preserve"> והכהנים יורדין ומטבילין אותה בחוץ ועולין ושוטחין אותה ע"ג הח</w:t>
      </w:r>
      <w:r w:rsidR="000E0FF0">
        <w:rPr>
          <w:rtl/>
          <w:lang w:eastAsia="en-US"/>
        </w:rPr>
        <w:t>ֵ</w:t>
      </w:r>
      <w:r>
        <w:rPr>
          <w:rtl/>
          <w:lang w:eastAsia="en-US"/>
        </w:rPr>
        <w:t>יל</w:t>
      </w:r>
      <w:r w:rsidR="000D6D9B">
        <w:rPr>
          <w:rFonts w:hint="cs"/>
          <w:rtl/>
          <w:lang w:eastAsia="en-US"/>
        </w:rPr>
        <w:t>.</w:t>
      </w:r>
      <w:r w:rsidR="004A0E79">
        <w:rPr>
          <w:rStyle w:val="a5"/>
          <w:rtl/>
          <w:lang w:eastAsia="en-US"/>
        </w:rPr>
        <w:footnoteReference w:id="6"/>
      </w:r>
    </w:p>
    <w:p w:rsidR="00C31394" w:rsidRDefault="00C31394" w:rsidP="00A32A80">
      <w:pPr>
        <w:pStyle w:val="ac"/>
        <w:rPr>
          <w:rFonts w:hint="cs"/>
          <w:rtl/>
          <w:lang w:eastAsia="en-US"/>
        </w:rPr>
      </w:pPr>
      <w:r>
        <w:rPr>
          <w:rtl/>
          <w:lang w:eastAsia="en-US"/>
        </w:rPr>
        <w:t>ואתה מוצא</w:t>
      </w:r>
      <w:r w:rsidR="007F0EBA">
        <w:rPr>
          <w:rFonts w:hint="cs"/>
          <w:rtl/>
          <w:lang w:eastAsia="en-US"/>
        </w:rPr>
        <w:t>:</w:t>
      </w:r>
      <w:r>
        <w:rPr>
          <w:rtl/>
          <w:lang w:eastAsia="en-US"/>
        </w:rPr>
        <w:t xml:space="preserve"> כל המשכן על הסדר נעשה</w:t>
      </w:r>
      <w:r w:rsidR="007F0EBA">
        <w:rPr>
          <w:rFonts w:hint="cs"/>
          <w:rtl/>
          <w:lang w:eastAsia="en-US"/>
        </w:rPr>
        <w:t>.</w:t>
      </w:r>
      <w:r>
        <w:rPr>
          <w:rtl/>
          <w:lang w:eastAsia="en-US"/>
        </w:rPr>
        <w:t xml:space="preserve"> בתח</w:t>
      </w:r>
      <w:r w:rsidR="007F0EBA">
        <w:rPr>
          <w:rFonts w:hint="cs"/>
          <w:rtl/>
          <w:lang w:eastAsia="en-US"/>
        </w:rPr>
        <w:t>י</w:t>
      </w:r>
      <w:r>
        <w:rPr>
          <w:rtl/>
          <w:lang w:eastAsia="en-US"/>
        </w:rPr>
        <w:t>לה עשה את הקרשים וחברם</w:t>
      </w:r>
      <w:r w:rsidR="007F0EBA">
        <w:rPr>
          <w:rFonts w:hint="cs"/>
          <w:rtl/>
          <w:lang w:eastAsia="en-US"/>
        </w:rPr>
        <w:t>,</w:t>
      </w:r>
      <w:r>
        <w:rPr>
          <w:rtl/>
          <w:lang w:eastAsia="en-US"/>
        </w:rPr>
        <w:t xml:space="preserve"> ואחר כך היריעות ופרסן עליו</w:t>
      </w:r>
      <w:r w:rsidR="007F0EBA">
        <w:rPr>
          <w:rFonts w:hint="cs"/>
          <w:rtl/>
          <w:lang w:eastAsia="en-US"/>
        </w:rPr>
        <w:t>,</w:t>
      </w:r>
      <w:r>
        <w:rPr>
          <w:rtl/>
          <w:lang w:eastAsia="en-US"/>
        </w:rPr>
        <w:t xml:space="preserve"> שנאמר</w:t>
      </w:r>
      <w:r w:rsidR="007F0EBA">
        <w:rPr>
          <w:rFonts w:hint="cs"/>
          <w:rtl/>
          <w:lang w:eastAsia="en-US"/>
        </w:rPr>
        <w:t>:</w:t>
      </w:r>
      <w:r>
        <w:rPr>
          <w:rtl/>
          <w:lang w:eastAsia="en-US"/>
        </w:rPr>
        <w:t xml:space="preserve"> </w:t>
      </w:r>
      <w:r w:rsidR="007F0EBA">
        <w:rPr>
          <w:rFonts w:hint="cs"/>
          <w:rtl/>
          <w:lang w:eastAsia="en-US"/>
        </w:rPr>
        <w:t>"</w:t>
      </w:r>
      <w:r>
        <w:rPr>
          <w:rtl/>
          <w:lang w:eastAsia="en-US"/>
        </w:rPr>
        <w:t>ויעש יריעות עזים לאהל על המשכן</w:t>
      </w:r>
      <w:r w:rsidR="007F0EBA">
        <w:rPr>
          <w:rFonts w:hint="cs"/>
          <w:rtl/>
          <w:lang w:eastAsia="en-US"/>
        </w:rPr>
        <w:t>"</w:t>
      </w:r>
      <w:r>
        <w:rPr>
          <w:rtl/>
          <w:lang w:eastAsia="en-US"/>
        </w:rPr>
        <w:t>, ואח"כ עשה את הפרוכת, שתהא נמתח</w:t>
      </w:r>
      <w:r w:rsidR="007F0EBA">
        <w:rPr>
          <w:rFonts w:hint="cs"/>
          <w:rtl/>
          <w:lang w:eastAsia="en-US"/>
        </w:rPr>
        <w:t>ת</w:t>
      </w:r>
      <w:r>
        <w:rPr>
          <w:rtl/>
          <w:lang w:eastAsia="en-US"/>
        </w:rPr>
        <w:t xml:space="preserve"> בפני הארון</w:t>
      </w:r>
      <w:r w:rsidR="007F0EBA">
        <w:rPr>
          <w:rFonts w:hint="cs"/>
          <w:rtl/>
          <w:lang w:eastAsia="en-US"/>
        </w:rPr>
        <w:t>,</w:t>
      </w:r>
      <w:r>
        <w:rPr>
          <w:rtl/>
          <w:lang w:eastAsia="en-US"/>
        </w:rPr>
        <w:t xml:space="preserve"> ואח"כ עשה את הארון ואת הכפורת ש</w:t>
      </w:r>
      <w:r w:rsidR="007F0EBA">
        <w:rPr>
          <w:rFonts w:hint="cs"/>
          <w:rtl/>
          <w:lang w:eastAsia="en-US"/>
        </w:rPr>
        <w:t>ת</w:t>
      </w:r>
      <w:r>
        <w:rPr>
          <w:rtl/>
          <w:lang w:eastAsia="en-US"/>
        </w:rPr>
        <w:t>הא נית</w:t>
      </w:r>
      <w:r w:rsidR="007F0EBA">
        <w:rPr>
          <w:rFonts w:hint="cs"/>
          <w:rtl/>
          <w:lang w:eastAsia="en-US"/>
        </w:rPr>
        <w:t>נת</w:t>
      </w:r>
      <w:r>
        <w:rPr>
          <w:rtl/>
          <w:lang w:eastAsia="en-US"/>
        </w:rPr>
        <w:t xml:space="preserve"> על הארון</w:t>
      </w:r>
      <w:r w:rsidR="007F0EBA">
        <w:rPr>
          <w:rFonts w:hint="cs"/>
          <w:rtl/>
          <w:lang w:eastAsia="en-US"/>
        </w:rPr>
        <w:t>.</w:t>
      </w:r>
      <w:r w:rsidR="007F0EBA">
        <w:rPr>
          <w:rStyle w:val="a5"/>
          <w:rtl/>
          <w:lang w:eastAsia="en-US"/>
        </w:rPr>
        <w:footnoteReference w:id="7"/>
      </w:r>
      <w:r>
        <w:rPr>
          <w:rtl/>
          <w:lang w:eastAsia="en-US"/>
        </w:rPr>
        <w:t xml:space="preserve"> א"ר אלעזר ב"ר יוסי</w:t>
      </w:r>
      <w:r w:rsidR="00A32A80">
        <w:rPr>
          <w:rFonts w:hint="cs"/>
          <w:rtl/>
          <w:lang w:eastAsia="en-US"/>
        </w:rPr>
        <w:t>:</w:t>
      </w:r>
      <w:r>
        <w:rPr>
          <w:rtl/>
          <w:lang w:eastAsia="en-US"/>
        </w:rPr>
        <w:t xml:space="preserve"> אני ראיתי את הפרוכת ברומי והיו עליה כמה טיפי דמים ושאלתי ואמרו לי מדם יום הכפורים שהיה כהן עושה</w:t>
      </w:r>
      <w:r w:rsidR="00A32A80">
        <w:rPr>
          <w:rFonts w:hint="cs"/>
          <w:rtl/>
          <w:lang w:eastAsia="en-US"/>
        </w:rPr>
        <w:t>.</w:t>
      </w:r>
      <w:r w:rsidR="00A06A6E">
        <w:rPr>
          <w:rStyle w:val="a5"/>
          <w:rtl/>
          <w:lang w:eastAsia="en-US"/>
        </w:rPr>
        <w:footnoteReference w:id="8"/>
      </w:r>
    </w:p>
    <w:p w:rsidR="00D172FD" w:rsidRDefault="00D172FD" w:rsidP="00E4365C">
      <w:pPr>
        <w:pStyle w:val="ab"/>
        <w:rPr>
          <w:rtl/>
          <w:lang w:eastAsia="en-US"/>
        </w:rPr>
      </w:pPr>
      <w:r>
        <w:rPr>
          <w:rtl/>
          <w:lang w:eastAsia="en-US"/>
        </w:rPr>
        <w:lastRenderedPageBreak/>
        <w:t>במדבר רבה פרשת נשא פרשה יב</w:t>
      </w:r>
      <w:r w:rsidR="00E4365C">
        <w:rPr>
          <w:rFonts w:hint="cs"/>
          <w:rtl/>
          <w:lang w:eastAsia="en-US"/>
        </w:rPr>
        <w:t xml:space="preserve"> סימן ד</w:t>
      </w:r>
      <w:r>
        <w:rPr>
          <w:rtl/>
          <w:lang w:eastAsia="en-US"/>
        </w:rPr>
        <w:t xml:space="preserve"> </w:t>
      </w:r>
    </w:p>
    <w:p w:rsidR="00D172FD" w:rsidRDefault="00E4365C" w:rsidP="00E4365C">
      <w:pPr>
        <w:pStyle w:val="ac"/>
        <w:rPr>
          <w:rFonts w:hint="cs"/>
          <w:rtl/>
          <w:lang w:eastAsia="en-US"/>
        </w:rPr>
      </w:pPr>
      <w:r>
        <w:rPr>
          <w:rFonts w:hint="cs"/>
          <w:rtl/>
          <w:lang w:eastAsia="en-US"/>
        </w:rPr>
        <w:t>"</w:t>
      </w:r>
      <w:r w:rsidR="00D172FD">
        <w:rPr>
          <w:rtl/>
          <w:lang w:eastAsia="en-US"/>
        </w:rPr>
        <w:t xml:space="preserve">ויעשו את הפרוכת תכלת וארגמן כרמיל ובוץ </w:t>
      </w:r>
      <w:r>
        <w:rPr>
          <w:rFonts w:hint="cs"/>
          <w:rtl/>
          <w:lang w:eastAsia="en-US"/>
        </w:rPr>
        <w:t xml:space="preserve">ויעל עליו כרובים" (דברי הימים ב ג יד) - </w:t>
      </w:r>
      <w:r w:rsidR="00D172FD">
        <w:rPr>
          <w:rtl/>
          <w:lang w:eastAsia="en-US"/>
        </w:rPr>
        <w:t>לפי שארגמן חשוב שבכולן שהוא לבוש מלכות</w:t>
      </w:r>
      <w:r>
        <w:rPr>
          <w:rFonts w:hint="cs"/>
          <w:rtl/>
          <w:lang w:eastAsia="en-US"/>
        </w:rPr>
        <w:t xml:space="preserve">, </w:t>
      </w:r>
      <w:r w:rsidR="00D172FD">
        <w:rPr>
          <w:rtl/>
          <w:lang w:eastAsia="en-US"/>
        </w:rPr>
        <w:t xml:space="preserve">כמה </w:t>
      </w:r>
      <w:r>
        <w:rPr>
          <w:rFonts w:hint="cs"/>
          <w:rtl/>
          <w:lang w:eastAsia="en-US"/>
        </w:rPr>
        <w:t>שאתה אומר: "</w:t>
      </w:r>
      <w:r>
        <w:rPr>
          <w:rtl/>
          <w:lang w:eastAsia="en-US"/>
        </w:rPr>
        <w:t>ארגוונא ילבש</w:t>
      </w:r>
      <w:r>
        <w:rPr>
          <w:rFonts w:hint="cs"/>
          <w:rtl/>
          <w:lang w:eastAsia="en-US"/>
        </w:rPr>
        <w:t xml:space="preserve">" </w:t>
      </w:r>
      <w:r w:rsidR="00D172FD">
        <w:rPr>
          <w:rtl/>
          <w:lang w:eastAsia="en-US"/>
        </w:rPr>
        <w:t>(דניאל ה</w:t>
      </w:r>
      <w:r>
        <w:rPr>
          <w:rFonts w:hint="cs"/>
          <w:rtl/>
          <w:lang w:eastAsia="en-US"/>
        </w:rPr>
        <w:t xml:space="preserve"> ז</w:t>
      </w:r>
      <w:r w:rsidR="00D172FD">
        <w:rPr>
          <w:rtl/>
          <w:lang w:eastAsia="en-US"/>
        </w:rPr>
        <w:t>)</w:t>
      </w:r>
      <w:r>
        <w:rPr>
          <w:rFonts w:hint="cs"/>
          <w:rtl/>
          <w:lang w:eastAsia="en-US"/>
        </w:rPr>
        <w:t>,</w:t>
      </w:r>
      <w:r w:rsidR="00D172FD">
        <w:rPr>
          <w:rtl/>
          <w:lang w:eastAsia="en-US"/>
        </w:rPr>
        <w:t xml:space="preserve"> לכן ח</w:t>
      </w:r>
      <w:r>
        <w:rPr>
          <w:rFonts w:hint="cs"/>
          <w:rtl/>
          <w:lang w:eastAsia="en-US"/>
        </w:rPr>
        <w:t>ו</w:t>
      </w:r>
      <w:r w:rsidR="00D172FD">
        <w:rPr>
          <w:rtl/>
          <w:lang w:eastAsia="en-US"/>
        </w:rPr>
        <w:t>שב</w:t>
      </w:r>
      <w:r>
        <w:rPr>
          <w:rFonts w:hint="cs"/>
          <w:rtl/>
          <w:lang w:eastAsia="en-US"/>
        </w:rPr>
        <w:t>ו</w:t>
      </w:r>
      <w:r w:rsidR="00D172FD">
        <w:rPr>
          <w:rtl/>
          <w:lang w:eastAsia="en-US"/>
        </w:rPr>
        <w:t xml:space="preserve"> </w:t>
      </w:r>
      <w:r>
        <w:rPr>
          <w:rFonts w:hint="cs"/>
          <w:rtl/>
          <w:lang w:eastAsia="en-US"/>
        </w:rPr>
        <w:t>לשלו.</w:t>
      </w:r>
      <w:r>
        <w:rPr>
          <w:rStyle w:val="a5"/>
          <w:rtl/>
          <w:lang w:eastAsia="en-US"/>
        </w:rPr>
        <w:footnoteReference w:id="9"/>
      </w:r>
    </w:p>
    <w:p w:rsidR="004413E0" w:rsidRDefault="00B8034C" w:rsidP="00794FC6">
      <w:pPr>
        <w:pStyle w:val="ab"/>
        <w:rPr>
          <w:rtl/>
          <w:lang w:eastAsia="en-US"/>
        </w:rPr>
      </w:pPr>
      <w:r>
        <w:rPr>
          <w:rFonts w:hint="cs"/>
          <w:rtl/>
          <w:lang w:eastAsia="en-US"/>
        </w:rPr>
        <w:t xml:space="preserve">משנה </w:t>
      </w:r>
      <w:r w:rsidR="004413E0">
        <w:rPr>
          <w:rtl/>
          <w:lang w:eastAsia="en-US"/>
        </w:rPr>
        <w:t>מסכת יומא פרק ה</w:t>
      </w:r>
      <w:r w:rsidR="00794FC6">
        <w:rPr>
          <w:rFonts w:hint="cs"/>
          <w:rtl/>
          <w:lang w:eastAsia="en-US"/>
        </w:rPr>
        <w:t xml:space="preserve"> משנה א</w:t>
      </w:r>
      <w:r w:rsidR="004413E0">
        <w:rPr>
          <w:rtl/>
          <w:lang w:eastAsia="en-US"/>
        </w:rPr>
        <w:t xml:space="preserve"> </w:t>
      </w:r>
    </w:p>
    <w:p w:rsidR="00D172FD" w:rsidRDefault="004413E0" w:rsidP="00B7620F">
      <w:pPr>
        <w:pStyle w:val="ac"/>
        <w:rPr>
          <w:rFonts w:hint="cs"/>
          <w:rtl/>
          <w:lang w:eastAsia="en-US"/>
        </w:rPr>
      </w:pPr>
      <w:r>
        <w:rPr>
          <w:rtl/>
          <w:lang w:eastAsia="en-US"/>
        </w:rPr>
        <w:t>נטל את המחתה בימינו ואת הכף בשמאלו</w:t>
      </w:r>
      <w:r w:rsidR="00B7620F">
        <w:rPr>
          <w:rFonts w:hint="cs"/>
          <w:rtl/>
          <w:lang w:eastAsia="en-US"/>
        </w:rPr>
        <w:t>.</w:t>
      </w:r>
      <w:r>
        <w:rPr>
          <w:rtl/>
          <w:lang w:eastAsia="en-US"/>
        </w:rPr>
        <w:t xml:space="preserve"> היה מהלך בהיכל</w:t>
      </w:r>
      <w:r w:rsidR="00B7620F">
        <w:rPr>
          <w:rFonts w:hint="cs"/>
          <w:rtl/>
          <w:lang w:eastAsia="en-US"/>
        </w:rPr>
        <w:t>,</w:t>
      </w:r>
      <w:r>
        <w:rPr>
          <w:rtl/>
          <w:lang w:eastAsia="en-US"/>
        </w:rPr>
        <w:t xml:space="preserve"> עד שמגיע לבין שתי הפרוכ</w:t>
      </w:r>
      <w:r w:rsidR="00B7620F">
        <w:rPr>
          <w:rFonts w:hint="cs"/>
          <w:rtl/>
          <w:lang w:eastAsia="en-US"/>
        </w:rPr>
        <w:t>ו</w:t>
      </w:r>
      <w:r>
        <w:rPr>
          <w:rtl/>
          <w:lang w:eastAsia="en-US"/>
        </w:rPr>
        <w:t>ת המבדילות בין הקדש ובין קדש הקדשים</w:t>
      </w:r>
      <w:r w:rsidR="00B7620F">
        <w:rPr>
          <w:rFonts w:hint="cs"/>
          <w:rtl/>
          <w:lang w:eastAsia="en-US"/>
        </w:rPr>
        <w:t>,</w:t>
      </w:r>
      <w:r>
        <w:rPr>
          <w:rtl/>
          <w:lang w:eastAsia="en-US"/>
        </w:rPr>
        <w:t xml:space="preserve"> וביניהן אמה</w:t>
      </w:r>
      <w:r w:rsidR="00B7620F">
        <w:rPr>
          <w:rFonts w:hint="cs"/>
          <w:rtl/>
          <w:lang w:eastAsia="en-US"/>
        </w:rPr>
        <w:t>.</w:t>
      </w:r>
      <w:r>
        <w:rPr>
          <w:rtl/>
          <w:lang w:eastAsia="en-US"/>
        </w:rPr>
        <w:t xml:space="preserve"> ר' יוסי אומר</w:t>
      </w:r>
      <w:r w:rsidR="00B7620F">
        <w:rPr>
          <w:rFonts w:hint="cs"/>
          <w:rtl/>
          <w:lang w:eastAsia="en-US"/>
        </w:rPr>
        <w:t>:</w:t>
      </w:r>
      <w:r>
        <w:rPr>
          <w:rtl/>
          <w:lang w:eastAsia="en-US"/>
        </w:rPr>
        <w:t xml:space="preserve"> לא היתה שם אלא פרוכת אחת בלבד</w:t>
      </w:r>
      <w:r w:rsidR="00B7620F">
        <w:rPr>
          <w:rFonts w:hint="cs"/>
          <w:rtl/>
          <w:lang w:eastAsia="en-US"/>
        </w:rPr>
        <w:t>,</w:t>
      </w:r>
      <w:r>
        <w:rPr>
          <w:rtl/>
          <w:lang w:eastAsia="en-US"/>
        </w:rPr>
        <w:t xml:space="preserve"> שנאמר</w:t>
      </w:r>
      <w:r w:rsidR="00B7620F">
        <w:rPr>
          <w:rFonts w:hint="cs"/>
          <w:rtl/>
          <w:lang w:eastAsia="en-US"/>
        </w:rPr>
        <w:t>: "</w:t>
      </w:r>
      <w:r>
        <w:rPr>
          <w:rtl/>
          <w:lang w:eastAsia="en-US"/>
        </w:rPr>
        <w:t>והבדילה הפרוכת לכם בין הקדש ובין קדש הקדשים</w:t>
      </w:r>
      <w:r w:rsidR="00B7620F">
        <w:rPr>
          <w:rFonts w:hint="cs"/>
          <w:rtl/>
          <w:lang w:eastAsia="en-US"/>
        </w:rPr>
        <w:t xml:space="preserve">" </w:t>
      </w:r>
      <w:r w:rsidR="00B7620F">
        <w:rPr>
          <w:rtl/>
          <w:lang w:eastAsia="en-US"/>
        </w:rPr>
        <w:t>(שמות כו</w:t>
      </w:r>
      <w:r w:rsidR="00B7620F">
        <w:rPr>
          <w:rFonts w:hint="cs"/>
          <w:rtl/>
          <w:lang w:eastAsia="en-US"/>
        </w:rPr>
        <w:t xml:space="preserve"> לג</w:t>
      </w:r>
      <w:r w:rsidR="00B7620F">
        <w:rPr>
          <w:rtl/>
          <w:lang w:eastAsia="en-US"/>
        </w:rPr>
        <w:t>)</w:t>
      </w:r>
      <w:r w:rsidR="00B7620F">
        <w:rPr>
          <w:rFonts w:hint="cs"/>
          <w:rtl/>
          <w:lang w:eastAsia="en-US"/>
        </w:rPr>
        <w:t>.</w:t>
      </w:r>
      <w:r>
        <w:rPr>
          <w:rtl/>
          <w:lang w:eastAsia="en-US"/>
        </w:rPr>
        <w:t xml:space="preserve"> החיצונה היתה פרופה מן הדרום והפנימית מן הצפון</w:t>
      </w:r>
      <w:r w:rsidR="00B7620F">
        <w:rPr>
          <w:rFonts w:hint="cs"/>
          <w:rtl/>
          <w:lang w:eastAsia="en-US"/>
        </w:rPr>
        <w:t>.</w:t>
      </w:r>
      <w:r>
        <w:rPr>
          <w:rtl/>
          <w:lang w:eastAsia="en-US"/>
        </w:rPr>
        <w:t xml:space="preserve"> מהלך ביניהן עד שמגיע לצפון</w:t>
      </w:r>
      <w:r w:rsidR="00B7620F">
        <w:rPr>
          <w:rFonts w:hint="cs"/>
          <w:rtl/>
          <w:lang w:eastAsia="en-US"/>
        </w:rPr>
        <w:t>.</w:t>
      </w:r>
      <w:r>
        <w:rPr>
          <w:rtl/>
          <w:lang w:eastAsia="en-US"/>
        </w:rPr>
        <w:t xml:space="preserve"> הגיע לצפון הופך פניו לדרום</w:t>
      </w:r>
      <w:r w:rsidR="00B7620F">
        <w:rPr>
          <w:rFonts w:hint="cs"/>
          <w:rtl/>
          <w:lang w:eastAsia="en-US"/>
        </w:rPr>
        <w:t>,</w:t>
      </w:r>
      <w:r>
        <w:rPr>
          <w:rtl/>
          <w:lang w:eastAsia="en-US"/>
        </w:rPr>
        <w:t xml:space="preserve"> מהלך לשמאלו עם הפרוכת עד שהוא מגיע לארון</w:t>
      </w:r>
      <w:r w:rsidR="00B7620F">
        <w:rPr>
          <w:rFonts w:hint="cs"/>
          <w:rtl/>
          <w:lang w:eastAsia="en-US"/>
        </w:rPr>
        <w:t>.</w:t>
      </w:r>
      <w:r>
        <w:rPr>
          <w:rtl/>
          <w:lang w:eastAsia="en-US"/>
        </w:rPr>
        <w:t xml:space="preserve"> הגיע לארון</w:t>
      </w:r>
      <w:r w:rsidR="00B7620F">
        <w:rPr>
          <w:rFonts w:hint="cs"/>
          <w:rtl/>
          <w:lang w:eastAsia="en-US"/>
        </w:rPr>
        <w:t>,</w:t>
      </w:r>
      <w:r>
        <w:rPr>
          <w:rtl/>
          <w:lang w:eastAsia="en-US"/>
        </w:rPr>
        <w:t xml:space="preserve"> נותן את המחתה בין שני הבדים</w:t>
      </w:r>
      <w:r w:rsidR="00B7620F">
        <w:rPr>
          <w:rFonts w:hint="cs"/>
          <w:rtl/>
          <w:lang w:eastAsia="en-US"/>
        </w:rPr>
        <w:t>.</w:t>
      </w:r>
      <w:r>
        <w:rPr>
          <w:rtl/>
          <w:lang w:eastAsia="en-US"/>
        </w:rPr>
        <w:t xml:space="preserve"> צבר את הקטורת על גבי גחלים ונתמלא כל הבית כולו עשן</w:t>
      </w:r>
      <w:r w:rsidR="00B7620F">
        <w:rPr>
          <w:rFonts w:hint="cs"/>
          <w:rtl/>
          <w:lang w:eastAsia="en-US"/>
        </w:rPr>
        <w:t xml:space="preserve"> ..</w:t>
      </w:r>
      <w:r w:rsidR="000233BF">
        <w:rPr>
          <w:rFonts w:hint="cs"/>
          <w:rtl/>
          <w:lang w:eastAsia="en-US"/>
        </w:rPr>
        <w:t>.</w:t>
      </w:r>
      <w:r w:rsidR="00B7620F">
        <w:rPr>
          <w:rStyle w:val="a5"/>
          <w:rtl/>
          <w:lang w:eastAsia="en-US"/>
        </w:rPr>
        <w:footnoteReference w:id="10"/>
      </w:r>
    </w:p>
    <w:p w:rsidR="0027733B" w:rsidRDefault="0027733B" w:rsidP="00F065CC">
      <w:pPr>
        <w:pStyle w:val="ab"/>
        <w:rPr>
          <w:rtl/>
          <w:lang w:eastAsia="en-US"/>
        </w:rPr>
      </w:pPr>
      <w:r>
        <w:rPr>
          <w:rtl/>
          <w:lang w:eastAsia="en-US"/>
        </w:rPr>
        <w:t xml:space="preserve">מסכת יומא דף נב עמוד ב </w:t>
      </w:r>
    </w:p>
    <w:p w:rsidR="0027733B" w:rsidRDefault="0027733B" w:rsidP="00F065CC">
      <w:pPr>
        <w:pStyle w:val="ac"/>
        <w:rPr>
          <w:rFonts w:hint="cs"/>
          <w:rtl/>
          <w:lang w:eastAsia="en-US"/>
        </w:rPr>
      </w:pPr>
      <w:r>
        <w:rPr>
          <w:rtl/>
          <w:lang w:eastAsia="en-US"/>
        </w:rPr>
        <w:t>במאי עסקינן? אילימא במקדש ראשון - מי הוו פרוכת? אלא במקדש שני - מי הוה ארון? והתניא: משנגנז ארון נגנזה עמו צנצנת המן, וצלוחית שמן המשחה, ומקלו של אהרן ושקדיה ופרחיה</w:t>
      </w:r>
      <w:r w:rsidR="00F065CC">
        <w:rPr>
          <w:rFonts w:hint="cs"/>
          <w:rtl/>
          <w:lang w:eastAsia="en-US"/>
        </w:rPr>
        <w:t xml:space="preserve"> ...</w:t>
      </w:r>
      <w:r>
        <w:rPr>
          <w:rtl/>
          <w:lang w:eastAsia="en-US"/>
        </w:rPr>
        <w:t xml:space="preserve"> ומי גנזו - יאשיהו גנזו</w:t>
      </w:r>
      <w:r w:rsidR="00F065CC">
        <w:rPr>
          <w:rFonts w:hint="cs"/>
          <w:rtl/>
          <w:lang w:eastAsia="en-US"/>
        </w:rPr>
        <w:t xml:space="preserve"> ...</w:t>
      </w:r>
      <w:r w:rsidR="00F22879">
        <w:rPr>
          <w:rStyle w:val="a5"/>
          <w:rtl/>
          <w:lang w:eastAsia="en-US"/>
        </w:rPr>
        <w:footnoteReference w:id="11"/>
      </w:r>
      <w:r>
        <w:rPr>
          <w:rtl/>
          <w:lang w:eastAsia="en-US"/>
        </w:rPr>
        <w:t xml:space="preserve"> - לעולם במקדש שני, ומאי הגיע לארון - מקום ארון.</w:t>
      </w:r>
      <w:r w:rsidR="00B8034C">
        <w:rPr>
          <w:rStyle w:val="a5"/>
          <w:rtl/>
          <w:lang w:eastAsia="en-US"/>
        </w:rPr>
        <w:footnoteReference w:id="12"/>
      </w:r>
    </w:p>
    <w:p w:rsidR="009219AF" w:rsidRDefault="009219AF" w:rsidP="009219AF">
      <w:pPr>
        <w:pStyle w:val="ab"/>
        <w:rPr>
          <w:rtl/>
          <w:lang w:eastAsia="en-US"/>
        </w:rPr>
      </w:pPr>
      <w:r>
        <w:rPr>
          <w:rtl/>
          <w:lang w:eastAsia="en-US"/>
        </w:rPr>
        <w:t xml:space="preserve">מסכת יומא דף נד עמוד א </w:t>
      </w:r>
    </w:p>
    <w:p w:rsidR="00DD712E" w:rsidRDefault="009219AF" w:rsidP="00DB6E48">
      <w:pPr>
        <w:pStyle w:val="ac"/>
        <w:rPr>
          <w:rFonts w:hint="cs"/>
          <w:rtl/>
          <w:lang w:eastAsia="en-US"/>
        </w:rPr>
      </w:pPr>
      <w:r>
        <w:rPr>
          <w:rtl/>
          <w:lang w:eastAsia="en-US"/>
        </w:rPr>
        <w:t>אמר רב קטינא: בשעה שהיו ישראל עולין לרגל מגללין להם את הפרוכת, ומראין להם את הכרובים שהיו מעורים זה בזה, ואומרים להן: ראו ח</w:t>
      </w:r>
      <w:r>
        <w:rPr>
          <w:rFonts w:hint="cs"/>
          <w:rtl/>
          <w:lang w:eastAsia="en-US"/>
        </w:rPr>
        <w:t>י</w:t>
      </w:r>
      <w:r>
        <w:rPr>
          <w:rtl/>
          <w:lang w:eastAsia="en-US"/>
        </w:rPr>
        <w:t>בתכם לפני המקום כח</w:t>
      </w:r>
      <w:r>
        <w:rPr>
          <w:rFonts w:hint="cs"/>
          <w:rtl/>
          <w:lang w:eastAsia="en-US"/>
        </w:rPr>
        <w:t>י</w:t>
      </w:r>
      <w:r>
        <w:rPr>
          <w:rtl/>
          <w:lang w:eastAsia="en-US"/>
        </w:rPr>
        <w:t xml:space="preserve">בת זכר ונקבה. </w:t>
      </w:r>
      <w:r w:rsidR="00DB6E48">
        <w:rPr>
          <w:rFonts w:hint="cs"/>
          <w:rtl/>
          <w:lang w:eastAsia="en-US"/>
        </w:rPr>
        <w:t>...</w:t>
      </w:r>
      <w:r w:rsidR="00DB6E48">
        <w:rPr>
          <w:rStyle w:val="a5"/>
          <w:rtl/>
          <w:lang w:eastAsia="en-US"/>
        </w:rPr>
        <w:footnoteReference w:id="13"/>
      </w:r>
      <w:r>
        <w:rPr>
          <w:rtl/>
          <w:lang w:eastAsia="en-US"/>
        </w:rPr>
        <w:t xml:space="preserve"> במאי עסקינן? אי נימא במקדש ראשון - מי הואי פרוכת? אלא במקדש שני - מי הוו כרובים?</w:t>
      </w:r>
      <w:r w:rsidR="007E2DDE">
        <w:rPr>
          <w:rStyle w:val="a5"/>
          <w:rtl/>
          <w:lang w:eastAsia="en-US"/>
        </w:rPr>
        <w:footnoteReference w:id="14"/>
      </w:r>
      <w:r>
        <w:rPr>
          <w:rtl/>
          <w:lang w:eastAsia="en-US"/>
        </w:rPr>
        <w:t xml:space="preserve"> - לעולם במקדש ראשון, ומאי פרוכת - פרוכת דבבי.</w:t>
      </w:r>
      <w:r w:rsidR="00DD712E">
        <w:rPr>
          <w:rStyle w:val="a5"/>
          <w:rtl/>
          <w:lang w:eastAsia="en-US"/>
        </w:rPr>
        <w:footnoteReference w:id="15"/>
      </w:r>
      <w:r>
        <w:rPr>
          <w:rtl/>
          <w:lang w:eastAsia="en-US"/>
        </w:rPr>
        <w:t xml:space="preserve"> דאמר רבי זירא אמר רב: שלשה עשר פרוכות היו במקדש, שבעה כנגד שבעה שערים, שתים אחת לפתחו של היכל ואחת לפתחו של אולם, שתים בדביר, ושתים כנגדן בעליה.</w:t>
      </w:r>
      <w:r w:rsidR="00DD712E">
        <w:rPr>
          <w:rStyle w:val="a5"/>
          <w:rtl/>
          <w:lang w:eastAsia="en-US"/>
        </w:rPr>
        <w:footnoteReference w:id="16"/>
      </w:r>
      <w:r>
        <w:rPr>
          <w:rtl/>
          <w:lang w:eastAsia="en-US"/>
        </w:rPr>
        <w:t xml:space="preserve"> </w:t>
      </w:r>
    </w:p>
    <w:p w:rsidR="009219AF" w:rsidRDefault="009219AF" w:rsidP="00DB6E48">
      <w:pPr>
        <w:pStyle w:val="ac"/>
        <w:rPr>
          <w:rFonts w:hint="cs"/>
          <w:rtl/>
          <w:lang w:eastAsia="en-US"/>
        </w:rPr>
      </w:pPr>
      <w:r>
        <w:rPr>
          <w:rtl/>
          <w:lang w:eastAsia="en-US"/>
        </w:rPr>
        <w:lastRenderedPageBreak/>
        <w:t>רב אחא בר יעקב אמר: לעולם במקדש שני, וכרובים דצורתא הוו קיימי.</w:t>
      </w:r>
      <w:r w:rsidR="000E0FF0">
        <w:rPr>
          <w:rStyle w:val="a5"/>
          <w:rtl/>
          <w:lang w:eastAsia="en-US"/>
        </w:rPr>
        <w:footnoteReference w:id="17"/>
      </w:r>
    </w:p>
    <w:p w:rsidR="00C31394" w:rsidRDefault="00C31394" w:rsidP="00681B83">
      <w:pPr>
        <w:pStyle w:val="ab"/>
        <w:rPr>
          <w:rtl/>
          <w:lang w:eastAsia="en-US"/>
        </w:rPr>
      </w:pPr>
      <w:r>
        <w:rPr>
          <w:rtl/>
          <w:lang w:eastAsia="en-US"/>
        </w:rPr>
        <w:t xml:space="preserve">מסכת גיטין דף נו עמוד ב </w:t>
      </w:r>
    </w:p>
    <w:p w:rsidR="00C31394" w:rsidRDefault="00681B83" w:rsidP="00681B83">
      <w:pPr>
        <w:pStyle w:val="ac"/>
        <w:rPr>
          <w:rFonts w:hint="cs"/>
          <w:rtl/>
          <w:lang w:eastAsia="en-US"/>
        </w:rPr>
      </w:pPr>
      <w:r>
        <w:rPr>
          <w:rFonts w:hint="cs"/>
          <w:rtl/>
          <w:lang w:eastAsia="en-US"/>
        </w:rPr>
        <w:t>"</w:t>
      </w:r>
      <w:r w:rsidR="00C31394">
        <w:rPr>
          <w:rtl/>
          <w:lang w:eastAsia="en-US"/>
        </w:rPr>
        <w:t>ואמר אי אלהימו צור חסיו בו</w:t>
      </w:r>
      <w:r>
        <w:rPr>
          <w:rFonts w:hint="cs"/>
          <w:rtl/>
          <w:lang w:eastAsia="en-US"/>
        </w:rPr>
        <w:t>" (</w:t>
      </w:r>
      <w:r>
        <w:rPr>
          <w:rtl/>
          <w:lang w:eastAsia="en-US"/>
        </w:rPr>
        <w:t>דברים לב</w:t>
      </w:r>
      <w:r>
        <w:rPr>
          <w:rFonts w:hint="cs"/>
          <w:rtl/>
          <w:lang w:eastAsia="en-US"/>
        </w:rPr>
        <w:t xml:space="preserve">) </w:t>
      </w:r>
      <w:r w:rsidR="00C31394">
        <w:rPr>
          <w:rtl/>
          <w:lang w:eastAsia="en-US"/>
        </w:rPr>
        <w:t xml:space="preserve">- זה טיטוס הרשע שחירף וגידף כלפי מעלה. מה עשה? תפש זונה בידו ונכנס לבית קדשי הקדשים, והציע ספר תורה ועבר עליה עבירה, ונטל סייף וגידר את הפרוכת, ונעשה נס והיה דם מבצבץ ויוצא, וכסבור הרג את עצמו, שנאמר: </w:t>
      </w:r>
      <w:r>
        <w:rPr>
          <w:rFonts w:hint="cs"/>
          <w:rtl/>
          <w:lang w:eastAsia="en-US"/>
        </w:rPr>
        <w:t>"</w:t>
      </w:r>
      <w:r w:rsidR="00C31394">
        <w:rPr>
          <w:rtl/>
          <w:lang w:eastAsia="en-US"/>
        </w:rPr>
        <w:t>שאגו צורריך בקרב מועדיך שמו אותותם אותות</w:t>
      </w:r>
      <w:r>
        <w:rPr>
          <w:rFonts w:hint="cs"/>
          <w:rtl/>
          <w:lang w:eastAsia="en-US"/>
        </w:rPr>
        <w:t>" (</w:t>
      </w:r>
      <w:r>
        <w:rPr>
          <w:rtl/>
          <w:lang w:eastAsia="en-US"/>
        </w:rPr>
        <w:t>תהלים עד</w:t>
      </w:r>
      <w:r>
        <w:rPr>
          <w:rFonts w:hint="cs"/>
          <w:rtl/>
          <w:lang w:eastAsia="en-US"/>
        </w:rPr>
        <w:t>)</w:t>
      </w:r>
      <w:r w:rsidR="00C31394">
        <w:rPr>
          <w:rtl/>
          <w:lang w:eastAsia="en-US"/>
        </w:rPr>
        <w:t xml:space="preserve">. אבא חנן אומר: </w:t>
      </w:r>
      <w:r>
        <w:rPr>
          <w:rFonts w:hint="cs"/>
          <w:rtl/>
          <w:lang w:eastAsia="en-US"/>
        </w:rPr>
        <w:t>"</w:t>
      </w:r>
      <w:r w:rsidR="00C31394">
        <w:rPr>
          <w:rtl/>
          <w:lang w:eastAsia="en-US"/>
        </w:rPr>
        <w:t>מי כמוך חסין יה</w:t>
      </w:r>
      <w:r>
        <w:rPr>
          <w:rFonts w:hint="cs"/>
          <w:rtl/>
          <w:lang w:eastAsia="en-US"/>
        </w:rPr>
        <w:t>" (</w:t>
      </w:r>
      <w:r>
        <w:rPr>
          <w:rtl/>
          <w:lang w:eastAsia="en-US"/>
        </w:rPr>
        <w:t>תהלים פט</w:t>
      </w:r>
      <w:r>
        <w:rPr>
          <w:rFonts w:hint="cs"/>
          <w:rtl/>
          <w:lang w:eastAsia="en-US"/>
        </w:rPr>
        <w:t>)</w:t>
      </w:r>
      <w:r w:rsidR="00C31394">
        <w:rPr>
          <w:rtl/>
          <w:lang w:eastAsia="en-US"/>
        </w:rPr>
        <w:t xml:space="preserve"> - מי כמוך חסין וקשה, שאתה שומע ניאוצו וגידופו של אותו רשע ושותק.</w:t>
      </w:r>
      <w:r w:rsidR="00F4010F">
        <w:rPr>
          <w:rStyle w:val="a5"/>
          <w:rtl/>
          <w:lang w:eastAsia="en-US"/>
        </w:rPr>
        <w:footnoteReference w:id="18"/>
      </w:r>
      <w:r w:rsidR="00C31394">
        <w:rPr>
          <w:rtl/>
          <w:lang w:eastAsia="en-US"/>
        </w:rPr>
        <w:t xml:space="preserve"> דבי רבי ישמעאל תנא: </w:t>
      </w:r>
      <w:r>
        <w:rPr>
          <w:rFonts w:hint="cs"/>
          <w:rtl/>
          <w:lang w:eastAsia="en-US"/>
        </w:rPr>
        <w:t>"</w:t>
      </w:r>
      <w:r w:rsidR="00C31394">
        <w:rPr>
          <w:rtl/>
          <w:lang w:eastAsia="en-US"/>
        </w:rPr>
        <w:t>מי כמוכה באלים ה'</w:t>
      </w:r>
      <w:r>
        <w:rPr>
          <w:rFonts w:hint="cs"/>
          <w:rtl/>
          <w:lang w:eastAsia="en-US"/>
        </w:rPr>
        <w:t xml:space="preserve"> "</w:t>
      </w:r>
      <w:r w:rsidR="00C31394">
        <w:rPr>
          <w:rtl/>
          <w:lang w:eastAsia="en-US"/>
        </w:rPr>
        <w:t xml:space="preserve"> </w:t>
      </w:r>
      <w:r>
        <w:rPr>
          <w:rFonts w:hint="cs"/>
          <w:rtl/>
          <w:lang w:eastAsia="en-US"/>
        </w:rPr>
        <w:t>(</w:t>
      </w:r>
      <w:r>
        <w:rPr>
          <w:rtl/>
          <w:lang w:eastAsia="en-US"/>
        </w:rPr>
        <w:t>שמות טו</w:t>
      </w:r>
      <w:r>
        <w:rPr>
          <w:rFonts w:hint="cs"/>
          <w:rtl/>
          <w:lang w:eastAsia="en-US"/>
        </w:rPr>
        <w:t>)</w:t>
      </w:r>
      <w:r>
        <w:rPr>
          <w:rtl/>
          <w:lang w:eastAsia="en-US"/>
        </w:rPr>
        <w:t xml:space="preserve"> </w:t>
      </w:r>
      <w:r w:rsidR="00C31394">
        <w:rPr>
          <w:rtl/>
          <w:lang w:eastAsia="en-US"/>
        </w:rPr>
        <w:t>- מי כמוכה באלמים. מה עשה? נטל את הפרוכת ועשאו כמין גרגותני, והביא כל כלים שבמקדש והניחן בהן, והושיבן בספינה לילך להשתבח בעירו</w:t>
      </w:r>
      <w:r>
        <w:rPr>
          <w:rFonts w:hint="cs"/>
          <w:rtl/>
          <w:lang w:eastAsia="en-US"/>
        </w:rPr>
        <w:t>.</w:t>
      </w:r>
      <w:r w:rsidR="00AD4167">
        <w:rPr>
          <w:rStyle w:val="a5"/>
          <w:rtl/>
          <w:lang w:eastAsia="en-US"/>
        </w:rPr>
        <w:footnoteReference w:id="19"/>
      </w:r>
    </w:p>
    <w:p w:rsidR="00DA4089" w:rsidRPr="001E48C6" w:rsidRDefault="00DA4089" w:rsidP="00DA4089">
      <w:pPr>
        <w:pStyle w:val="ab"/>
        <w:rPr>
          <w:rtl/>
        </w:rPr>
      </w:pPr>
      <w:r w:rsidRPr="001E48C6">
        <w:rPr>
          <w:rtl/>
        </w:rPr>
        <w:t xml:space="preserve">אגדת בראשית (בובר) פרק פ </w:t>
      </w:r>
    </w:p>
    <w:p w:rsidR="00DA4089" w:rsidRDefault="000C1753" w:rsidP="00AA10D9">
      <w:pPr>
        <w:pStyle w:val="ac"/>
        <w:rPr>
          <w:rFonts w:hint="cs"/>
          <w:rtl/>
          <w:lang w:eastAsia="en-US"/>
        </w:rPr>
      </w:pPr>
      <w:r>
        <w:rPr>
          <w:rFonts w:hint="cs"/>
          <w:rtl/>
        </w:rPr>
        <w:t>"</w:t>
      </w:r>
      <w:r w:rsidR="00DA4089" w:rsidRPr="001E48C6">
        <w:rPr>
          <w:rtl/>
        </w:rPr>
        <w:t>כחוט השני שפתותיך</w:t>
      </w:r>
      <w:r>
        <w:rPr>
          <w:rFonts w:hint="cs"/>
          <w:rtl/>
        </w:rPr>
        <w:t>"</w:t>
      </w:r>
      <w:r w:rsidR="00AA10D9">
        <w:rPr>
          <w:rFonts w:hint="cs"/>
          <w:rtl/>
        </w:rPr>
        <w:t xml:space="preserve"> (שיר השירים ד ג)</w:t>
      </w:r>
      <w:r w:rsidR="00DA4089" w:rsidRPr="001E48C6">
        <w:rPr>
          <w:rtl/>
        </w:rPr>
        <w:t>, הייתם אומרים נעשה ונשמע, כחוט של פרוכת, שהיה מבדיל בין קודש לחול, כך הבדלתי אתכם מכל האומות</w:t>
      </w:r>
      <w:r w:rsidR="00681B83">
        <w:rPr>
          <w:rFonts w:hint="cs"/>
          <w:rtl/>
        </w:rPr>
        <w:t>.</w:t>
      </w:r>
      <w:r w:rsidR="00DA4089" w:rsidRPr="001E48C6">
        <w:rPr>
          <w:rtl/>
        </w:rPr>
        <w:t xml:space="preserve"> למה נמשלו ישראל בפרוכת</w:t>
      </w:r>
      <w:r w:rsidR="00681B83">
        <w:rPr>
          <w:rFonts w:hint="cs"/>
          <w:rtl/>
        </w:rPr>
        <w:t>?</w:t>
      </w:r>
      <w:r w:rsidR="00DA4089" w:rsidRPr="001E48C6">
        <w:rPr>
          <w:rtl/>
        </w:rPr>
        <w:t xml:space="preserve"> א"ר ברכיה</w:t>
      </w:r>
      <w:r>
        <w:rPr>
          <w:rFonts w:hint="cs"/>
          <w:rtl/>
        </w:rPr>
        <w:t>:</w:t>
      </w:r>
      <w:r w:rsidR="00DA4089" w:rsidRPr="001E48C6">
        <w:rPr>
          <w:rtl/>
        </w:rPr>
        <w:t xml:space="preserve"> שלא היה בכל כלי בית המקדש משובח מן הפרוכת, (וכך שנינו בפרק אחרון משקלים) ארבעים אמה היה ארכה, ועשרים רחבה, ארוגה על שבעים ושניים נימים, והחוט כפול לעשרים וארבעה, והכל מתאוין לראותה, והרואה אותה לא היה שבע הימנה, שלא היה צורה בעולם משובחת כמותה, ולא היתה צורה בעולם שלא הי</w:t>
      </w:r>
      <w:r w:rsidR="00AA10D9">
        <w:rPr>
          <w:rFonts w:hint="cs"/>
          <w:rtl/>
        </w:rPr>
        <w:t>ה</w:t>
      </w:r>
      <w:r w:rsidR="00DA4089" w:rsidRPr="001E48C6">
        <w:rPr>
          <w:rtl/>
        </w:rPr>
        <w:t xml:space="preserve"> עליה, שנאמר</w:t>
      </w:r>
      <w:r w:rsidR="00AA10D9">
        <w:rPr>
          <w:rFonts w:hint="cs"/>
          <w:rtl/>
        </w:rPr>
        <w:t>:</w:t>
      </w:r>
      <w:r w:rsidR="00DA4089" w:rsidRPr="001E48C6">
        <w:rPr>
          <w:rtl/>
        </w:rPr>
        <w:t xml:space="preserve"> מעשה חושב (שמות כו א), עשה אותם כרובי</w:t>
      </w:r>
      <w:r w:rsidR="00AA10D9">
        <w:rPr>
          <w:rFonts w:hint="cs"/>
          <w:rtl/>
        </w:rPr>
        <w:t>ם</w:t>
      </w:r>
      <w:r w:rsidR="00DA4089" w:rsidRPr="001E48C6">
        <w:rPr>
          <w:rtl/>
        </w:rPr>
        <w:t xml:space="preserve"> סדרין סדרין של צורות, כך הייתם לפני, כחוט השני שפתותיך.</w:t>
      </w:r>
      <w:r w:rsidR="00681B83">
        <w:rPr>
          <w:rStyle w:val="a5"/>
          <w:rtl/>
          <w:lang w:eastAsia="en-US"/>
        </w:rPr>
        <w:footnoteReference w:id="20"/>
      </w:r>
    </w:p>
    <w:p w:rsidR="000E4369" w:rsidRDefault="008E37CC" w:rsidP="000C1753">
      <w:pPr>
        <w:pStyle w:val="ad"/>
        <w:spacing w:before="240"/>
        <w:outlineLvl w:val="0"/>
        <w:rPr>
          <w:rFonts w:hint="cs"/>
          <w:rtl/>
        </w:rPr>
      </w:pPr>
      <w:r w:rsidRPr="0039207A">
        <w:rPr>
          <w:rtl/>
        </w:rPr>
        <w:t>שבת שלום</w:t>
      </w:r>
      <w:r w:rsidR="007A762C" w:rsidRPr="0039207A">
        <w:rPr>
          <w:rFonts w:hint="cs"/>
          <w:rtl/>
        </w:rPr>
        <w:t xml:space="preserve"> </w:t>
      </w:r>
    </w:p>
    <w:p w:rsidR="008E37CC" w:rsidRPr="0039207A" w:rsidRDefault="00230847" w:rsidP="000E4369">
      <w:pPr>
        <w:pStyle w:val="ad"/>
        <w:outlineLvl w:val="0"/>
        <w:rPr>
          <w:rFonts w:hint="cs"/>
          <w:rtl/>
        </w:rPr>
      </w:pPr>
      <w:r>
        <w:rPr>
          <w:rFonts w:hint="cs"/>
          <w:rtl/>
        </w:rPr>
        <w:t>ו</w:t>
      </w:r>
      <w:r w:rsidR="00B8034C">
        <w:rPr>
          <w:rFonts w:hint="cs"/>
          <w:rtl/>
        </w:rPr>
        <w:t>משנכנס אדר מרבים, בשמחה.</w:t>
      </w:r>
      <w:r w:rsidR="00B8034C">
        <w:rPr>
          <w:rStyle w:val="a5"/>
          <w:rtl/>
        </w:rPr>
        <w:footnoteReference w:id="21"/>
      </w:r>
    </w:p>
    <w:p w:rsidR="008E37CC" w:rsidRPr="0039207A" w:rsidRDefault="008E37CC" w:rsidP="00137928">
      <w:pPr>
        <w:pStyle w:val="ad"/>
        <w:outlineLvl w:val="0"/>
        <w:rPr>
          <w:rFonts w:hint="cs"/>
          <w:rtl/>
        </w:rPr>
      </w:pPr>
      <w:r w:rsidRPr="0039207A">
        <w:rPr>
          <w:rtl/>
        </w:rPr>
        <w:t>מחלקי המים</w:t>
      </w:r>
    </w:p>
    <w:p w:rsidR="001E48C6" w:rsidRPr="00230847" w:rsidRDefault="001F342E" w:rsidP="00681B83">
      <w:pPr>
        <w:pStyle w:val="ad"/>
        <w:spacing w:before="120" w:line="280" w:lineRule="atLeast"/>
        <w:outlineLvl w:val="0"/>
        <w:rPr>
          <w:szCs w:val="22"/>
        </w:rPr>
      </w:pPr>
      <w:r w:rsidRPr="0039207A">
        <w:rPr>
          <w:rFonts w:hint="cs"/>
          <w:b w:val="0"/>
          <w:bCs w:val="0"/>
          <w:szCs w:val="22"/>
          <w:rtl/>
        </w:rPr>
        <w:t>מים אחרונים:</w:t>
      </w:r>
      <w:r w:rsidR="00A4531B" w:rsidRPr="0039207A">
        <w:rPr>
          <w:rFonts w:hint="cs"/>
          <w:b w:val="0"/>
          <w:bCs w:val="0"/>
          <w:szCs w:val="22"/>
          <w:rtl/>
        </w:rPr>
        <w:t xml:space="preserve"> </w:t>
      </w:r>
      <w:r w:rsidR="00416EE9">
        <w:rPr>
          <w:rFonts w:hint="cs"/>
          <w:szCs w:val="22"/>
          <w:rtl/>
        </w:rPr>
        <w:t xml:space="preserve">ראה </w:t>
      </w:r>
      <w:hyperlink r:id="rId7" w:history="1">
        <w:r w:rsidR="00416EE9" w:rsidRPr="00416EE9">
          <w:rPr>
            <w:rStyle w:val="Hyperlink"/>
            <w:rFonts w:hint="cs"/>
            <w:szCs w:val="22"/>
            <w:rtl/>
          </w:rPr>
          <w:t>הסיפור האגדי על אד</w:t>
        </w:r>
        <w:r w:rsidR="00416EE9" w:rsidRPr="00416EE9">
          <w:rPr>
            <w:rStyle w:val="Hyperlink"/>
            <w:rFonts w:hint="cs"/>
            <w:szCs w:val="22"/>
            <w:rtl/>
          </w:rPr>
          <w:t>ר</w:t>
        </w:r>
        <w:r w:rsidR="00416EE9" w:rsidRPr="00416EE9">
          <w:rPr>
            <w:rStyle w:val="Hyperlink"/>
            <w:rFonts w:hint="cs"/>
            <w:szCs w:val="22"/>
            <w:rtl/>
          </w:rPr>
          <w:t>תו של נפוליאון</w:t>
        </w:r>
      </w:hyperlink>
      <w:r w:rsidR="00416EE9">
        <w:rPr>
          <w:rFonts w:hint="cs"/>
          <w:szCs w:val="22"/>
          <w:rtl/>
        </w:rPr>
        <w:t xml:space="preserve"> שהתגלגלה מערבות רוסיה המושלגת ונעשתה הפרוכת של בית כנסת החורבה בעיר העתיקה</w:t>
      </w:r>
      <w:r w:rsidR="002356A1">
        <w:rPr>
          <w:rFonts w:hint="cs"/>
          <w:szCs w:val="22"/>
          <w:rtl/>
        </w:rPr>
        <w:t xml:space="preserve"> של ירושלים</w:t>
      </w:r>
      <w:r w:rsidR="00416EE9">
        <w:rPr>
          <w:rFonts w:hint="cs"/>
          <w:szCs w:val="22"/>
          <w:rtl/>
        </w:rPr>
        <w:t>.</w:t>
      </w:r>
      <w:r w:rsidR="00724594">
        <w:rPr>
          <w:rFonts w:hint="cs"/>
          <w:szCs w:val="22"/>
          <w:rtl/>
        </w:rPr>
        <w:t xml:space="preserve"> הסיפור מופיע גם בספר חבלים של חיים באר</w:t>
      </w:r>
      <w:r w:rsidR="00097B15">
        <w:rPr>
          <w:rFonts w:hint="cs"/>
          <w:szCs w:val="22"/>
          <w:rtl/>
        </w:rPr>
        <w:t>, עמ' 26.</w:t>
      </w:r>
    </w:p>
    <w:sectPr w:rsidR="001E48C6" w:rsidRPr="00230847" w:rsidSect="000C1753">
      <w:headerReference w:type="default" r:id="rId8"/>
      <w:footerReference w:type="default" r:id="rId9"/>
      <w:headerReference w:type="first" r:id="rId10"/>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5A" w:rsidRDefault="00AE345A">
      <w:r>
        <w:separator/>
      </w:r>
    </w:p>
  </w:endnote>
  <w:endnote w:type="continuationSeparator" w:id="0">
    <w:p w:rsidR="00AE345A" w:rsidRDefault="00AE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D5841">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D5841">
      <w:rPr>
        <w:rStyle w:val="af3"/>
        <w:noProof/>
        <w:rtl/>
      </w:rPr>
      <w:t>3</w:t>
    </w:r>
    <w:r w:rsidRPr="00F8747C">
      <w:rPr>
        <w:rStyle w:val="af3"/>
      </w:rPr>
      <w:fldChar w:fldCharType="end"/>
    </w:r>
  </w:p>
  <w:p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5A" w:rsidRDefault="00AE345A">
      <w:pPr>
        <w:rPr>
          <w:lang w:eastAsia="en-US"/>
        </w:rPr>
      </w:pPr>
      <w:r>
        <w:separator/>
      </w:r>
    </w:p>
  </w:footnote>
  <w:footnote w:type="continuationSeparator" w:id="0">
    <w:p w:rsidR="00AE345A" w:rsidRDefault="00AE345A">
      <w:r>
        <w:continuationSeparator/>
      </w:r>
    </w:p>
  </w:footnote>
  <w:footnote w:id="1">
    <w:p w:rsidR="00723149" w:rsidRDefault="00723149">
      <w:pPr>
        <w:pStyle w:val="a3"/>
        <w:rPr>
          <w:rFonts w:hint="cs"/>
          <w:rtl/>
        </w:rPr>
      </w:pPr>
      <w:r>
        <w:rPr>
          <w:rStyle w:val="a5"/>
        </w:rPr>
        <w:footnoteRef/>
      </w:r>
      <w:r>
        <w:rPr>
          <w:rtl/>
        </w:rPr>
        <w:t xml:space="preserve"> </w:t>
      </w:r>
      <w:r>
        <w:rPr>
          <w:rFonts w:hint="cs"/>
          <w:rtl/>
        </w:rPr>
        <w:t xml:space="preserve">בפרשת תרומה מתוארת מלאכת המשכן מהפנים החוצה, מהארון, השולחן והמנורה אל מבנה המשכן קרשיו ויריעותיו (בניגוד לסדר שבפרשת ויקהל, ראה דברינו </w:t>
      </w:r>
      <w:hyperlink r:id="rId1" w:history="1">
        <w:r w:rsidRPr="000E4369">
          <w:rPr>
            <w:rStyle w:val="Hyperlink"/>
            <w:rFonts w:hint="cs"/>
            <w:rtl/>
          </w:rPr>
          <w:t>ארון קודם או משכן קודם</w:t>
        </w:r>
      </w:hyperlink>
      <w:r>
        <w:rPr>
          <w:rFonts w:hint="cs"/>
          <w:rtl/>
        </w:rPr>
        <w:t xml:space="preserve"> בפרשת ויקהל). אך דא עקא, שמשעה שלכאורה נשלמה המלאכה (נכון יותר הציווי על המלאכה), ככתוב בפסוק ל: "והקמות את המשכן כמשפטו אשר הוראית בהר", חוזרת התורה אל הקודש פנימה ומתארת את מעשה הפרוכת אשר הפרידה בין הקודש ובין קודש הקדשים. בין הארון (והכפורת והכרובים אשר עליו) ובין שאר הכלים: המנורה, השולחן ומזבח הזהב (</w:t>
      </w:r>
      <w:hyperlink r:id="rId2" w:history="1">
        <w:r w:rsidRPr="000E4369">
          <w:rPr>
            <w:rStyle w:val="Hyperlink"/>
            <w:rFonts w:hint="cs"/>
            <w:rtl/>
          </w:rPr>
          <w:t>מזבח הקטורת</w:t>
        </w:r>
      </w:hyperlink>
      <w:r>
        <w:rPr>
          <w:rFonts w:hint="cs"/>
          <w:rtl/>
        </w:rPr>
        <w:t xml:space="preserve"> המתואר בפרשת תצוה, ראה דברינו בנושא זה שם). מהי פרוכת זו? האם יש קשר בינה ובין הפרוכת שבבתי הכנסת שלנו?</w:t>
      </w:r>
    </w:p>
  </w:footnote>
  <w:footnote w:id="2">
    <w:p w:rsidR="00723149" w:rsidRDefault="00723149">
      <w:pPr>
        <w:pStyle w:val="a3"/>
        <w:rPr>
          <w:rFonts w:hint="cs"/>
          <w:rtl/>
        </w:rPr>
      </w:pPr>
      <w:r>
        <w:rPr>
          <w:rStyle w:val="a5"/>
        </w:rPr>
        <w:footnoteRef/>
      </w:r>
      <w:r>
        <w:rPr>
          <w:rtl/>
        </w:rPr>
        <w:t xml:space="preserve"> </w:t>
      </w:r>
      <w:r>
        <w:rPr>
          <w:rFonts w:hint="cs"/>
          <w:rtl/>
        </w:rPr>
        <w:t xml:space="preserve">כל האזכורים של הפרוכת במקרא, שכפי שאומר אבן עזרא היא מילה יחידאית, הם במעשי המשכן בפרשיות שבספר שמות, במעשי הקרבנות וציווי הכהנים שבספר ויקרא, בפרט סדר יום הכיפורים בפרשת אחרי מות, ובספר במדבר בתיאור המסעות ובציווי החוזר לכהנים בפרשת קרח לא להיכנס את הקודש (במדבר יח ז). משם ועד סוף המקרא לא מצאנו אזכור של הפרוכת, גם לא במקדש שלמה, שם בכלל מסופר ששלמה עשה דלתות בין הקודש וקודש הקדשים (הדביר) ככתוב: בספר </w:t>
      </w:r>
      <w:r>
        <w:rPr>
          <w:rtl/>
        </w:rPr>
        <w:t xml:space="preserve">מלכים א פרק ו </w:t>
      </w:r>
      <w:r>
        <w:rPr>
          <w:rFonts w:hint="cs"/>
          <w:rtl/>
        </w:rPr>
        <w:t>פסוק לב: "</w:t>
      </w:r>
      <w:r>
        <w:rPr>
          <w:rtl/>
        </w:rPr>
        <w:t>וּשְׁתֵּי דַּלְתוֹת עֲצֵי שֶׁמֶן וְקָלַע עֲלֵיהֶם מִקְלְעוֹת כְּרוּבִים וְתִמֹרוֹת וּפְטוּרֵי צִצִּים וְצִפָּה זָהָב וַיָּרֶד עַל הַכְּרוּבִים וְעַל הַתִּמֹרוֹת אֶת הַזָּהָב</w:t>
      </w:r>
      <w:r>
        <w:rPr>
          <w:rFonts w:hint="cs"/>
          <w:rtl/>
        </w:rPr>
        <w:t>". ועוד נידרש לפסוק זה בספר מלכים במהלך דברינו להלן.</w:t>
      </w:r>
    </w:p>
  </w:footnote>
  <w:footnote w:id="3">
    <w:p w:rsidR="0016281C" w:rsidRDefault="0016281C">
      <w:pPr>
        <w:pStyle w:val="a3"/>
        <w:rPr>
          <w:rFonts w:hint="cs"/>
          <w:rtl/>
        </w:rPr>
      </w:pPr>
      <w:r>
        <w:rPr>
          <w:rStyle w:val="a5"/>
        </w:rPr>
        <w:footnoteRef/>
      </w:r>
      <w:r>
        <w:rPr>
          <w:rtl/>
        </w:rPr>
        <w:t xml:space="preserve"> </w:t>
      </w:r>
      <w:r>
        <w:rPr>
          <w:rFonts w:hint="cs"/>
          <w:rtl/>
        </w:rPr>
        <w:t>ורשב"ם מבאר פשוט "פרוכת - הבדלה בין בית לבית". וראה גם פירוש אבן עזרא שעומד על ייחודה של מילה זו "שאין לה ריע חוץ מהקודש". ובאשר למילה פרגוד שרש"י מזכיר, ראה מצד אחד המשמעות הסימבולית-רוחנית, בסיפור על אלישע בן אבויה: "</w:t>
      </w:r>
      <w:r>
        <w:rPr>
          <w:rtl/>
        </w:rPr>
        <w:t>כבר שמעתי מאחורי הפרגוד: שובו בנים שובבים - חוץ מאחר</w:t>
      </w:r>
      <w:r>
        <w:rPr>
          <w:rFonts w:hint="cs"/>
          <w:rtl/>
        </w:rPr>
        <w:t>" (</w:t>
      </w:r>
      <w:r>
        <w:rPr>
          <w:rtl/>
        </w:rPr>
        <w:t>מסכת חגיגה טו א</w:t>
      </w:r>
      <w:r>
        <w:rPr>
          <w:rFonts w:hint="cs"/>
          <w:rtl/>
        </w:rPr>
        <w:t>) וכן ב</w:t>
      </w:r>
      <w:r>
        <w:rPr>
          <w:rtl/>
        </w:rPr>
        <w:t>מסכת בבא מציעא נט א</w:t>
      </w:r>
      <w:r>
        <w:rPr>
          <w:rFonts w:hint="cs"/>
          <w:rtl/>
        </w:rPr>
        <w:t>: "</w:t>
      </w:r>
      <w:r>
        <w:rPr>
          <w:rtl/>
        </w:rPr>
        <w:t>שלשה אין הפרגוד ננעל בפניהם: אונאה, וגזל, ועבודה זרה</w:t>
      </w:r>
      <w:r>
        <w:rPr>
          <w:rFonts w:hint="cs"/>
          <w:rtl/>
        </w:rPr>
        <w:t>"</w:t>
      </w:r>
      <w:r>
        <w:rPr>
          <w:rtl/>
        </w:rPr>
        <w:t>.</w:t>
      </w:r>
      <w:r>
        <w:rPr>
          <w:rFonts w:hint="cs"/>
          <w:rtl/>
        </w:rPr>
        <w:t xml:space="preserve"> מאידך, אם נחזור לעסקי בדים ולבוש, ראה פרגוד ככינוי למעיל או בגד עליון ב</w:t>
      </w:r>
      <w:r>
        <w:rPr>
          <w:rtl/>
        </w:rPr>
        <w:t>משנה שקלים פרק ג</w:t>
      </w:r>
      <w:r>
        <w:rPr>
          <w:rFonts w:hint="cs"/>
          <w:rtl/>
        </w:rPr>
        <w:t>: "</w:t>
      </w:r>
      <w:r>
        <w:rPr>
          <w:rtl/>
        </w:rPr>
        <w:t xml:space="preserve">אין התורם נכנס לא בפרגוד חפות ולא במנעל ולא בסנדל ולא בתפילין </w:t>
      </w:r>
      <w:r>
        <w:rPr>
          <w:rFonts w:hint="cs"/>
          <w:rtl/>
        </w:rPr>
        <w:t xml:space="preserve">וכו' ... </w:t>
      </w:r>
      <w:r>
        <w:rPr>
          <w:rtl/>
        </w:rPr>
        <w:t>שמא יעשיר ויאמרו מתרומת הלשכה העשיר</w:t>
      </w:r>
      <w:r>
        <w:rPr>
          <w:rFonts w:hint="cs"/>
          <w:rtl/>
        </w:rPr>
        <w:t xml:space="preserve">". וראה גם </w:t>
      </w:r>
      <w:r>
        <w:rPr>
          <w:rtl/>
        </w:rPr>
        <w:t xml:space="preserve">בראשית רבה פד </w:t>
      </w:r>
      <w:r>
        <w:rPr>
          <w:rFonts w:hint="cs"/>
          <w:rtl/>
        </w:rPr>
        <w:t>טז שכתונת הפסים של יוסף נקראת פרגוד: "</w:t>
      </w:r>
      <w:r>
        <w:rPr>
          <w:rtl/>
        </w:rPr>
        <w:t>ויפשיטו את יוסף זה הפינס, את כתנתו זה חלוק, את כתנת הפסים זה הפרגוד, אשר עליו זה פמלניא</w:t>
      </w:r>
      <w:r>
        <w:rPr>
          <w:rFonts w:hint="cs"/>
          <w:rtl/>
        </w:rPr>
        <w:t>"</w:t>
      </w:r>
      <w:r>
        <w:rPr>
          <w:rtl/>
        </w:rPr>
        <w:t>.</w:t>
      </w:r>
    </w:p>
  </w:footnote>
  <w:footnote w:id="4">
    <w:p w:rsidR="000E0FF0" w:rsidRDefault="000E0FF0" w:rsidP="000E0FF0">
      <w:pPr>
        <w:pStyle w:val="a3"/>
        <w:rPr>
          <w:rFonts w:hint="cs"/>
          <w:rtl/>
        </w:rPr>
      </w:pPr>
      <w:r>
        <w:rPr>
          <w:rStyle w:val="a5"/>
        </w:rPr>
        <w:footnoteRef/>
      </w:r>
      <w:r>
        <w:rPr>
          <w:rtl/>
        </w:rPr>
        <w:t xml:space="preserve"> </w:t>
      </w:r>
      <w:r>
        <w:rPr>
          <w:rFonts w:hint="cs"/>
          <w:rtl/>
        </w:rPr>
        <w:t>ראה הפסוק המלא, שמות לו ה: "</w:t>
      </w:r>
      <w:r>
        <w:rPr>
          <w:rtl/>
        </w:rPr>
        <w:t>וְעָשִׂיתָ פָרֹכֶת תְּכֵלֶת וְאַרְגָּמָן וְתוֹלַעַת שָׁנִי וְשֵׁשׁ מָשְׁזָר מַעֲשֵׂה חֹשֵׁב יַעֲשֶׂה אֹתָהּ כְּרֻבִים</w:t>
      </w:r>
      <w:r>
        <w:rPr>
          <w:rFonts w:hint="cs"/>
          <w:rtl/>
        </w:rPr>
        <w:t>".</w:t>
      </w:r>
    </w:p>
  </w:footnote>
  <w:footnote w:id="5">
    <w:p w:rsidR="000E0FF0" w:rsidRDefault="000E0FF0" w:rsidP="00AD4167">
      <w:pPr>
        <w:pStyle w:val="a3"/>
        <w:rPr>
          <w:rFonts w:hint="cs"/>
        </w:rPr>
      </w:pPr>
      <w:r>
        <w:rPr>
          <w:rStyle w:val="a5"/>
        </w:rPr>
        <w:footnoteRef/>
      </w:r>
      <w:r>
        <w:rPr>
          <w:rtl/>
        </w:rPr>
        <w:t xml:space="preserve"> </w:t>
      </w:r>
      <w:r>
        <w:rPr>
          <w:rFonts w:hint="cs"/>
          <w:rtl/>
        </w:rPr>
        <w:t xml:space="preserve">את </w:t>
      </w:r>
      <w:r w:rsidR="00E4365C">
        <w:rPr>
          <w:rFonts w:hint="cs"/>
          <w:rtl/>
        </w:rPr>
        <w:t xml:space="preserve">עניין </w:t>
      </w:r>
      <w:r>
        <w:rPr>
          <w:rFonts w:hint="cs"/>
          <w:rtl/>
        </w:rPr>
        <w:t>שתי הפרוכות, שהיו בבית שני, נראה להלן.</w:t>
      </w:r>
      <w:r w:rsidR="00E4365C">
        <w:rPr>
          <w:rFonts w:hint="cs"/>
          <w:rtl/>
        </w:rPr>
        <w:t xml:space="preserve"> להלן </w:t>
      </w:r>
      <w:r w:rsidR="00D06C96">
        <w:rPr>
          <w:rFonts w:hint="cs"/>
          <w:rtl/>
        </w:rPr>
        <w:t xml:space="preserve">גם </w:t>
      </w:r>
      <w:r w:rsidR="00E4365C">
        <w:rPr>
          <w:rFonts w:hint="cs"/>
          <w:rtl/>
        </w:rPr>
        <w:t xml:space="preserve">נראה שהיו מטהרים את הפרוכת אם נטמאה ואולי גם מתקנים אם התקלקלה, אבל כאן משמע שהיו עושים שתי פרוכות כל שנה בכל מקרה. </w:t>
      </w:r>
      <w:r w:rsidR="00AD4167">
        <w:rPr>
          <w:rFonts w:hint="cs"/>
          <w:rtl/>
        </w:rPr>
        <w:t xml:space="preserve">ראה </w:t>
      </w:r>
      <w:r w:rsidR="00AD4167">
        <w:rPr>
          <w:rtl/>
        </w:rPr>
        <w:t xml:space="preserve">תוספתא מסכת שקלים פרק ג </w:t>
      </w:r>
      <w:r w:rsidR="00AD4167">
        <w:rPr>
          <w:rFonts w:hint="cs"/>
          <w:rtl/>
        </w:rPr>
        <w:t>הלכה טו: "</w:t>
      </w:r>
      <w:r w:rsidR="00AD4167">
        <w:rPr>
          <w:rtl/>
        </w:rPr>
        <w:t>ר' חנינא בן אנטיגנוס או</w:t>
      </w:r>
      <w:r w:rsidR="00AD4167">
        <w:rPr>
          <w:rFonts w:hint="cs"/>
          <w:rtl/>
        </w:rPr>
        <w:t xml:space="preserve">מר: </w:t>
      </w:r>
      <w:r w:rsidR="00AD4167">
        <w:rPr>
          <w:rtl/>
        </w:rPr>
        <w:t>שתי פרכות היו שם</w:t>
      </w:r>
      <w:r w:rsidR="00AD4167">
        <w:rPr>
          <w:rFonts w:hint="cs"/>
          <w:rtl/>
        </w:rPr>
        <w:t>:</w:t>
      </w:r>
      <w:r w:rsidR="00AD4167">
        <w:rPr>
          <w:rtl/>
        </w:rPr>
        <w:t xml:space="preserve"> אחת פרוסה ואחת מקופלת</w:t>
      </w:r>
      <w:r w:rsidR="00AD4167">
        <w:rPr>
          <w:rFonts w:hint="cs"/>
          <w:rtl/>
        </w:rPr>
        <w:t>.</w:t>
      </w:r>
      <w:r w:rsidR="00AD4167">
        <w:rPr>
          <w:rtl/>
        </w:rPr>
        <w:t xml:space="preserve"> נטמאת פרוסה פורסין את המקופלת</w:t>
      </w:r>
      <w:r w:rsidR="00AD4167">
        <w:rPr>
          <w:rFonts w:hint="cs"/>
          <w:rtl/>
        </w:rPr>
        <w:t>.</w:t>
      </w:r>
      <w:r w:rsidR="00AD4167">
        <w:rPr>
          <w:rtl/>
        </w:rPr>
        <w:t xml:space="preserve"> מערב יום הכפורים מכניסין את החדשה ומוציאין את הישנה</w:t>
      </w:r>
      <w:r w:rsidR="00AD4167">
        <w:rPr>
          <w:rFonts w:hint="cs"/>
          <w:rtl/>
        </w:rPr>
        <w:t>".</w:t>
      </w:r>
      <w:r w:rsidR="00AD4167">
        <w:rPr>
          <w:rtl/>
        </w:rPr>
        <w:t xml:space="preserve"> </w:t>
      </w:r>
      <w:r w:rsidR="00AD4167">
        <w:rPr>
          <w:rFonts w:hint="cs"/>
          <w:rtl/>
        </w:rPr>
        <w:t>ו</w:t>
      </w:r>
      <w:r w:rsidR="00E4365C">
        <w:rPr>
          <w:rFonts w:hint="cs"/>
          <w:rtl/>
        </w:rPr>
        <w:t xml:space="preserve">ראה </w:t>
      </w:r>
      <w:r w:rsidR="00E4365C">
        <w:rPr>
          <w:rtl/>
        </w:rPr>
        <w:t xml:space="preserve">רמב"ם הלכות כלי המקדש פרק ז </w:t>
      </w:r>
      <w:r w:rsidR="00E4365C">
        <w:rPr>
          <w:rFonts w:hint="cs"/>
          <w:rtl/>
        </w:rPr>
        <w:t>הלכה טז: "</w:t>
      </w:r>
      <w:r w:rsidR="00E4365C">
        <w:rPr>
          <w:rtl/>
        </w:rPr>
        <w:t>ושתי פרוכות היו עושין בכל שנה להבדיל בין הקדש לקדש הקדשים</w:t>
      </w:r>
      <w:r w:rsidR="00E4365C">
        <w:rPr>
          <w:rFonts w:hint="cs"/>
          <w:rtl/>
        </w:rPr>
        <w:t>". הייתה עשייה רבה של מלאכת פרוכת במקדש, לא חד פעמית. ראה שם ברמב"ם וכן ב</w:t>
      </w:r>
      <w:r w:rsidR="00E4365C">
        <w:rPr>
          <w:rtl/>
        </w:rPr>
        <w:t xml:space="preserve">משנה מסכת שקלים פרק ה </w:t>
      </w:r>
      <w:r w:rsidR="00E4365C">
        <w:rPr>
          <w:rFonts w:hint="cs"/>
          <w:rtl/>
        </w:rPr>
        <w:t xml:space="preserve">משנה א רשימת כל הממונים שהיו במקדש: ... </w:t>
      </w:r>
      <w:r w:rsidR="00E4365C">
        <w:rPr>
          <w:rtl/>
        </w:rPr>
        <w:t>בן ארזה על הצלצל</w:t>
      </w:r>
      <w:r w:rsidR="00E4365C">
        <w:rPr>
          <w:rFonts w:hint="cs"/>
          <w:rtl/>
        </w:rPr>
        <w:t>,</w:t>
      </w:r>
      <w:r w:rsidR="00E4365C">
        <w:rPr>
          <w:rtl/>
        </w:rPr>
        <w:t xml:space="preserve"> הוגרס בן לוי על השיר</w:t>
      </w:r>
      <w:r w:rsidR="00E4365C">
        <w:rPr>
          <w:rFonts w:hint="cs"/>
          <w:rtl/>
        </w:rPr>
        <w:t>,</w:t>
      </w:r>
      <w:r w:rsidR="00E4365C">
        <w:rPr>
          <w:rtl/>
        </w:rPr>
        <w:t xml:space="preserve"> בית גרמו על מעשה לחם הפנים</w:t>
      </w:r>
      <w:r w:rsidR="00E4365C">
        <w:rPr>
          <w:rFonts w:hint="cs"/>
          <w:rtl/>
        </w:rPr>
        <w:t>,</w:t>
      </w:r>
      <w:r w:rsidR="00E4365C">
        <w:rPr>
          <w:rtl/>
        </w:rPr>
        <w:t xml:space="preserve"> בית אבטינס על מעשה הקטורת</w:t>
      </w:r>
      <w:r w:rsidR="00E4365C">
        <w:rPr>
          <w:rFonts w:hint="cs"/>
          <w:rtl/>
        </w:rPr>
        <w:t>.</w:t>
      </w:r>
      <w:r w:rsidR="00E4365C">
        <w:rPr>
          <w:rtl/>
        </w:rPr>
        <w:t xml:space="preserve"> אלעזר על הפרוכת ופנחס על המלבוש</w:t>
      </w:r>
      <w:r w:rsidR="00E4365C">
        <w:rPr>
          <w:rFonts w:hint="cs"/>
          <w:rtl/>
        </w:rPr>
        <w:t>".</w:t>
      </w:r>
      <w:r w:rsidR="00E4365C">
        <w:rPr>
          <w:rtl/>
        </w:rPr>
        <w:t xml:space="preserve"> </w:t>
      </w:r>
      <w:r w:rsidR="00E4365C">
        <w:rPr>
          <w:rFonts w:hint="cs"/>
          <w:rtl/>
        </w:rPr>
        <w:t xml:space="preserve"> </w:t>
      </w:r>
    </w:p>
  </w:footnote>
  <w:footnote w:id="6">
    <w:p w:rsidR="004A0E79" w:rsidRDefault="004A0E79" w:rsidP="00D06C96">
      <w:pPr>
        <w:pStyle w:val="a3"/>
        <w:rPr>
          <w:rFonts w:hint="cs"/>
          <w:rtl/>
        </w:rPr>
      </w:pPr>
      <w:r>
        <w:rPr>
          <w:rStyle w:val="a5"/>
        </w:rPr>
        <w:footnoteRef/>
      </w:r>
      <w:r>
        <w:rPr>
          <w:rtl/>
        </w:rPr>
        <w:t xml:space="preserve"> </w:t>
      </w:r>
      <w:r>
        <w:rPr>
          <w:rtl/>
        </w:rPr>
        <w:t>מסכת שקלים פרק ח משנה ה</w:t>
      </w:r>
      <w:r>
        <w:rPr>
          <w:rFonts w:hint="cs"/>
          <w:rtl/>
        </w:rPr>
        <w:t>: "</w:t>
      </w:r>
      <w:r>
        <w:rPr>
          <w:rtl/>
        </w:rPr>
        <w:t>רבן שמעון בן גמליאל אומר משום רבי שמעון בן הסגן</w:t>
      </w:r>
      <w:r>
        <w:rPr>
          <w:rFonts w:hint="cs"/>
          <w:rtl/>
        </w:rPr>
        <w:t>:</w:t>
      </w:r>
      <w:r>
        <w:rPr>
          <w:rtl/>
        </w:rPr>
        <w:t xml:space="preserve"> פרוכת עביה טפח ועל שבעים ושנים נימין נארגת ועל כל נימא ונימא עשרים וארבעה חוטין</w:t>
      </w:r>
      <w:r w:rsidR="00D06C96">
        <w:rPr>
          <w:rFonts w:hint="cs"/>
          <w:rtl/>
        </w:rPr>
        <w:t>.</w:t>
      </w:r>
      <w:r>
        <w:rPr>
          <w:rtl/>
        </w:rPr>
        <w:t xml:space="preserve"> א</w:t>
      </w:r>
      <w:r w:rsidR="00D06C96">
        <w:rPr>
          <w:rFonts w:hint="cs"/>
          <w:rtl/>
        </w:rPr>
        <w:t>ו</w:t>
      </w:r>
      <w:r>
        <w:rPr>
          <w:rtl/>
        </w:rPr>
        <w:t>רכה ארבעים אמה ורחבה עשרים אמה ומשמונים ושתי רבוא נעשית</w:t>
      </w:r>
      <w:r w:rsidR="00D06C96">
        <w:rPr>
          <w:rFonts w:hint="cs"/>
          <w:rtl/>
        </w:rPr>
        <w:t>.</w:t>
      </w:r>
      <w:r>
        <w:rPr>
          <w:rtl/>
        </w:rPr>
        <w:t xml:space="preserve"> ושתים עושין בכל שנה ושלש מאות כהנים מטבילין אותה</w:t>
      </w:r>
      <w:r>
        <w:rPr>
          <w:rFonts w:hint="cs"/>
          <w:rtl/>
        </w:rPr>
        <w:t xml:space="preserve">". </w:t>
      </w:r>
      <w:r w:rsidR="00E4365C">
        <w:rPr>
          <w:rFonts w:hint="cs"/>
          <w:rtl/>
        </w:rPr>
        <w:t>וכבר העירה על כך הגמרא בחולין צ ע"ב שזה אחד מלשונות הוואי (גוזמא) שנקטו חכמים</w:t>
      </w:r>
      <w:r w:rsidR="00D06C96">
        <w:rPr>
          <w:rFonts w:hint="cs"/>
          <w:rtl/>
        </w:rPr>
        <w:t>: "ב</w:t>
      </w:r>
      <w:r w:rsidR="00D06C96">
        <w:rPr>
          <w:rtl/>
        </w:rPr>
        <w:t>שלשה מקומות דברו חכמים לשון הואי, אלו הן: תפוח גפן ופרוכת</w:t>
      </w:r>
      <w:r w:rsidR="00D06C96">
        <w:rPr>
          <w:rFonts w:hint="cs"/>
          <w:rtl/>
        </w:rPr>
        <w:t xml:space="preserve">". </w:t>
      </w:r>
    </w:p>
  </w:footnote>
  <w:footnote w:id="7">
    <w:p w:rsidR="007F0EBA" w:rsidRDefault="007F0EBA">
      <w:pPr>
        <w:pStyle w:val="a3"/>
        <w:rPr>
          <w:rFonts w:hint="cs"/>
          <w:rtl/>
        </w:rPr>
      </w:pPr>
      <w:r>
        <w:rPr>
          <w:rStyle w:val="a5"/>
        </w:rPr>
        <w:footnoteRef/>
      </w:r>
      <w:r>
        <w:rPr>
          <w:rtl/>
        </w:rPr>
        <w:t xml:space="preserve"> </w:t>
      </w:r>
      <w:r>
        <w:rPr>
          <w:rFonts w:hint="cs"/>
          <w:rtl/>
        </w:rPr>
        <w:t xml:space="preserve">כאן, בפרשת ויקהל, סדר המשכן מהחוץ פנימה נראה יותר לדרשן, ובפרט מקומה של הפרוכת, לאחר הקרשים והיריעות, ולפני הארון והכפורת ולאחריו הכלים שבקודש: השולחן, המנורה ומזבח הזהב. </w:t>
      </w:r>
    </w:p>
  </w:footnote>
  <w:footnote w:id="8">
    <w:p w:rsidR="00A06A6E" w:rsidRDefault="00A06A6E">
      <w:pPr>
        <w:pStyle w:val="a3"/>
        <w:rPr>
          <w:rFonts w:hint="cs"/>
          <w:rtl/>
        </w:rPr>
      </w:pPr>
      <w:r>
        <w:rPr>
          <w:rStyle w:val="a5"/>
        </w:rPr>
        <w:footnoteRef/>
      </w:r>
      <w:r>
        <w:rPr>
          <w:rtl/>
        </w:rPr>
        <w:t xml:space="preserve"> </w:t>
      </w:r>
      <w:r>
        <w:rPr>
          <w:rFonts w:hint="cs"/>
          <w:rtl/>
          <w:lang w:eastAsia="en-US"/>
        </w:rPr>
        <w:t xml:space="preserve">על הזאת הדם כנגד הפרוכת או על הפרוכת ממש רבו המקורות ולא נביא כמובן את כולם. ראה מסדר העבודה ביום הכיפורים, </w:t>
      </w:r>
      <w:r>
        <w:rPr>
          <w:rtl/>
          <w:lang w:eastAsia="en-US"/>
        </w:rPr>
        <w:t xml:space="preserve">תוספתא מסכת יומא פרק ב </w:t>
      </w:r>
      <w:r>
        <w:rPr>
          <w:rFonts w:hint="cs"/>
          <w:rtl/>
          <w:lang w:eastAsia="en-US"/>
        </w:rPr>
        <w:t>הלכה טז: "</w:t>
      </w:r>
      <w:r>
        <w:rPr>
          <w:rtl/>
          <w:lang w:eastAsia="en-US"/>
        </w:rPr>
        <w:t>נטל את הדם ממי שממריס בו</w:t>
      </w:r>
      <w:r>
        <w:rPr>
          <w:rFonts w:hint="cs"/>
          <w:rtl/>
          <w:lang w:eastAsia="en-US"/>
        </w:rPr>
        <w:t>.</w:t>
      </w:r>
      <w:r>
        <w:rPr>
          <w:rtl/>
          <w:lang w:eastAsia="en-US"/>
        </w:rPr>
        <w:t xml:space="preserve"> נכנס למקום שנכנס ועמד במקום שעמד והזה ממנו על הפרוכת כנגד שני בדי ארון</w:t>
      </w:r>
      <w:r>
        <w:rPr>
          <w:rFonts w:hint="cs"/>
          <w:rtl/>
          <w:lang w:eastAsia="en-US"/>
        </w:rPr>
        <w:t>,</w:t>
      </w:r>
      <w:r>
        <w:rPr>
          <w:rtl/>
          <w:lang w:eastAsia="en-US"/>
        </w:rPr>
        <w:t xml:space="preserve"> אחת למעלה ושבע למטה</w:t>
      </w:r>
      <w:r>
        <w:rPr>
          <w:rFonts w:hint="cs"/>
          <w:rtl/>
          <w:lang w:eastAsia="en-US"/>
        </w:rPr>
        <w:t>.</w:t>
      </w:r>
      <w:r>
        <w:rPr>
          <w:rtl/>
          <w:lang w:eastAsia="en-US"/>
        </w:rPr>
        <w:t xml:space="preserve"> ולא היה מתכוין להזות לא למעלה ולא למטה אלא כמצליף</w:t>
      </w:r>
      <w:r>
        <w:rPr>
          <w:rFonts w:hint="cs"/>
          <w:rtl/>
          <w:lang w:eastAsia="en-US"/>
        </w:rPr>
        <w:t>.</w:t>
      </w:r>
      <w:r>
        <w:rPr>
          <w:rtl/>
          <w:lang w:eastAsia="en-US"/>
        </w:rPr>
        <w:t xml:space="preserve"> וכך היה מונה</w:t>
      </w:r>
      <w:r>
        <w:rPr>
          <w:rFonts w:hint="cs"/>
          <w:rtl/>
          <w:lang w:eastAsia="en-US"/>
        </w:rPr>
        <w:t>:</w:t>
      </w:r>
      <w:r>
        <w:rPr>
          <w:rtl/>
          <w:lang w:eastAsia="en-US"/>
        </w:rPr>
        <w:t xml:space="preserve"> אחת</w:t>
      </w:r>
      <w:r>
        <w:rPr>
          <w:rFonts w:hint="cs"/>
          <w:rtl/>
          <w:lang w:eastAsia="en-US"/>
        </w:rPr>
        <w:t>,</w:t>
      </w:r>
      <w:r>
        <w:rPr>
          <w:rtl/>
          <w:lang w:eastAsia="en-US"/>
        </w:rPr>
        <w:t xml:space="preserve"> אחת ואחת</w:t>
      </w:r>
      <w:r>
        <w:rPr>
          <w:rFonts w:hint="cs"/>
          <w:rtl/>
          <w:lang w:eastAsia="en-US"/>
        </w:rPr>
        <w:t xml:space="preserve">, </w:t>
      </w:r>
      <w:r>
        <w:rPr>
          <w:rtl/>
          <w:lang w:eastAsia="en-US"/>
        </w:rPr>
        <w:t>אחת ושתים</w:t>
      </w:r>
      <w:r>
        <w:rPr>
          <w:rFonts w:hint="cs"/>
          <w:rtl/>
          <w:lang w:eastAsia="en-US"/>
        </w:rPr>
        <w:t>,</w:t>
      </w:r>
      <w:r>
        <w:rPr>
          <w:rtl/>
          <w:lang w:eastAsia="en-US"/>
        </w:rPr>
        <w:t xml:space="preserve"> אחת ושלש </w:t>
      </w:r>
      <w:r>
        <w:rPr>
          <w:rFonts w:hint="cs"/>
          <w:rtl/>
          <w:lang w:eastAsia="en-US"/>
        </w:rPr>
        <w:t xml:space="preserve">... </w:t>
      </w:r>
      <w:r>
        <w:rPr>
          <w:rtl/>
          <w:lang w:eastAsia="en-US"/>
        </w:rPr>
        <w:t>היה מהלך לשמאלו עם הפר</w:t>
      </w:r>
      <w:r>
        <w:rPr>
          <w:rFonts w:hint="cs"/>
          <w:rtl/>
          <w:lang w:eastAsia="en-US"/>
        </w:rPr>
        <w:t>ו</w:t>
      </w:r>
      <w:r>
        <w:rPr>
          <w:rtl/>
          <w:lang w:eastAsia="en-US"/>
        </w:rPr>
        <w:t>כת</w:t>
      </w:r>
      <w:r>
        <w:rPr>
          <w:rFonts w:hint="cs"/>
          <w:rtl/>
          <w:lang w:eastAsia="en-US"/>
        </w:rPr>
        <w:t>.</w:t>
      </w:r>
      <w:r>
        <w:rPr>
          <w:rtl/>
          <w:lang w:eastAsia="en-US"/>
        </w:rPr>
        <w:t xml:space="preserve"> ולא היה מגיע לפרכת</w:t>
      </w:r>
      <w:r>
        <w:rPr>
          <w:rFonts w:hint="cs"/>
          <w:rtl/>
          <w:lang w:eastAsia="en-US"/>
        </w:rPr>
        <w:t>,</w:t>
      </w:r>
      <w:r>
        <w:rPr>
          <w:rtl/>
          <w:lang w:eastAsia="en-US"/>
        </w:rPr>
        <w:t xml:space="preserve"> אם הגיע הגיע</w:t>
      </w:r>
      <w:r>
        <w:rPr>
          <w:rFonts w:hint="cs"/>
          <w:rtl/>
          <w:lang w:eastAsia="en-US"/>
        </w:rPr>
        <w:t>.</w:t>
      </w:r>
      <w:r>
        <w:rPr>
          <w:rtl/>
          <w:lang w:eastAsia="en-US"/>
        </w:rPr>
        <w:t xml:space="preserve"> אמ</w:t>
      </w:r>
      <w:r>
        <w:rPr>
          <w:rFonts w:hint="cs"/>
          <w:rtl/>
          <w:lang w:eastAsia="en-US"/>
        </w:rPr>
        <w:t>ר</w:t>
      </w:r>
      <w:r>
        <w:rPr>
          <w:rtl/>
          <w:lang w:eastAsia="en-US"/>
        </w:rPr>
        <w:t xml:space="preserve"> ר' לעזר בי ר' יוסה</w:t>
      </w:r>
      <w:r>
        <w:rPr>
          <w:rFonts w:hint="cs"/>
          <w:rtl/>
          <w:lang w:eastAsia="en-US"/>
        </w:rPr>
        <w:t>:</w:t>
      </w:r>
      <w:r>
        <w:rPr>
          <w:rtl/>
          <w:lang w:eastAsia="en-US"/>
        </w:rPr>
        <w:t xml:space="preserve"> אני ראיתיה ברומי היו עליה טיפי דמים ואמ</w:t>
      </w:r>
      <w:r>
        <w:rPr>
          <w:rFonts w:hint="cs"/>
          <w:rtl/>
          <w:lang w:eastAsia="en-US"/>
        </w:rPr>
        <w:t>רו</w:t>
      </w:r>
      <w:r>
        <w:rPr>
          <w:rtl/>
          <w:lang w:eastAsia="en-US"/>
        </w:rPr>
        <w:t xml:space="preserve"> לי</w:t>
      </w:r>
      <w:r>
        <w:rPr>
          <w:rFonts w:hint="cs"/>
          <w:rtl/>
          <w:lang w:eastAsia="en-US"/>
        </w:rPr>
        <w:t>:</w:t>
      </w:r>
      <w:r>
        <w:rPr>
          <w:rtl/>
          <w:lang w:eastAsia="en-US"/>
        </w:rPr>
        <w:t xml:space="preserve"> אילו מדמים של יום הכפורים</w:t>
      </w:r>
      <w:r>
        <w:rPr>
          <w:rFonts w:hint="cs"/>
          <w:rtl/>
          <w:lang w:eastAsia="en-US"/>
        </w:rPr>
        <w:t>". ולהלן נראה שהדמים שעל הפרוכת שהגיעה לרומי בעקבות חורבן הבית היו אולי דם אדם ולא של בהמה ...</w:t>
      </w:r>
    </w:p>
  </w:footnote>
  <w:footnote w:id="9">
    <w:p w:rsidR="00E4365C" w:rsidRDefault="00E4365C" w:rsidP="00681B83">
      <w:pPr>
        <w:pStyle w:val="a3"/>
        <w:rPr>
          <w:rFonts w:hint="cs"/>
          <w:rtl/>
        </w:rPr>
      </w:pPr>
      <w:r>
        <w:rPr>
          <w:rStyle w:val="a5"/>
        </w:rPr>
        <w:footnoteRef/>
      </w:r>
      <w:r>
        <w:rPr>
          <w:rtl/>
        </w:rPr>
        <w:t xml:space="preserve"> </w:t>
      </w:r>
      <w:r>
        <w:rPr>
          <w:rFonts w:hint="cs"/>
          <w:rtl/>
        </w:rPr>
        <w:t xml:space="preserve">לסמל מלכות הולם אל מול פני קודש הקדשים. </w:t>
      </w:r>
      <w:r>
        <w:rPr>
          <w:rFonts w:hint="cs"/>
          <w:rtl/>
          <w:lang w:eastAsia="en-US"/>
        </w:rPr>
        <w:t xml:space="preserve">עוד על יופיה ואריגתה של הפרוכת, </w:t>
      </w:r>
      <w:r w:rsidR="00D06C96">
        <w:rPr>
          <w:rFonts w:hint="cs"/>
          <w:rtl/>
        </w:rPr>
        <w:t xml:space="preserve">ראה </w:t>
      </w:r>
      <w:r w:rsidR="00D06C96">
        <w:rPr>
          <w:rtl/>
        </w:rPr>
        <w:t>מסכת שקלים פרק ח</w:t>
      </w:r>
      <w:r w:rsidR="00D06C96">
        <w:rPr>
          <w:rFonts w:hint="cs"/>
          <w:rtl/>
        </w:rPr>
        <w:t xml:space="preserve"> משנה ד: "</w:t>
      </w:r>
      <w:r w:rsidR="00D06C96">
        <w:rPr>
          <w:rtl/>
        </w:rPr>
        <w:t>פרוכת שנטמאת בולד הטומאה מטבילין אותה בפנים ומכניסין אותה מיד</w:t>
      </w:r>
      <w:r w:rsidR="00D06C96">
        <w:rPr>
          <w:rFonts w:hint="cs"/>
          <w:rtl/>
        </w:rPr>
        <w:t>.</w:t>
      </w:r>
      <w:r w:rsidR="00D06C96">
        <w:rPr>
          <w:rtl/>
        </w:rPr>
        <w:t xml:space="preserve"> ואת שנטמאת באב הטומאה מטבילין אותה בחוץ ושוטחין אותה בחיל</w:t>
      </w:r>
      <w:r w:rsidR="00D06C96">
        <w:rPr>
          <w:rFonts w:hint="cs"/>
          <w:rtl/>
        </w:rPr>
        <w:t>.</w:t>
      </w:r>
      <w:r w:rsidR="00D06C96">
        <w:rPr>
          <w:rtl/>
        </w:rPr>
        <w:t xml:space="preserve"> ואם היתה חדשה שוטחין אותה על גג האיצטבא כדי שיראו העם את מלאכתן שהיא נאה</w:t>
      </w:r>
      <w:r w:rsidR="00D06C96">
        <w:rPr>
          <w:rFonts w:hint="cs"/>
          <w:rtl/>
        </w:rPr>
        <w:t>".</w:t>
      </w:r>
      <w:r w:rsidR="00D06C96">
        <w:rPr>
          <w:rFonts w:hint="cs"/>
          <w:rtl/>
          <w:lang w:eastAsia="en-US"/>
        </w:rPr>
        <w:t xml:space="preserve"> וב</w:t>
      </w:r>
      <w:r w:rsidR="00D06C96">
        <w:rPr>
          <w:rtl/>
          <w:lang w:eastAsia="en-US"/>
        </w:rPr>
        <w:t>ירושלמי שקלים פרק ח</w:t>
      </w:r>
      <w:r w:rsidR="00D06C96">
        <w:rPr>
          <w:rFonts w:hint="cs"/>
          <w:rtl/>
          <w:lang w:eastAsia="en-US"/>
        </w:rPr>
        <w:t xml:space="preserve"> הלכה ב יש תיאור של הכרובים שהיו מצוירים עליה: "</w:t>
      </w:r>
      <w:r w:rsidR="00D06C96">
        <w:rPr>
          <w:rtl/>
          <w:lang w:eastAsia="en-US"/>
        </w:rPr>
        <w:t>כתוב אחד אומר [שמות כו לו] מעשה רוקם וכתוב א</w:t>
      </w:r>
      <w:r w:rsidR="00D06C96">
        <w:rPr>
          <w:rFonts w:hint="cs"/>
          <w:rtl/>
          <w:lang w:eastAsia="en-US"/>
        </w:rPr>
        <w:t>חד</w:t>
      </w:r>
      <w:r w:rsidR="00D06C96">
        <w:rPr>
          <w:rtl/>
          <w:lang w:eastAsia="en-US"/>
        </w:rPr>
        <w:t xml:space="preserve"> אומר [שם לא] מעשה חושב</w:t>
      </w:r>
      <w:r w:rsidR="00D06C96">
        <w:rPr>
          <w:rFonts w:hint="cs"/>
          <w:rtl/>
          <w:lang w:eastAsia="en-US"/>
        </w:rPr>
        <w:t xml:space="preserve"> -</w:t>
      </w:r>
      <w:r w:rsidR="00D06C96">
        <w:rPr>
          <w:rtl/>
          <w:lang w:eastAsia="en-US"/>
        </w:rPr>
        <w:t xml:space="preserve"> מעשה רוקם פרצוף אחד</w:t>
      </w:r>
      <w:r w:rsidR="00D06C96">
        <w:rPr>
          <w:rFonts w:hint="cs"/>
          <w:rtl/>
          <w:lang w:eastAsia="en-US"/>
        </w:rPr>
        <w:t>,</w:t>
      </w:r>
      <w:r w:rsidR="00D06C96">
        <w:rPr>
          <w:rtl/>
          <w:lang w:eastAsia="en-US"/>
        </w:rPr>
        <w:t xml:space="preserve"> מעשה חושב שני פרצופות</w:t>
      </w:r>
      <w:r w:rsidR="00D06C96">
        <w:rPr>
          <w:rFonts w:hint="cs"/>
          <w:rtl/>
          <w:lang w:eastAsia="en-US"/>
        </w:rPr>
        <w:t>.</w:t>
      </w:r>
      <w:r w:rsidR="00D06C96">
        <w:rPr>
          <w:rtl/>
          <w:lang w:eastAsia="en-US"/>
        </w:rPr>
        <w:t xml:space="preserve"> רבי יהודה ורבי נחמיה</w:t>
      </w:r>
      <w:r w:rsidR="00D06C96">
        <w:rPr>
          <w:rFonts w:hint="cs"/>
          <w:rtl/>
          <w:lang w:eastAsia="en-US"/>
        </w:rPr>
        <w:t>.</w:t>
      </w:r>
      <w:r w:rsidR="00D06C96">
        <w:rPr>
          <w:rtl/>
          <w:lang w:eastAsia="en-US"/>
        </w:rPr>
        <w:t xml:space="preserve"> חד אמר</w:t>
      </w:r>
      <w:r w:rsidR="00D06C96">
        <w:rPr>
          <w:rFonts w:hint="cs"/>
          <w:rtl/>
          <w:lang w:eastAsia="en-US"/>
        </w:rPr>
        <w:t>:</w:t>
      </w:r>
      <w:r w:rsidR="00D06C96">
        <w:rPr>
          <w:rtl/>
          <w:lang w:eastAsia="en-US"/>
        </w:rPr>
        <w:t xml:space="preserve"> מעשה רוקם ארי מכאן וארי מכאן</w:t>
      </w:r>
      <w:r w:rsidR="00D06C96">
        <w:rPr>
          <w:rFonts w:hint="cs"/>
          <w:rtl/>
          <w:lang w:eastAsia="en-US"/>
        </w:rPr>
        <w:t>,</w:t>
      </w:r>
      <w:r w:rsidR="00D06C96">
        <w:rPr>
          <w:rtl/>
          <w:lang w:eastAsia="en-US"/>
        </w:rPr>
        <w:t xml:space="preserve"> מעשה חושב ארי מכאן וחלק מכאן</w:t>
      </w:r>
      <w:r w:rsidR="00D06C96">
        <w:rPr>
          <w:rFonts w:hint="cs"/>
          <w:rtl/>
          <w:lang w:eastAsia="en-US"/>
        </w:rPr>
        <w:t>.</w:t>
      </w:r>
      <w:r w:rsidR="00D06C96">
        <w:rPr>
          <w:rtl/>
          <w:lang w:eastAsia="en-US"/>
        </w:rPr>
        <w:t xml:space="preserve"> וחרנה אמר</w:t>
      </w:r>
      <w:r w:rsidR="00D06C96">
        <w:rPr>
          <w:rFonts w:hint="cs"/>
          <w:rtl/>
          <w:lang w:eastAsia="en-US"/>
        </w:rPr>
        <w:t>:</w:t>
      </w:r>
      <w:r w:rsidR="00D06C96">
        <w:rPr>
          <w:rtl/>
          <w:lang w:eastAsia="en-US"/>
        </w:rPr>
        <w:t xml:space="preserve"> מעשה רוקם ארי מכאן וחלק מכאן</w:t>
      </w:r>
      <w:r w:rsidR="00D06C96">
        <w:rPr>
          <w:rFonts w:hint="cs"/>
          <w:rtl/>
          <w:lang w:eastAsia="en-US"/>
        </w:rPr>
        <w:t>,</w:t>
      </w:r>
      <w:r w:rsidR="00D06C96">
        <w:rPr>
          <w:rtl/>
          <w:lang w:eastAsia="en-US"/>
        </w:rPr>
        <w:t xml:space="preserve"> מעשה חושב ארי מכאן ונשר מכאן</w:t>
      </w:r>
      <w:r w:rsidR="00681B83">
        <w:rPr>
          <w:rFonts w:hint="cs"/>
          <w:rtl/>
          <w:lang w:eastAsia="en-US"/>
        </w:rPr>
        <w:t xml:space="preserve">". </w:t>
      </w:r>
    </w:p>
  </w:footnote>
  <w:footnote w:id="10">
    <w:p w:rsidR="00B7620F" w:rsidRDefault="00B7620F" w:rsidP="00B8034C">
      <w:pPr>
        <w:pStyle w:val="a3"/>
        <w:rPr>
          <w:rFonts w:hint="cs"/>
        </w:rPr>
      </w:pPr>
      <w:r>
        <w:rPr>
          <w:rStyle w:val="a5"/>
        </w:rPr>
        <w:footnoteRef/>
      </w:r>
      <w:r>
        <w:rPr>
          <w:rtl/>
        </w:rPr>
        <w:t xml:space="preserve"> </w:t>
      </w:r>
      <w:r>
        <w:rPr>
          <w:rFonts w:hint="cs"/>
          <w:rtl/>
          <w:lang w:eastAsia="en-US"/>
        </w:rPr>
        <w:t xml:space="preserve">אגב תיאור מעשה הקטורת ביום הכיפורים ואופן כניסת הכהן הגדול אל קודש הקודשים (הדביר), למדנו שהיו במקדש שתי פרוכות משוכות מדרום לצפון (בית המקדש עצמו היה בנוי לאורכו ממזרח למערב, הכניסה ממזרח וקודש הקדשים במערב) והכהן הגדול היה נכנס בפתח הפרוכת הקדמית מצד דרום, הולך למלוא רוחב הבית מדרום לצפון, בין שתי הפרוכות, ונכנס בפתח הפרוכת הפנימית מצד צפון והופך פניו דרומה אל מקום הארון (אבן השתיה). </w:t>
      </w:r>
      <w:r w:rsidR="00B8034C">
        <w:rPr>
          <w:rFonts w:hint="cs"/>
          <w:rtl/>
          <w:lang w:eastAsia="en-US"/>
        </w:rPr>
        <w:t xml:space="preserve">שהכניסה מצפון נחשבת דרך כבוד וחשיבות, ראה </w:t>
      </w:r>
      <w:r w:rsidR="00B8034C">
        <w:rPr>
          <w:rtl/>
          <w:lang w:eastAsia="en-US"/>
        </w:rPr>
        <w:t xml:space="preserve">יחזקאל מד </w:t>
      </w:r>
      <w:r w:rsidR="00B8034C">
        <w:rPr>
          <w:rFonts w:hint="cs"/>
          <w:rtl/>
          <w:lang w:eastAsia="en-US"/>
        </w:rPr>
        <w:t>ד: "</w:t>
      </w:r>
      <w:r w:rsidR="00B8034C">
        <w:rPr>
          <w:rtl/>
          <w:lang w:eastAsia="en-US"/>
        </w:rPr>
        <w:t xml:space="preserve">וַיְבִיאֵנִי דֶּרֶךְ שַׁעַר הַצָּפוֹן אֶל פְּנֵי הַבַּיִת וָאֵרֶא וְהִנֵּה מָלֵא כְבוֹד </w:t>
      </w:r>
      <w:r w:rsidR="00B8034C">
        <w:rPr>
          <w:rFonts w:hint="cs"/>
          <w:rtl/>
          <w:lang w:eastAsia="en-US"/>
        </w:rPr>
        <w:t>ה'</w:t>
      </w:r>
      <w:r w:rsidR="00B8034C">
        <w:rPr>
          <w:rtl/>
          <w:lang w:eastAsia="en-US"/>
        </w:rPr>
        <w:t xml:space="preserve"> אֶת בֵּית </w:t>
      </w:r>
      <w:r w:rsidR="00B8034C">
        <w:rPr>
          <w:rFonts w:hint="cs"/>
          <w:rtl/>
          <w:lang w:eastAsia="en-US"/>
        </w:rPr>
        <w:t>ה'</w:t>
      </w:r>
      <w:r w:rsidR="00B8034C">
        <w:rPr>
          <w:rtl/>
          <w:lang w:eastAsia="en-US"/>
        </w:rPr>
        <w:t xml:space="preserve"> וָאֶפֹּל אֶל פָּנָי</w:t>
      </w:r>
      <w:r w:rsidR="00B8034C">
        <w:rPr>
          <w:rFonts w:hint="cs"/>
          <w:rtl/>
          <w:lang w:eastAsia="en-US"/>
        </w:rPr>
        <w:t>". ו</w:t>
      </w:r>
      <w:r>
        <w:rPr>
          <w:rFonts w:hint="cs"/>
          <w:rtl/>
          <w:lang w:eastAsia="en-US"/>
        </w:rPr>
        <w:t xml:space="preserve">ראה </w:t>
      </w:r>
      <w:r w:rsidR="00B8034C">
        <w:rPr>
          <w:rFonts w:hint="cs"/>
          <w:rtl/>
          <w:lang w:eastAsia="en-US"/>
        </w:rPr>
        <w:t xml:space="preserve">עוד </w:t>
      </w:r>
      <w:r>
        <w:rPr>
          <w:rtl/>
          <w:lang w:eastAsia="en-US"/>
        </w:rPr>
        <w:t xml:space="preserve">תוספתא </w:t>
      </w:r>
      <w:r>
        <w:rPr>
          <w:rFonts w:hint="cs"/>
          <w:rtl/>
          <w:lang w:eastAsia="en-US"/>
        </w:rPr>
        <w:t>י</w:t>
      </w:r>
      <w:r>
        <w:rPr>
          <w:rtl/>
          <w:lang w:eastAsia="en-US"/>
        </w:rPr>
        <w:t xml:space="preserve">ומא פרק ב </w:t>
      </w:r>
      <w:r>
        <w:rPr>
          <w:rFonts w:hint="cs"/>
          <w:rtl/>
          <w:lang w:eastAsia="en-US"/>
        </w:rPr>
        <w:t xml:space="preserve">הלכה יג שהכהן שהיו שתי ידיו תפוסות במחתה בימין ובכף הקטורת בשמאל, היה דוחף את </w:t>
      </w:r>
      <w:r>
        <w:rPr>
          <w:rtl/>
          <w:lang w:eastAsia="en-US"/>
        </w:rPr>
        <w:t>הפר</w:t>
      </w:r>
      <w:r>
        <w:rPr>
          <w:rFonts w:hint="cs"/>
          <w:rtl/>
          <w:lang w:eastAsia="en-US"/>
        </w:rPr>
        <w:t>ו</w:t>
      </w:r>
      <w:r>
        <w:rPr>
          <w:rtl/>
          <w:lang w:eastAsia="en-US"/>
        </w:rPr>
        <w:t xml:space="preserve">כת במתניו </w:t>
      </w:r>
      <w:r>
        <w:rPr>
          <w:rFonts w:hint="cs"/>
          <w:rtl/>
          <w:lang w:eastAsia="en-US"/>
        </w:rPr>
        <w:t>על מנת להיכנס. וה</w:t>
      </w:r>
      <w:r>
        <w:rPr>
          <w:rtl/>
          <w:lang w:eastAsia="en-US"/>
        </w:rPr>
        <w:t xml:space="preserve">ירושלמי (יומא </w:t>
      </w:r>
      <w:r>
        <w:rPr>
          <w:rFonts w:hint="cs"/>
          <w:rtl/>
          <w:lang w:eastAsia="en-US"/>
        </w:rPr>
        <w:t>פ</w:t>
      </w:r>
      <w:r>
        <w:rPr>
          <w:rtl/>
          <w:lang w:eastAsia="en-US"/>
        </w:rPr>
        <w:t xml:space="preserve">רק ה </w:t>
      </w:r>
      <w:r>
        <w:rPr>
          <w:rFonts w:hint="cs"/>
          <w:rtl/>
          <w:lang w:eastAsia="en-US"/>
        </w:rPr>
        <w:t>הלכה ב) מדגיש "</w:t>
      </w:r>
      <w:r>
        <w:rPr>
          <w:rtl/>
          <w:lang w:eastAsia="en-US"/>
        </w:rPr>
        <w:t>דוחק היה באצילי ידיו כדי שלא ישרפו הפרכות</w:t>
      </w:r>
      <w:r>
        <w:rPr>
          <w:rFonts w:hint="cs"/>
          <w:rtl/>
          <w:lang w:eastAsia="en-US"/>
        </w:rPr>
        <w:t>".</w:t>
      </w:r>
      <w:r>
        <w:rPr>
          <w:rtl/>
          <w:lang w:eastAsia="en-US"/>
        </w:rPr>
        <w:t xml:space="preserve"> </w:t>
      </w:r>
      <w:r>
        <w:rPr>
          <w:rFonts w:hint="cs"/>
          <w:rtl/>
          <w:lang w:eastAsia="en-US"/>
        </w:rPr>
        <w:t>להבנה נוספת של משנה זו ראה פירוש קהתי ואחרים שם.</w:t>
      </w:r>
    </w:p>
  </w:footnote>
  <w:footnote w:id="11">
    <w:p w:rsidR="00F22879" w:rsidRDefault="00F22879" w:rsidP="00F22879">
      <w:pPr>
        <w:pStyle w:val="a3"/>
        <w:rPr>
          <w:rFonts w:hint="cs"/>
          <w:rtl/>
        </w:rPr>
      </w:pPr>
      <w:r>
        <w:rPr>
          <w:rStyle w:val="a5"/>
        </w:rPr>
        <w:footnoteRef/>
      </w:r>
      <w:r>
        <w:rPr>
          <w:rtl/>
        </w:rPr>
        <w:t xml:space="preserve"> </w:t>
      </w:r>
      <w:r>
        <w:rPr>
          <w:rFonts w:hint="cs"/>
          <w:rtl/>
        </w:rPr>
        <w:t xml:space="preserve">על גניזת הארון כבר הרחבנו לדון בדברינו </w:t>
      </w:r>
      <w:hyperlink r:id="rId3" w:history="1">
        <w:r w:rsidRPr="008753F3">
          <w:rPr>
            <w:rStyle w:val="Hyperlink"/>
            <w:rFonts w:hint="cs"/>
            <w:rtl/>
          </w:rPr>
          <w:t>דברים שנגנזו</w:t>
        </w:r>
      </w:hyperlink>
      <w:r>
        <w:rPr>
          <w:rFonts w:hint="cs"/>
          <w:rtl/>
        </w:rPr>
        <w:t xml:space="preserve"> בפרשה זו וכן בדברינו </w:t>
      </w:r>
      <w:hyperlink r:id="rId4" w:history="1">
        <w:r w:rsidRPr="000E4369">
          <w:rPr>
            <w:rStyle w:val="Hyperlink"/>
            <w:rFonts w:hint="cs"/>
            <w:rtl/>
          </w:rPr>
          <w:t>תחנתו האחרונה של הארון</w:t>
        </w:r>
      </w:hyperlink>
      <w:r>
        <w:rPr>
          <w:rFonts w:hint="cs"/>
          <w:rtl/>
        </w:rPr>
        <w:t xml:space="preserve"> בפרשת בהעלותך.</w:t>
      </w:r>
    </w:p>
  </w:footnote>
  <w:footnote w:id="12">
    <w:p w:rsidR="00B8034C" w:rsidRDefault="00B8034C">
      <w:pPr>
        <w:pStyle w:val="a3"/>
        <w:rPr>
          <w:rFonts w:hint="cs"/>
          <w:rtl/>
        </w:rPr>
      </w:pPr>
      <w:r>
        <w:rPr>
          <w:rStyle w:val="a5"/>
        </w:rPr>
        <w:footnoteRef/>
      </w:r>
      <w:r>
        <w:rPr>
          <w:rtl/>
        </w:rPr>
        <w:t xml:space="preserve"> </w:t>
      </w:r>
      <w:r>
        <w:rPr>
          <w:rFonts w:hint="cs"/>
          <w:rtl/>
          <w:lang w:eastAsia="en-US"/>
        </w:rPr>
        <w:t xml:space="preserve">המשנה שזה עתה ראינו, כפשוטה, מדברת על בית שני, לגביו היו גם לחלק מהחכמים (ר' טרפון למשל שהיה כהן) עדויות ראייה. אבל הגמרא בכ"ז מעוררת את השאלה, אם מדובר בבית ראשון שם לא הייתה פרוכת, או שמדובר בבית שני אך שם לא היה ארון. מסקנת הגמרא שאכן מדובר בבית שני, שם הייתה פרוכת (כפולה כפי שראינו) ובמילה "ארון" הכוונה למקום הארון, כפי שמיד ממשיכה שם המשנה הסמוכה ואומרת: "משניטל הארון </w:t>
      </w:r>
      <w:r>
        <w:rPr>
          <w:rtl/>
          <w:lang w:eastAsia="en-US"/>
        </w:rPr>
        <w:t>–</w:t>
      </w:r>
      <w:r>
        <w:rPr>
          <w:rFonts w:hint="cs"/>
          <w:rtl/>
          <w:lang w:eastAsia="en-US"/>
        </w:rPr>
        <w:t xml:space="preserve"> אבן היתה שם מימות נביאים ראשונים ושתיה הייתה נקראת, גבוהה מן הארץ שלוש אצבעות ועליה היה נותן" (יומא פרק ה משנה ב).</w:t>
      </w:r>
    </w:p>
  </w:footnote>
  <w:footnote w:id="13">
    <w:p w:rsidR="00DB6E48" w:rsidRDefault="00DB6E48" w:rsidP="007E2DDE">
      <w:pPr>
        <w:pStyle w:val="a3"/>
        <w:rPr>
          <w:rFonts w:hint="cs"/>
        </w:rPr>
      </w:pPr>
      <w:r>
        <w:rPr>
          <w:rStyle w:val="a5"/>
        </w:rPr>
        <w:footnoteRef/>
      </w:r>
      <w:r>
        <w:rPr>
          <w:rtl/>
        </w:rPr>
        <w:t xml:space="preserve"> </w:t>
      </w:r>
      <w:r>
        <w:rPr>
          <w:rFonts w:hint="cs"/>
          <w:rtl/>
        </w:rPr>
        <w:t xml:space="preserve">בקטע שהשמטנו שואלת הגמרא כיצד זה ייתכן </w:t>
      </w:r>
      <w:r w:rsidR="00661D5E">
        <w:rPr>
          <w:rFonts w:hint="cs"/>
          <w:rtl/>
        </w:rPr>
        <w:t>ש</w:t>
      </w:r>
      <w:r w:rsidR="00661D5E" w:rsidRPr="00C745B7">
        <w:rPr>
          <w:rFonts w:hint="cs"/>
          <w:rtl/>
        </w:rPr>
        <w:t>הראו לעולי הרגל את ארון הקודש והכרובים</w:t>
      </w:r>
      <w:r w:rsidR="00661D5E">
        <w:rPr>
          <w:rFonts w:hint="cs"/>
          <w:rtl/>
        </w:rPr>
        <w:t xml:space="preserve"> </w:t>
      </w:r>
      <w:r w:rsidR="00661D5E">
        <w:rPr>
          <w:rFonts w:hint="cs"/>
          <w:rtl/>
          <w:lang w:eastAsia="en-US"/>
        </w:rPr>
        <w:t>והרי על הלווים כתוב: "ו</w:t>
      </w:r>
      <w:r>
        <w:rPr>
          <w:rtl/>
          <w:lang w:eastAsia="en-US"/>
        </w:rPr>
        <w:t>לא יבאו לראות כבלע את הקדש</w:t>
      </w:r>
      <w:r w:rsidR="00661D5E">
        <w:rPr>
          <w:rFonts w:hint="cs"/>
          <w:rtl/>
          <w:lang w:eastAsia="en-US"/>
        </w:rPr>
        <w:t xml:space="preserve"> ומתו"</w:t>
      </w:r>
      <w:r>
        <w:rPr>
          <w:rtl/>
          <w:lang w:eastAsia="en-US"/>
        </w:rPr>
        <w:t xml:space="preserve">, </w:t>
      </w:r>
      <w:r w:rsidR="00661D5E" w:rsidRPr="00C745B7">
        <w:rPr>
          <w:rFonts w:hint="cs"/>
          <w:rtl/>
        </w:rPr>
        <w:t>כל שכן כל</w:t>
      </w:r>
      <w:r w:rsidR="00661D5E">
        <w:rPr>
          <w:rFonts w:hint="cs"/>
          <w:rtl/>
        </w:rPr>
        <w:t>ל</w:t>
      </w:r>
      <w:r w:rsidR="00661D5E" w:rsidRPr="00C745B7">
        <w:rPr>
          <w:rFonts w:hint="cs"/>
          <w:rtl/>
        </w:rPr>
        <w:t xml:space="preserve"> העם</w:t>
      </w:r>
      <w:r w:rsidR="00661D5E">
        <w:rPr>
          <w:rFonts w:hint="cs"/>
          <w:rtl/>
        </w:rPr>
        <w:t>! ומתרצת הגמרא שם שמה שהיה אסור במשכן במדבר, הותר בבית עולמים: "</w:t>
      </w:r>
      <w:r>
        <w:rPr>
          <w:rtl/>
          <w:lang w:eastAsia="en-US"/>
        </w:rPr>
        <w:t>משל לכלה, כל זמן שהיא בבית אביה - צנועה מבעלה, כיון שבאתה לבית חמיה - אינה צנועה מבעלה</w:t>
      </w:r>
      <w:r w:rsidR="00661D5E">
        <w:rPr>
          <w:rFonts w:hint="cs"/>
          <w:rtl/>
          <w:lang w:eastAsia="en-US"/>
        </w:rPr>
        <w:t>"</w:t>
      </w:r>
      <w:r>
        <w:rPr>
          <w:rtl/>
          <w:lang w:eastAsia="en-US"/>
        </w:rPr>
        <w:t xml:space="preserve">. </w:t>
      </w:r>
      <w:r w:rsidR="00661D5E">
        <w:rPr>
          <w:rFonts w:hint="cs"/>
          <w:rtl/>
        </w:rPr>
        <w:t xml:space="preserve">מפרש שטיינזלץ: "במדבר, כיון שלא הייתה השראת שכינה בישראל במקום קבוע </w:t>
      </w:r>
      <w:r w:rsidR="00661D5E">
        <w:rPr>
          <w:rtl/>
        </w:rPr>
        <w:t>–</w:t>
      </w:r>
      <w:r w:rsidR="00661D5E">
        <w:rPr>
          <w:rFonts w:hint="cs"/>
          <w:rtl/>
        </w:rPr>
        <w:t xml:space="preserve"> אסור היה לראות את הקודש. אולם במקדש במקום הקבע הורשו הכל לראותו".</w:t>
      </w:r>
      <w:r w:rsidR="00661D5E">
        <w:rPr>
          <w:rFonts w:hint="cs"/>
          <w:rtl/>
          <w:lang w:eastAsia="en-US"/>
        </w:rPr>
        <w:t xml:space="preserve"> </w:t>
      </w:r>
      <w:r w:rsidR="00661D5E">
        <w:rPr>
          <w:rFonts w:hint="cs"/>
          <w:rtl/>
        </w:rPr>
        <w:t xml:space="preserve">וכבר הרחבנו בנושא זה בדברינו </w:t>
      </w:r>
      <w:hyperlink r:id="rId5" w:history="1">
        <w:r w:rsidR="00661D5E" w:rsidRPr="000E4369">
          <w:rPr>
            <w:rStyle w:val="Hyperlink"/>
            <w:rFonts w:hint="cs"/>
            <w:rtl/>
          </w:rPr>
          <w:t>מעשה הכרובים</w:t>
        </w:r>
      </w:hyperlink>
      <w:r w:rsidR="00661D5E">
        <w:rPr>
          <w:rFonts w:hint="cs"/>
          <w:rtl/>
        </w:rPr>
        <w:t xml:space="preserve"> בפרשה זו בשנה האחרת. וכאן חשוב לנו העניין שהייתה הפרוכת נגללת ומראה את קודש הקדשים לכל העם בכל רגל! </w:t>
      </w:r>
    </w:p>
  </w:footnote>
  <w:footnote w:id="14">
    <w:p w:rsidR="007E2DDE" w:rsidRDefault="007E2DDE" w:rsidP="000D6D9B">
      <w:pPr>
        <w:pStyle w:val="a3"/>
        <w:rPr>
          <w:rFonts w:hint="cs"/>
          <w:rtl/>
        </w:rPr>
      </w:pPr>
      <w:r>
        <w:rPr>
          <w:rStyle w:val="a5"/>
        </w:rPr>
        <w:footnoteRef/>
      </w:r>
      <w:r>
        <w:rPr>
          <w:rtl/>
        </w:rPr>
        <w:t xml:space="preserve"> </w:t>
      </w:r>
      <w:r>
        <w:rPr>
          <w:rFonts w:hint="cs"/>
          <w:rtl/>
        </w:rPr>
        <w:t xml:space="preserve">גם כאן שואלת הגמרא, על אמירתו של רב קטינא שהיו גוללים את הפרות ברגלים וחושפים את קודש הדשים לעולי הרגל, אם מדובר בבית ראשון או בבית שני. וכאן מציינת הגמרא את החסר של הכרובים </w:t>
      </w:r>
      <w:r w:rsidR="000D6D9B">
        <w:rPr>
          <w:rFonts w:hint="cs"/>
          <w:rtl/>
        </w:rPr>
        <w:t xml:space="preserve">בבית שני. ראה </w:t>
      </w:r>
      <w:r w:rsidR="000D6D9B">
        <w:rPr>
          <w:rtl/>
        </w:rPr>
        <w:t>יומא כא ב</w:t>
      </w:r>
      <w:r w:rsidR="000D6D9B">
        <w:rPr>
          <w:rFonts w:hint="cs"/>
          <w:rtl/>
        </w:rPr>
        <w:t>: "</w:t>
      </w:r>
      <w:r w:rsidR="000D6D9B">
        <w:rPr>
          <w:rtl/>
        </w:rPr>
        <w:t>אלו חמשה דברים שהיו בין מקדש ראשון למקדש שני, ואלו הן: ארון וכפורת וכרובים, אש, ושכינה, ורוח הקודש, ואורים ותומים</w:t>
      </w:r>
      <w:r w:rsidR="000D6D9B">
        <w:rPr>
          <w:rFonts w:hint="cs"/>
          <w:rtl/>
        </w:rPr>
        <w:t>"</w:t>
      </w:r>
      <w:r w:rsidR="000D6D9B">
        <w:rPr>
          <w:rtl/>
        </w:rPr>
        <w:t>.</w:t>
      </w:r>
    </w:p>
  </w:footnote>
  <w:footnote w:id="15">
    <w:p w:rsidR="00DD712E" w:rsidRDefault="00DD712E" w:rsidP="00113C25">
      <w:pPr>
        <w:pStyle w:val="a3"/>
        <w:rPr>
          <w:rFonts w:hint="cs"/>
          <w:rtl/>
        </w:rPr>
      </w:pPr>
      <w:r>
        <w:rPr>
          <w:rStyle w:val="a5"/>
        </w:rPr>
        <w:footnoteRef/>
      </w:r>
      <w:r>
        <w:rPr>
          <w:rtl/>
        </w:rPr>
        <w:t xml:space="preserve"> </w:t>
      </w:r>
      <w:r>
        <w:rPr>
          <w:rFonts w:hint="cs"/>
          <w:rtl/>
        </w:rPr>
        <w:t>היינו פרוכות שהיו קישוט לשערים ודלתות ולא במקומן. ואין זו הפרוכת של המשכן (ובבית שני) שהיו במקום דלת. וכמות זה היו הרבה פרוכות המקדש, שלושה עשר במספר כפי שהוא ממשיך ומונה</w:t>
      </w:r>
      <w:r w:rsidR="0047744D">
        <w:rPr>
          <w:rFonts w:hint="cs"/>
          <w:rtl/>
        </w:rPr>
        <w:t>, כולל לפני קודש הקדשים, הדביר!</w:t>
      </w:r>
      <w:r>
        <w:rPr>
          <w:rFonts w:hint="cs"/>
          <w:rtl/>
        </w:rPr>
        <w:t xml:space="preserve"> כך נראה לנו לפרש את הגמרא ע"ס עיון ברש"י, שטיינזלץ ואחרים ועדיין הסבר זה נראה קצת דחוק והמאיר עינינו יבורך. ועכ"פ, הרעיון שבבית ראשון היו דלתות, כמתואר בספר מלכים ולפניהן הוסיפו פרוכת (לא כמות זו שמתוארת בתורה, רק כמין וילון נאה אבל עדיין היא נקראת פרוכת), רעיון זה יש לו סמך ברור מהפסוק בדברי הימים שהבאנו לעיל שאומר שהייתה פרוכת במקדש שלמה</w:t>
      </w:r>
      <w:r w:rsidR="00113C25">
        <w:rPr>
          <w:rFonts w:hint="cs"/>
          <w:rtl/>
        </w:rPr>
        <w:t>, וכפי שרש"י מבאר שם: "</w:t>
      </w:r>
      <w:r w:rsidR="00113C25">
        <w:rPr>
          <w:rtl/>
        </w:rPr>
        <w:t>ויעש את הפרכת תכלת וארגמן - ותלה על הדלת שהיה באמה טרקסין שבו נכנסין לפני ולפנים אף על פי שהיה בו דלתות תלה עליו</w:t>
      </w:r>
      <w:r w:rsidR="00113C25">
        <w:rPr>
          <w:rFonts w:hint="cs"/>
          <w:rtl/>
        </w:rPr>
        <w:t xml:space="preserve">". </w:t>
      </w:r>
      <w:r>
        <w:rPr>
          <w:rFonts w:hint="cs"/>
          <w:rtl/>
        </w:rPr>
        <w:t xml:space="preserve"> </w:t>
      </w:r>
      <w:r w:rsidR="00113C25">
        <w:rPr>
          <w:rFonts w:hint="cs"/>
          <w:rtl/>
        </w:rPr>
        <w:t xml:space="preserve">את </w:t>
      </w:r>
      <w:r>
        <w:rPr>
          <w:rFonts w:hint="cs"/>
          <w:rtl/>
        </w:rPr>
        <w:t xml:space="preserve">דברי הגמרא </w:t>
      </w:r>
      <w:r w:rsidR="00113C25">
        <w:rPr>
          <w:rFonts w:hint="cs"/>
          <w:rtl/>
        </w:rPr>
        <w:t>לעיל אפשר לפרש כ</w:t>
      </w:r>
      <w:r>
        <w:rPr>
          <w:rFonts w:hint="cs"/>
          <w:rtl/>
        </w:rPr>
        <w:t>פשרה בין הפסוקים בספר מלכים שמדברים על דלתות ובין הפסוק בספר דברי הימים</w:t>
      </w:r>
      <w:r w:rsidR="00113C25">
        <w:rPr>
          <w:rFonts w:hint="cs"/>
          <w:rtl/>
        </w:rPr>
        <w:t xml:space="preserve">, אך הגמרא </w:t>
      </w:r>
      <w:r>
        <w:rPr>
          <w:rFonts w:hint="cs"/>
          <w:rtl/>
        </w:rPr>
        <w:t xml:space="preserve">לא מביאה </w:t>
      </w:r>
      <w:r w:rsidR="00113C25">
        <w:rPr>
          <w:rFonts w:hint="cs"/>
          <w:rtl/>
        </w:rPr>
        <w:t>את ה</w:t>
      </w:r>
      <w:r>
        <w:rPr>
          <w:rFonts w:hint="cs"/>
          <w:rtl/>
        </w:rPr>
        <w:t xml:space="preserve">פסוק </w:t>
      </w:r>
      <w:r w:rsidR="00113C25">
        <w:rPr>
          <w:rFonts w:hint="cs"/>
          <w:rtl/>
        </w:rPr>
        <w:t>בדברי הימים ומסתפקת בהגדרה "פרוכת דבבי". וצריך עיון.</w:t>
      </w:r>
    </w:p>
  </w:footnote>
  <w:footnote w:id="16">
    <w:p w:rsidR="00DD712E" w:rsidRDefault="00DD712E" w:rsidP="008753F3">
      <w:pPr>
        <w:pStyle w:val="a3"/>
        <w:rPr>
          <w:rFonts w:hint="cs"/>
          <w:rtl/>
        </w:rPr>
      </w:pPr>
      <w:r>
        <w:rPr>
          <w:rStyle w:val="a5"/>
        </w:rPr>
        <w:footnoteRef/>
      </w:r>
      <w:r>
        <w:rPr>
          <w:rtl/>
        </w:rPr>
        <w:t xml:space="preserve"> </w:t>
      </w:r>
      <w:r>
        <w:rPr>
          <w:rFonts w:hint="cs"/>
          <w:rtl/>
        </w:rPr>
        <w:t>לעניין זה, ראה שטיינזלץ ורש"י בגמרא יומא שם. כך או כך, מאפס פרוכות במקדש ראשון הגענו לשלושה עשר ואת רובן אם לא כולן צריך היה לגלול או לפתוח על מנת שיראו את הכרובים ומן הסתם היי</w:t>
      </w:r>
      <w:r w:rsidR="0047744D">
        <w:rPr>
          <w:rFonts w:hint="cs"/>
          <w:rtl/>
        </w:rPr>
        <w:t>תה זו ראייה מרוחקת ומטושטשת. אך המתרץ יאמר שלא היו במתכונת פרוכת הקודש המיוחדת שמוזכרת בפרשתנו ובמדרשים שראינו לעיל, רק וילון כאמור. ובין כך ובין כך, אולי מכאן התגלגלה הפרוכת שאנו עושים בבתי הכנסת שלנו. השווה עם ריבוי השולחנות והמנורות שהוסיף שלמה על אלה של משה</w:t>
      </w:r>
      <w:r w:rsidR="008753F3">
        <w:rPr>
          <w:rFonts w:hint="cs"/>
          <w:rtl/>
        </w:rPr>
        <w:t>, כמתואר בדברי הימים ב פרק ד פסוקים ו-ח וב</w:t>
      </w:r>
      <w:r w:rsidR="008753F3" w:rsidRPr="008753F3">
        <w:rPr>
          <w:rFonts w:hint="cs"/>
          <w:rtl/>
          <w:lang w:val="he-IL"/>
        </w:rPr>
        <w:t xml:space="preserve"> </w:t>
      </w:r>
      <w:r w:rsidR="008753F3">
        <w:rPr>
          <w:rFonts w:hint="cs"/>
          <w:rtl/>
          <w:lang w:val="he-IL"/>
        </w:rPr>
        <w:t xml:space="preserve">ראה מסכת מנחות צט ע"א (ועליהם דנו בדברינו </w:t>
      </w:r>
      <w:hyperlink r:id="rId6" w:history="1">
        <w:r w:rsidR="008753F3" w:rsidRPr="008753F3">
          <w:rPr>
            <w:rStyle w:val="Hyperlink"/>
            <w:rFonts w:hint="cs"/>
            <w:rtl/>
            <w:lang w:val="he-IL"/>
          </w:rPr>
          <w:t>ועשית שולחן</w:t>
        </w:r>
      </w:hyperlink>
      <w:r w:rsidR="008753F3">
        <w:rPr>
          <w:rFonts w:hint="cs"/>
          <w:rtl/>
          <w:lang w:val="he-IL"/>
        </w:rPr>
        <w:t xml:space="preserve"> בפרשה זו).</w:t>
      </w:r>
    </w:p>
  </w:footnote>
  <w:footnote w:id="17">
    <w:p w:rsidR="000E0FF0" w:rsidRDefault="000E0FF0">
      <w:pPr>
        <w:pStyle w:val="a3"/>
        <w:rPr>
          <w:rFonts w:hint="cs"/>
          <w:rtl/>
        </w:rPr>
      </w:pPr>
      <w:r>
        <w:rPr>
          <w:rStyle w:val="a5"/>
        </w:rPr>
        <w:footnoteRef/>
      </w:r>
      <w:r>
        <w:rPr>
          <w:rtl/>
        </w:rPr>
        <w:t xml:space="preserve"> </w:t>
      </w:r>
      <w:r>
        <w:rPr>
          <w:rFonts w:hint="cs"/>
          <w:rtl/>
          <w:lang w:eastAsia="en-US"/>
        </w:rPr>
        <w:t xml:space="preserve">ראה פירוש </w:t>
      </w:r>
      <w:r>
        <w:rPr>
          <w:rtl/>
          <w:lang w:eastAsia="en-US"/>
        </w:rPr>
        <w:t xml:space="preserve">רש"י </w:t>
      </w:r>
      <w:r>
        <w:rPr>
          <w:rFonts w:hint="cs"/>
          <w:rtl/>
          <w:lang w:eastAsia="en-US"/>
        </w:rPr>
        <w:t>שם: "</w:t>
      </w:r>
      <w:r>
        <w:rPr>
          <w:rtl/>
          <w:lang w:eastAsia="en-US"/>
        </w:rPr>
        <w:t>כרובים דצורתא - מצויירין בכותל במיני סממנים, או חקוקין בקירות העץ מלפנים מכותלי האבנים</w:t>
      </w:r>
      <w:r>
        <w:rPr>
          <w:rFonts w:hint="cs"/>
          <w:rtl/>
          <w:lang w:eastAsia="en-US"/>
        </w:rPr>
        <w:t>". ופירוש שטיינזלץ מביא סיוע מפסוק במלאכת מקדש שלמה: "</w:t>
      </w:r>
      <w:r>
        <w:rPr>
          <w:rtl/>
          <w:lang w:eastAsia="en-US"/>
        </w:rPr>
        <w:t>וְאֵת כָּל קִירוֹת הַבַּיִת מֵסַב קָלַע פִּתּוּחֵי מִקְלְעוֹת כְּרוּבִים וְתִמֹרֹת וּפְטוּרֵי צִצִּים מִלִּפְנִים וְלַחִיצוֹן</w:t>
      </w:r>
      <w:r>
        <w:rPr>
          <w:rFonts w:hint="cs"/>
          <w:rtl/>
          <w:lang w:eastAsia="en-US"/>
        </w:rPr>
        <w:t>" (</w:t>
      </w:r>
      <w:r>
        <w:rPr>
          <w:rtl/>
          <w:lang w:eastAsia="en-US"/>
        </w:rPr>
        <w:t>מלכים א ו</w:t>
      </w:r>
      <w:r>
        <w:rPr>
          <w:rFonts w:hint="cs"/>
          <w:rtl/>
          <w:lang w:eastAsia="en-US"/>
        </w:rPr>
        <w:t xml:space="preserve"> כט). ותוספות בגמרא יומא שם מעורר את השאלה לגבי ציורי חיות ועופות במחזורים (לפני המצאת הדפוס!) ומסיק שאין בכך איסור רק "לא יפה הם עושים" שמסיחים את דעת המתפללים "שמסתכלים בצורות הללו ואין מכוונים ליבם לאביהם שבשמים". ונראה שנסחפנו בנושא הכרובים עליו כבר דנו בפרשה זו בשנה האחרת. נחזור לפרוכת.</w:t>
      </w:r>
    </w:p>
  </w:footnote>
  <w:footnote w:id="18">
    <w:p w:rsidR="00F4010F" w:rsidRDefault="00F4010F" w:rsidP="00F4010F">
      <w:pPr>
        <w:pStyle w:val="a3"/>
        <w:rPr>
          <w:rFonts w:hint="cs"/>
          <w:rtl/>
        </w:rPr>
      </w:pPr>
      <w:r>
        <w:rPr>
          <w:rStyle w:val="a5"/>
        </w:rPr>
        <w:footnoteRef/>
      </w:r>
      <w:r>
        <w:rPr>
          <w:rtl/>
        </w:rPr>
        <w:t xml:space="preserve"> </w:t>
      </w:r>
      <w:r>
        <w:rPr>
          <w:rFonts w:hint="cs"/>
          <w:rtl/>
        </w:rPr>
        <w:t xml:space="preserve">עוד על שתיקתו של הקב"ה שהיא גבורתו וחוסנו, ראה יומא סט ב: </w:t>
      </w:r>
      <w:r w:rsidR="003A20DD">
        <w:rPr>
          <w:rFonts w:hint="cs"/>
          <w:rtl/>
        </w:rPr>
        <w:t>"</w:t>
      </w:r>
      <w:r>
        <w:rPr>
          <w:rFonts w:hint="cs"/>
          <w:rtl/>
        </w:rPr>
        <w:t xml:space="preserve">אמר רבי יהושע </w:t>
      </w:r>
      <w:smartTag w:uri="urn:schemas-microsoft-com:office:smarttags" w:element="PersonName">
        <w:smartTagPr>
          <w:attr w:name="ProductID" w:val="בן לוי"/>
        </w:smartTagPr>
        <w:r>
          <w:rPr>
            <w:rFonts w:hint="cs"/>
            <w:rtl/>
          </w:rPr>
          <w:t>בן לוי</w:t>
        </w:r>
      </w:smartTag>
      <w:r>
        <w:rPr>
          <w:rFonts w:hint="cs"/>
          <w:rtl/>
        </w:rPr>
        <w:t>: למה נקרא שמן אנשי כנסת הגדולה? - שהחזירו עטרה ליושנה. אתא משה אמר: האל הגדול הגיבור והנורא (דברים י יז). אתא ירמיה ואמר: נכרים מקרקרין בהיכלו, איה נוראותיו? לא אמר נורא. אתא דניאל, אמר: נכרים משתעבדים בבנין, איה גבורותיו? לא אמר גיבור. אתו אינהו ואמרו: אדרבה, זו היא גבורת גבורתו שכובש את יצרו, שנותן ארך אפים לרשעים". וזו גבורתם וחוסנם של אנשי בית שני.</w:t>
      </w:r>
    </w:p>
  </w:footnote>
  <w:footnote w:id="19">
    <w:p w:rsidR="00AD4167" w:rsidRDefault="00AD4167">
      <w:pPr>
        <w:pStyle w:val="a3"/>
        <w:rPr>
          <w:rFonts w:hint="cs"/>
          <w:rtl/>
        </w:rPr>
      </w:pPr>
      <w:r>
        <w:rPr>
          <w:rStyle w:val="a5"/>
        </w:rPr>
        <w:footnoteRef/>
      </w:r>
      <w:r>
        <w:rPr>
          <w:rtl/>
        </w:rPr>
        <w:t xml:space="preserve"> </w:t>
      </w:r>
      <w:r>
        <w:rPr>
          <w:rFonts w:hint="cs"/>
          <w:rtl/>
          <w:lang w:eastAsia="en-US"/>
        </w:rPr>
        <w:t>ראה מקבילה ב</w:t>
      </w:r>
      <w:r>
        <w:rPr>
          <w:rtl/>
          <w:lang w:eastAsia="en-US"/>
        </w:rPr>
        <w:t>אבות דרבי נתן נוסח ב פרק ז</w:t>
      </w:r>
      <w:r>
        <w:rPr>
          <w:rFonts w:hint="cs"/>
          <w:rtl/>
          <w:lang w:eastAsia="en-US"/>
        </w:rPr>
        <w:t xml:space="preserve"> ושם התיאורים קשים עוד יותר, כגון זה: " ... </w:t>
      </w:r>
      <w:r>
        <w:rPr>
          <w:rtl/>
          <w:lang w:eastAsia="en-US"/>
        </w:rPr>
        <w:t>ולא עוד אלא שמשך את הזונה והכניסה לבית קדש הקדשים והתחיל מחרף ומגדף ומנאץ ומרקק כלפי מעלה ואומר</w:t>
      </w:r>
      <w:r>
        <w:rPr>
          <w:rFonts w:hint="cs"/>
          <w:rtl/>
          <w:lang w:eastAsia="en-US"/>
        </w:rPr>
        <w:t>:</w:t>
      </w:r>
      <w:r>
        <w:rPr>
          <w:rtl/>
          <w:lang w:eastAsia="en-US"/>
        </w:rPr>
        <w:t xml:space="preserve"> זה הוא שאמרתם שהרג את סיסרא ואת סנחריב</w:t>
      </w:r>
      <w:r>
        <w:rPr>
          <w:rFonts w:hint="cs"/>
          <w:rtl/>
          <w:lang w:eastAsia="en-US"/>
        </w:rPr>
        <w:t>?</w:t>
      </w:r>
      <w:r>
        <w:rPr>
          <w:rtl/>
          <w:lang w:eastAsia="en-US"/>
        </w:rPr>
        <w:t xml:space="preserve"> הרי אני בביתו וברשותו</w:t>
      </w:r>
      <w:r>
        <w:rPr>
          <w:rFonts w:hint="cs"/>
          <w:rtl/>
          <w:lang w:eastAsia="en-US"/>
        </w:rPr>
        <w:t>.</w:t>
      </w:r>
      <w:r>
        <w:rPr>
          <w:rtl/>
          <w:lang w:eastAsia="en-US"/>
        </w:rPr>
        <w:t xml:space="preserve"> אם יש בו כח יצא ויעמוד כנגדי</w:t>
      </w:r>
      <w:r>
        <w:rPr>
          <w:rFonts w:hint="cs"/>
          <w:rtl/>
          <w:lang w:eastAsia="en-US"/>
        </w:rPr>
        <w:t>".</w:t>
      </w:r>
      <w:r>
        <w:rPr>
          <w:rtl/>
          <w:lang w:eastAsia="en-US"/>
        </w:rPr>
        <w:t xml:space="preserve"> </w:t>
      </w:r>
      <w:r>
        <w:rPr>
          <w:rFonts w:hint="cs"/>
          <w:rtl/>
          <w:lang w:eastAsia="en-US"/>
        </w:rPr>
        <w:t>וההמשך בשני המקורות בסיפור היתוש שניקר בראשו של טיטוס עד שהשתגע ומת.</w:t>
      </w:r>
    </w:p>
  </w:footnote>
  <w:footnote w:id="20">
    <w:p w:rsidR="00681B83" w:rsidRDefault="00681B83">
      <w:pPr>
        <w:pStyle w:val="a3"/>
        <w:rPr>
          <w:rFonts w:hint="cs"/>
          <w:rtl/>
        </w:rPr>
      </w:pPr>
      <w:r>
        <w:rPr>
          <w:rStyle w:val="a5"/>
        </w:rPr>
        <w:footnoteRef/>
      </w:r>
      <w:r>
        <w:rPr>
          <w:rtl/>
        </w:rPr>
        <w:t xml:space="preserve"> </w:t>
      </w:r>
      <w:r>
        <w:rPr>
          <w:rFonts w:hint="cs"/>
          <w:rtl/>
          <w:lang w:eastAsia="en-US"/>
        </w:rPr>
        <w:t xml:space="preserve">הפרוכת של המקדש התמלאה בדם בהמה ואדם ונלקחה לרומי. אבחל חוט הפרוכת הדק שהבדיל בין קודש לחול ובין ישראל לעמים, שריר וקיים. ובזכותו תורמים ישראל מהונם ואונם לרקום פרוכות מעשה חושב ומעשה רוקם ועליהם פסוקים נאים מהמקרא. ואולי הפסוק המתאים מכולם, שטרם זכינו לראות רקום על פרוכות בתי הכנסת הוא הפסוק משיר השירים: </w:t>
      </w:r>
      <w:r>
        <w:rPr>
          <w:rtl/>
          <w:lang w:eastAsia="en-US"/>
        </w:rPr>
        <w:t>שיר השירים ד</w:t>
      </w:r>
      <w:r>
        <w:rPr>
          <w:rFonts w:hint="cs"/>
          <w:rtl/>
          <w:lang w:eastAsia="en-US"/>
        </w:rPr>
        <w:t xml:space="preserve"> ג: "</w:t>
      </w:r>
      <w:r>
        <w:rPr>
          <w:rtl/>
          <w:lang w:eastAsia="en-US"/>
        </w:rPr>
        <w:t>כְּחוּט הַשָּׁנִי שִׂפְתֹתַיִךְ וּמִדְבָּרֵיךְ נָאוֶה כְּפֶלַח הָרִמּוֹן רַקָּתֵךְ מִבַּעַד לְצַמָּתֵךְ</w:t>
      </w:r>
      <w:r>
        <w:rPr>
          <w:rFonts w:hint="cs"/>
          <w:rtl/>
          <w:lang w:eastAsia="en-US"/>
        </w:rPr>
        <w:t>", המרמז על חוט הקרש מנעשה ונשמע של מעמד הר סיני ועד ימינו.</w:t>
      </w:r>
    </w:p>
  </w:footnote>
  <w:footnote w:id="21">
    <w:p w:rsidR="00B8034C" w:rsidRDefault="00B8034C" w:rsidP="00B8034C">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rsidP="000C1753">
    <w:pPr>
      <w:pStyle w:val="1"/>
      <w:tabs>
        <w:tab w:val="clear" w:pos="9469"/>
        <w:tab w:val="right" w:pos="9299"/>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733F5">
      <w:rPr>
        <w:rtl/>
        <w:lang w:eastAsia="en-US"/>
      </w:rPr>
      <w:t>תרומה</w:t>
    </w:r>
    <w:r>
      <w:rPr>
        <w:rtl/>
      </w:rPr>
      <w:fldChar w:fldCharType="end"/>
    </w:r>
    <w:r>
      <w:rPr>
        <w:rtl/>
        <w:lang w:eastAsia="en-US"/>
      </w:rPr>
      <w:tab/>
    </w:r>
    <w:r>
      <w:rPr>
        <w:rFonts w:hint="cs"/>
        <w:rtl/>
        <w:lang w:eastAsia="en-US"/>
      </w:rPr>
      <w:t>תשע"</w:t>
    </w:r>
    <w:r w:rsidR="001E48C6">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733F5">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D5841">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33BF"/>
    <w:rsid w:val="00026581"/>
    <w:rsid w:val="00030B94"/>
    <w:rsid w:val="00036243"/>
    <w:rsid w:val="0003763C"/>
    <w:rsid w:val="00053568"/>
    <w:rsid w:val="00056902"/>
    <w:rsid w:val="000730C0"/>
    <w:rsid w:val="00073D71"/>
    <w:rsid w:val="00074787"/>
    <w:rsid w:val="00084817"/>
    <w:rsid w:val="00094701"/>
    <w:rsid w:val="00097B15"/>
    <w:rsid w:val="000B06A2"/>
    <w:rsid w:val="000B28F1"/>
    <w:rsid w:val="000B5E99"/>
    <w:rsid w:val="000B5FD1"/>
    <w:rsid w:val="000C0756"/>
    <w:rsid w:val="000C1753"/>
    <w:rsid w:val="000C4C09"/>
    <w:rsid w:val="000D381E"/>
    <w:rsid w:val="000D5100"/>
    <w:rsid w:val="000D6D9B"/>
    <w:rsid w:val="000E0FF0"/>
    <w:rsid w:val="000E4369"/>
    <w:rsid w:val="000F478A"/>
    <w:rsid w:val="000F74BA"/>
    <w:rsid w:val="00104787"/>
    <w:rsid w:val="001078CB"/>
    <w:rsid w:val="00113C25"/>
    <w:rsid w:val="00120610"/>
    <w:rsid w:val="00130FD7"/>
    <w:rsid w:val="00137928"/>
    <w:rsid w:val="00142F56"/>
    <w:rsid w:val="00143F34"/>
    <w:rsid w:val="00154C11"/>
    <w:rsid w:val="0016281C"/>
    <w:rsid w:val="00180F2E"/>
    <w:rsid w:val="001844CB"/>
    <w:rsid w:val="00194031"/>
    <w:rsid w:val="001B5C4F"/>
    <w:rsid w:val="001E48C6"/>
    <w:rsid w:val="001E4E83"/>
    <w:rsid w:val="001F09D5"/>
    <w:rsid w:val="001F2403"/>
    <w:rsid w:val="001F342E"/>
    <w:rsid w:val="001F4219"/>
    <w:rsid w:val="00200B56"/>
    <w:rsid w:val="002129DE"/>
    <w:rsid w:val="00214F6C"/>
    <w:rsid w:val="002233D8"/>
    <w:rsid w:val="002236B4"/>
    <w:rsid w:val="00230632"/>
    <w:rsid w:val="00230847"/>
    <w:rsid w:val="002356A1"/>
    <w:rsid w:val="002401C6"/>
    <w:rsid w:val="00240273"/>
    <w:rsid w:val="002432EF"/>
    <w:rsid w:val="00247BDA"/>
    <w:rsid w:val="00261370"/>
    <w:rsid w:val="00267911"/>
    <w:rsid w:val="002772A5"/>
    <w:rsid w:val="0027733B"/>
    <w:rsid w:val="002A2727"/>
    <w:rsid w:val="002A43BA"/>
    <w:rsid w:val="002B6554"/>
    <w:rsid w:val="002C1D23"/>
    <w:rsid w:val="002D5838"/>
    <w:rsid w:val="002D645D"/>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570"/>
    <w:rsid w:val="003644B4"/>
    <w:rsid w:val="00366614"/>
    <w:rsid w:val="003778F4"/>
    <w:rsid w:val="00377FB1"/>
    <w:rsid w:val="0039207A"/>
    <w:rsid w:val="00393F18"/>
    <w:rsid w:val="00397F07"/>
    <w:rsid w:val="003A1F4C"/>
    <w:rsid w:val="003A20DD"/>
    <w:rsid w:val="003A3DC9"/>
    <w:rsid w:val="003A5AAD"/>
    <w:rsid w:val="003D2A74"/>
    <w:rsid w:val="003D7791"/>
    <w:rsid w:val="003E472E"/>
    <w:rsid w:val="003F1F88"/>
    <w:rsid w:val="003F20CB"/>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12F69"/>
    <w:rsid w:val="00523A84"/>
    <w:rsid w:val="00524ADC"/>
    <w:rsid w:val="005401DB"/>
    <w:rsid w:val="005478DC"/>
    <w:rsid w:val="005509CC"/>
    <w:rsid w:val="00551F60"/>
    <w:rsid w:val="005529EA"/>
    <w:rsid w:val="00557949"/>
    <w:rsid w:val="005622CD"/>
    <w:rsid w:val="00562741"/>
    <w:rsid w:val="005713B9"/>
    <w:rsid w:val="005714FC"/>
    <w:rsid w:val="00580145"/>
    <w:rsid w:val="00581EE2"/>
    <w:rsid w:val="00584BF4"/>
    <w:rsid w:val="00586252"/>
    <w:rsid w:val="00591AC6"/>
    <w:rsid w:val="00592726"/>
    <w:rsid w:val="005969D3"/>
    <w:rsid w:val="005A4A24"/>
    <w:rsid w:val="005B4261"/>
    <w:rsid w:val="005B5050"/>
    <w:rsid w:val="005C28FA"/>
    <w:rsid w:val="005D1821"/>
    <w:rsid w:val="005E0EDB"/>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762EE"/>
    <w:rsid w:val="00681B83"/>
    <w:rsid w:val="00682433"/>
    <w:rsid w:val="0068629C"/>
    <w:rsid w:val="00696738"/>
    <w:rsid w:val="006A4225"/>
    <w:rsid w:val="006A5935"/>
    <w:rsid w:val="006A6F35"/>
    <w:rsid w:val="006B6AE3"/>
    <w:rsid w:val="006C540B"/>
    <w:rsid w:val="006C5E0A"/>
    <w:rsid w:val="006D299A"/>
    <w:rsid w:val="006D4C93"/>
    <w:rsid w:val="006D59F1"/>
    <w:rsid w:val="00701B07"/>
    <w:rsid w:val="00703246"/>
    <w:rsid w:val="00712AA0"/>
    <w:rsid w:val="00712F56"/>
    <w:rsid w:val="00716592"/>
    <w:rsid w:val="00723149"/>
    <w:rsid w:val="00723A66"/>
    <w:rsid w:val="00724594"/>
    <w:rsid w:val="00727BF7"/>
    <w:rsid w:val="00736C36"/>
    <w:rsid w:val="00741D10"/>
    <w:rsid w:val="007443BC"/>
    <w:rsid w:val="00744517"/>
    <w:rsid w:val="00746A72"/>
    <w:rsid w:val="007656EE"/>
    <w:rsid w:val="00783976"/>
    <w:rsid w:val="00794FC6"/>
    <w:rsid w:val="007A049B"/>
    <w:rsid w:val="007A4CDC"/>
    <w:rsid w:val="007A5321"/>
    <w:rsid w:val="007A762C"/>
    <w:rsid w:val="007A7FD2"/>
    <w:rsid w:val="007B03D1"/>
    <w:rsid w:val="007C407F"/>
    <w:rsid w:val="007E1054"/>
    <w:rsid w:val="007E2DDE"/>
    <w:rsid w:val="007E7F07"/>
    <w:rsid w:val="007F0EBA"/>
    <w:rsid w:val="00801A46"/>
    <w:rsid w:val="0080374F"/>
    <w:rsid w:val="008043F5"/>
    <w:rsid w:val="008215AA"/>
    <w:rsid w:val="00823936"/>
    <w:rsid w:val="00841A2D"/>
    <w:rsid w:val="00843F7C"/>
    <w:rsid w:val="00851074"/>
    <w:rsid w:val="00857D40"/>
    <w:rsid w:val="00863419"/>
    <w:rsid w:val="008711D1"/>
    <w:rsid w:val="008753F3"/>
    <w:rsid w:val="0088251B"/>
    <w:rsid w:val="00892714"/>
    <w:rsid w:val="008A0556"/>
    <w:rsid w:val="008A1459"/>
    <w:rsid w:val="008A523A"/>
    <w:rsid w:val="008B08B6"/>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90CC4"/>
    <w:rsid w:val="00992D6A"/>
    <w:rsid w:val="00993019"/>
    <w:rsid w:val="00995EB9"/>
    <w:rsid w:val="009A3D53"/>
    <w:rsid w:val="009B12F0"/>
    <w:rsid w:val="009B2A5A"/>
    <w:rsid w:val="009C392C"/>
    <w:rsid w:val="009D037A"/>
    <w:rsid w:val="009D5741"/>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86CFA"/>
    <w:rsid w:val="00A908E1"/>
    <w:rsid w:val="00AA10D9"/>
    <w:rsid w:val="00AA29C3"/>
    <w:rsid w:val="00AA5522"/>
    <w:rsid w:val="00AB6E59"/>
    <w:rsid w:val="00AD4167"/>
    <w:rsid w:val="00AD466F"/>
    <w:rsid w:val="00AD5841"/>
    <w:rsid w:val="00AD6FB4"/>
    <w:rsid w:val="00AE345A"/>
    <w:rsid w:val="00B009F9"/>
    <w:rsid w:val="00B10D44"/>
    <w:rsid w:val="00B1185C"/>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A380A"/>
    <w:rsid w:val="00BA388E"/>
    <w:rsid w:val="00BA544C"/>
    <w:rsid w:val="00BB22FA"/>
    <w:rsid w:val="00BC6CE0"/>
    <w:rsid w:val="00BC746F"/>
    <w:rsid w:val="00BD285B"/>
    <w:rsid w:val="00BD7A07"/>
    <w:rsid w:val="00BE2B22"/>
    <w:rsid w:val="00BE5B3D"/>
    <w:rsid w:val="00BF1756"/>
    <w:rsid w:val="00BF2E58"/>
    <w:rsid w:val="00BF5A25"/>
    <w:rsid w:val="00C2489A"/>
    <w:rsid w:val="00C31394"/>
    <w:rsid w:val="00C40B95"/>
    <w:rsid w:val="00C437F8"/>
    <w:rsid w:val="00C43ED8"/>
    <w:rsid w:val="00C62778"/>
    <w:rsid w:val="00C66262"/>
    <w:rsid w:val="00C674D7"/>
    <w:rsid w:val="00C72D35"/>
    <w:rsid w:val="00C745B7"/>
    <w:rsid w:val="00C76B49"/>
    <w:rsid w:val="00C96C8D"/>
    <w:rsid w:val="00CA4807"/>
    <w:rsid w:val="00CB7F43"/>
    <w:rsid w:val="00CD0A16"/>
    <w:rsid w:val="00CE29D8"/>
    <w:rsid w:val="00CE402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70582"/>
    <w:rsid w:val="00D72B2A"/>
    <w:rsid w:val="00D733F5"/>
    <w:rsid w:val="00D7410E"/>
    <w:rsid w:val="00DA33A0"/>
    <w:rsid w:val="00DA4089"/>
    <w:rsid w:val="00DA4340"/>
    <w:rsid w:val="00DB6E48"/>
    <w:rsid w:val="00DB7A4E"/>
    <w:rsid w:val="00DC28FA"/>
    <w:rsid w:val="00DC68F0"/>
    <w:rsid w:val="00DD712E"/>
    <w:rsid w:val="00DE2A8C"/>
    <w:rsid w:val="00DF01DA"/>
    <w:rsid w:val="00DF58BD"/>
    <w:rsid w:val="00E12581"/>
    <w:rsid w:val="00E17B2B"/>
    <w:rsid w:val="00E237DE"/>
    <w:rsid w:val="00E34793"/>
    <w:rsid w:val="00E36924"/>
    <w:rsid w:val="00E36983"/>
    <w:rsid w:val="00E4365C"/>
    <w:rsid w:val="00E55BE2"/>
    <w:rsid w:val="00E87221"/>
    <w:rsid w:val="00E90DB6"/>
    <w:rsid w:val="00E94170"/>
    <w:rsid w:val="00EA31AD"/>
    <w:rsid w:val="00EA341D"/>
    <w:rsid w:val="00EA3731"/>
    <w:rsid w:val="00EA41C0"/>
    <w:rsid w:val="00EB25B2"/>
    <w:rsid w:val="00EB3F1B"/>
    <w:rsid w:val="00EC5C32"/>
    <w:rsid w:val="00ED0032"/>
    <w:rsid w:val="00ED3C4C"/>
    <w:rsid w:val="00EF5196"/>
    <w:rsid w:val="00EF642D"/>
    <w:rsid w:val="00F065CC"/>
    <w:rsid w:val="00F166C0"/>
    <w:rsid w:val="00F22879"/>
    <w:rsid w:val="00F30223"/>
    <w:rsid w:val="00F30BAC"/>
    <w:rsid w:val="00F310E8"/>
    <w:rsid w:val="00F350F5"/>
    <w:rsid w:val="00F4010F"/>
    <w:rsid w:val="00F41240"/>
    <w:rsid w:val="00F4453B"/>
    <w:rsid w:val="00F463F5"/>
    <w:rsid w:val="00F5423D"/>
    <w:rsid w:val="00F55C32"/>
    <w:rsid w:val="00F56633"/>
    <w:rsid w:val="00F61E3F"/>
    <w:rsid w:val="00F80C1D"/>
    <w:rsid w:val="00F920FE"/>
    <w:rsid w:val="00FA7911"/>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ADEE546-1D61-43DF-87DF-88F9EA86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D5841"/>
    <w:pPr>
      <w:bidi/>
    </w:pPr>
    <w:rPr>
      <w:rFonts w:cs="Narkisim"/>
      <w:sz w:val="22"/>
      <w:szCs w:val="22"/>
      <w:lang w:eastAsia="he-IL"/>
    </w:rPr>
  </w:style>
  <w:style w:type="paragraph" w:styleId="1">
    <w:name w:val="heading 1"/>
    <w:basedOn w:val="a"/>
    <w:next w:val="a"/>
    <w:link w:val="10"/>
    <w:qFormat/>
    <w:rsid w:val="00AD5841"/>
    <w:pPr>
      <w:keepNext/>
      <w:tabs>
        <w:tab w:val="right" w:pos="9469"/>
      </w:tabs>
      <w:jc w:val="both"/>
      <w:outlineLvl w:val="0"/>
    </w:pPr>
    <w:rPr>
      <w:rFonts w:cs="David"/>
      <w:b/>
      <w:bCs/>
      <w:szCs w:val="28"/>
    </w:rPr>
  </w:style>
  <w:style w:type="character" w:default="1" w:styleId="a0">
    <w:name w:val="Default Paragraph Font"/>
    <w:uiPriority w:val="1"/>
    <w:semiHidden/>
    <w:unhideWhenUsed/>
    <w:rsid w:val="00AD58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5841"/>
  </w:style>
  <w:style w:type="paragraph" w:styleId="a3">
    <w:name w:val="footnote text"/>
    <w:basedOn w:val="a"/>
    <w:link w:val="a4"/>
    <w:rsid w:val="00AD5841"/>
    <w:pPr>
      <w:ind w:left="170" w:hanging="170"/>
      <w:jc w:val="both"/>
    </w:pPr>
    <w:rPr>
      <w:sz w:val="20"/>
      <w:szCs w:val="20"/>
    </w:rPr>
  </w:style>
  <w:style w:type="character" w:styleId="a5">
    <w:name w:val="footnote reference"/>
    <w:semiHidden/>
    <w:rsid w:val="00AD5841"/>
    <w:rPr>
      <w:vertAlign w:val="superscript"/>
    </w:rPr>
  </w:style>
  <w:style w:type="paragraph" w:styleId="a6">
    <w:name w:val="header"/>
    <w:basedOn w:val="a"/>
    <w:link w:val="a7"/>
    <w:rsid w:val="00AD5841"/>
    <w:pPr>
      <w:tabs>
        <w:tab w:val="center" w:pos="4153"/>
        <w:tab w:val="right" w:pos="8306"/>
      </w:tabs>
    </w:pPr>
  </w:style>
  <w:style w:type="paragraph" w:styleId="a8">
    <w:name w:val="footer"/>
    <w:basedOn w:val="a"/>
    <w:link w:val="a9"/>
    <w:rsid w:val="00AD5841"/>
    <w:pPr>
      <w:tabs>
        <w:tab w:val="center" w:pos="4153"/>
        <w:tab w:val="right" w:pos="8306"/>
      </w:tabs>
    </w:pPr>
  </w:style>
  <w:style w:type="paragraph" w:customStyle="1" w:styleId="aa">
    <w:name w:val="כותרת"/>
    <w:basedOn w:val="a"/>
    <w:rsid w:val="00AD5841"/>
    <w:pPr>
      <w:spacing w:before="240" w:line="320" w:lineRule="atLeast"/>
      <w:jc w:val="center"/>
    </w:pPr>
    <w:rPr>
      <w:rFonts w:cs="David"/>
      <w:b/>
      <w:bCs/>
      <w:spacing w:val="20"/>
      <w:szCs w:val="32"/>
    </w:rPr>
  </w:style>
  <w:style w:type="paragraph" w:customStyle="1" w:styleId="ab">
    <w:name w:val="כותרת קטע"/>
    <w:basedOn w:val="a"/>
    <w:rsid w:val="00AD5841"/>
    <w:pPr>
      <w:spacing w:before="240" w:line="300" w:lineRule="atLeast"/>
    </w:pPr>
    <w:rPr>
      <w:rFonts w:cs="Arial"/>
      <w:b/>
      <w:bCs/>
      <w:szCs w:val="24"/>
    </w:rPr>
  </w:style>
  <w:style w:type="paragraph" w:customStyle="1" w:styleId="ac">
    <w:name w:val="מקור"/>
    <w:basedOn w:val="a"/>
    <w:rsid w:val="00AD5841"/>
    <w:pPr>
      <w:spacing w:line="320" w:lineRule="atLeast"/>
      <w:jc w:val="both"/>
    </w:pPr>
    <w:rPr>
      <w:rFonts w:cs="David"/>
      <w:szCs w:val="24"/>
    </w:rPr>
  </w:style>
  <w:style w:type="paragraph" w:customStyle="1" w:styleId="ad">
    <w:name w:val="מחלקי המים"/>
    <w:basedOn w:val="a"/>
    <w:rsid w:val="00AD5841"/>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AD5841"/>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AD5841"/>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AD5841"/>
    <w:rPr>
      <w:rFonts w:cs="Narkisim"/>
      <w:lang w:eastAsia="he-IL"/>
    </w:rPr>
  </w:style>
  <w:style w:type="character" w:customStyle="1" w:styleId="10">
    <w:name w:val="כותרת 1 תו"/>
    <w:link w:val="1"/>
    <w:rsid w:val="00AD5841"/>
    <w:rPr>
      <w:rFonts w:cs="David"/>
      <w:b/>
      <w:bCs/>
      <w:sz w:val="22"/>
      <w:szCs w:val="28"/>
      <w:lang w:eastAsia="he-IL"/>
    </w:rPr>
  </w:style>
  <w:style w:type="character" w:customStyle="1" w:styleId="a7">
    <w:name w:val="כותרת עליונה תו"/>
    <w:link w:val="a6"/>
    <w:rsid w:val="00AD5841"/>
    <w:rPr>
      <w:rFonts w:cs="Narkisim"/>
      <w:sz w:val="22"/>
      <w:szCs w:val="22"/>
      <w:lang w:eastAsia="he-IL"/>
    </w:rPr>
  </w:style>
  <w:style w:type="character" w:customStyle="1" w:styleId="a9">
    <w:name w:val="כותרת תחתונה תו"/>
    <w:link w:val="a8"/>
    <w:rsid w:val="00AD5841"/>
    <w:rPr>
      <w:rFonts w:cs="Narkisim"/>
      <w:sz w:val="22"/>
      <w:szCs w:val="22"/>
      <w:lang w:eastAsia="he-IL"/>
    </w:rPr>
  </w:style>
  <w:style w:type="character" w:customStyle="1" w:styleId="af1">
    <w:name w:val="טקסט בלונים תו"/>
    <w:link w:val="af0"/>
    <w:uiPriority w:val="99"/>
    <w:semiHidden/>
    <w:rsid w:val="00AD584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666.wordpress.com/2009/01/05/%D7%94%D7%A4%D7%A8%D7%95%D7%9B%D7%AA-%D7%A9%D7%9C-%D7%94%D7%A7%D7%99%D7%A1%D7%A8-%D7%A0%D7%A4%D7%95%D7%9C%D7%99%D7%90%D7%95%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1%D7%A8%D7%99%D7%9D-%D7%A9%D7%A0%D7%92%D7%A0%D7%96%D7%951" TargetMode="External"/><Relationship Id="rId2" Type="http://schemas.openxmlformats.org/officeDocument/2006/relationships/hyperlink" Target="http://www.mayim.org.il/?parasha=%d7%9e%d7%96%d7%91%d7%97-%d7%94%d7%96%d7%94%d7%91-%d7%9e%d7%96%d7%91%d7%97-%d7%94%d7%a7%d7%98%d7%95%d7%a8%d7%aa"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www.mayim.org.il/?parasha=%D7%95%D7%A2%D7%A9%D7%99%D7%AA-%D7%A9%D7%95%D7%9C%D7%97%D7%9F" TargetMode="External"/><Relationship Id="rId5" Type="http://schemas.openxmlformats.org/officeDocument/2006/relationships/hyperlink" Target="http://www.mayim.org.il/?parasha=%d7%9e%d7%a2%d7%a9%d7%94-%d7%94%d7%9b%d7%a8%d7%95%d7%91%d7%99%d7%9d" TargetMode="External"/><Relationship Id="rId4" Type="http://schemas.openxmlformats.org/officeDocument/2006/relationships/hyperlink" Target="http://www.mayim.org.il/?parasha=%D7%AA%D7%97%D7%A0%D7%AA%D7%95-%D7%94%D7%90%D7%97%D7%A8%D7%95%D7%A0%D7%94-%D7%A9%D7%9C-%D7%94%D7%90%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34B6-366C-4225-A6A3-02503FA8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713</Words>
  <Characters>3569</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4274</CharactersWithSpaces>
  <SharedDoc>false</SharedDoc>
  <HLinks>
    <vt:vector size="42" baseType="variant">
      <vt:variant>
        <vt:i4>852032</vt:i4>
      </vt:variant>
      <vt:variant>
        <vt:i4>3</vt:i4>
      </vt:variant>
      <vt:variant>
        <vt:i4>0</vt:i4>
      </vt:variant>
      <vt:variant>
        <vt:i4>5</vt:i4>
      </vt:variant>
      <vt:variant>
        <vt:lpwstr>http://no666.wordpress.com/2009/01/05/%D7%94%D7%A4%D7%A8%D7%95%D7%9B%D7%AA-%D7%A9%D7%9C-%D7%94%D7%A7%D7%99%D7%A1%D7%A8-%D7%A0%D7%A4%D7%95%D7%9C%D7%99%D7%90%D7%95%D7%9F/</vt:lpwstr>
      </vt:variant>
      <vt:variant>
        <vt:lpwstr/>
      </vt:variant>
      <vt:variant>
        <vt:i4>2949240</vt:i4>
      </vt:variant>
      <vt:variant>
        <vt:i4>15</vt:i4>
      </vt:variant>
      <vt:variant>
        <vt:i4>0</vt:i4>
      </vt:variant>
      <vt:variant>
        <vt:i4>5</vt:i4>
      </vt:variant>
      <vt:variant>
        <vt:lpwstr>http://www.mayim.org.il/?parasha=%D7%95%D7%A2%D7%A9%D7%99%D7%AA-%D7%A9%D7%95%D7%9C%D7%97%D7%9F</vt:lpwstr>
      </vt:variant>
      <vt:variant>
        <vt:lpwstr/>
      </vt:variant>
      <vt:variant>
        <vt:i4>5701637</vt:i4>
      </vt:variant>
      <vt:variant>
        <vt:i4>12</vt:i4>
      </vt:variant>
      <vt:variant>
        <vt:i4>0</vt:i4>
      </vt:variant>
      <vt:variant>
        <vt:i4>5</vt:i4>
      </vt:variant>
      <vt:variant>
        <vt:lpwstr>http://www.mayim.org.il/?parasha=%d7%9e%d7%a2%d7%a9%d7%94-%d7%94%d7%9b%d7%a8%d7%95%d7%91%d7%99%d7%9d</vt:lpwstr>
      </vt:variant>
      <vt:variant>
        <vt:lpwstr/>
      </vt:variant>
      <vt:variant>
        <vt:i4>7471216</vt:i4>
      </vt:variant>
      <vt:variant>
        <vt:i4>9</vt:i4>
      </vt:variant>
      <vt:variant>
        <vt:i4>0</vt:i4>
      </vt:variant>
      <vt:variant>
        <vt:i4>5</vt:i4>
      </vt:variant>
      <vt:variant>
        <vt:lpwstr>http://www.mayim.org.il/?parasha=%D7%AA%D7%97%D7%A0%D7%AA%D7%95-%D7%94%D7%90%D7%97%D7%A8%D7%95%D7%A0%D7%94-%D7%A9%D7%9C-%D7%94%D7%90%D7%A8%D7%95%D7%9F</vt:lpwstr>
      </vt:variant>
      <vt:variant>
        <vt:lpwstr/>
      </vt:variant>
      <vt:variant>
        <vt:i4>5898322</vt:i4>
      </vt:variant>
      <vt:variant>
        <vt:i4>6</vt:i4>
      </vt:variant>
      <vt:variant>
        <vt:i4>0</vt:i4>
      </vt:variant>
      <vt:variant>
        <vt:i4>5</vt:i4>
      </vt:variant>
      <vt:variant>
        <vt:lpwstr>http://www.mayim.org.il/?parasha=%D7%93%D7%91%D7%A8%D7%99%D7%9D-%D7%A9%D7%A0%D7%92%D7%A0%D7%96%D7%951</vt:lpwstr>
      </vt:variant>
      <vt:variant>
        <vt:lpwstr/>
      </vt:variant>
      <vt:variant>
        <vt:i4>6029401</vt:i4>
      </vt:variant>
      <vt:variant>
        <vt:i4>3</vt:i4>
      </vt:variant>
      <vt:variant>
        <vt:i4>0</vt:i4>
      </vt:variant>
      <vt:variant>
        <vt:i4>5</vt:i4>
      </vt:variant>
      <vt:variant>
        <vt:lpwstr>http://www.mayim.org.il/?parasha=%d7%9e%d7%96%d7%91%d7%97-%d7%94%d7%96%d7%94%d7%91-%d7%9e%d7%96%d7%91%d7%97-%d7%94%d7%a7%d7%98%d7%95%d7%a8%d7%aa</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הפרוכת</dc:title>
  <dc:subject>תרומה</dc:subject>
  <dc:creator>Asher Yuval</dc:creator>
  <cp:keywords/>
  <cp:lastModifiedBy>שמעון אפק</cp:lastModifiedBy>
  <cp:revision>2</cp:revision>
  <cp:lastPrinted>2012-03-02T14:02:00Z</cp:lastPrinted>
  <dcterms:created xsi:type="dcterms:W3CDTF">2016-12-21T06:00:00Z</dcterms:created>
  <dcterms:modified xsi:type="dcterms:W3CDTF">2016-12-21T06:00:00Z</dcterms:modified>
</cp:coreProperties>
</file>