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37" w:rsidRDefault="006F394D" w:rsidP="00D70137">
      <w:pPr>
        <w:pStyle w:val="aa"/>
        <w:rPr>
          <w:rFonts w:hint="cs"/>
          <w:rtl/>
        </w:rPr>
      </w:pPr>
      <w:bookmarkStart w:id="0" w:name="_GoBack"/>
      <w:bookmarkEnd w:id="0"/>
      <w:r>
        <w:rPr>
          <w:rFonts w:hint="cs"/>
          <w:rtl/>
        </w:rPr>
        <w:t>בשובה ונחת תוושעון</w:t>
      </w:r>
    </w:p>
    <w:p w:rsidR="00D70137" w:rsidRPr="00A24611" w:rsidRDefault="00D47359" w:rsidP="00810326">
      <w:pPr>
        <w:pStyle w:val="ac"/>
        <w:spacing w:before="240"/>
        <w:rPr>
          <w:rFonts w:cs="Narkisim" w:hint="cs"/>
          <w:szCs w:val="22"/>
          <w:rtl/>
        </w:rPr>
      </w:pPr>
      <w:r w:rsidRPr="00A24611">
        <w:rPr>
          <w:b/>
          <w:bCs/>
          <w:rtl/>
        </w:rPr>
        <w:t xml:space="preserve">כִּי כֹה־אָמַר אֲדֹנָי </w:t>
      </w:r>
      <w:r w:rsidR="00A24611" w:rsidRPr="00A24611">
        <w:rPr>
          <w:rFonts w:hint="cs"/>
          <w:b/>
          <w:bCs/>
          <w:rtl/>
        </w:rPr>
        <w:t>ה'</w:t>
      </w:r>
      <w:r w:rsidRPr="00A24611">
        <w:rPr>
          <w:b/>
          <w:bCs/>
          <w:rtl/>
        </w:rPr>
        <w:t xml:space="preserve"> קְדוֹשׁ יִשְׂרָאֵל בְּשׁוּבָה וָנַחַת תִּוָּשֵׁעוּן בְּהַשְׁקֵט וּבְבִטְחָה תִּהְי</w:t>
      </w:r>
      <w:r w:rsidR="00A24611" w:rsidRPr="00A24611">
        <w:rPr>
          <w:b/>
          <w:bCs/>
          <w:rtl/>
        </w:rPr>
        <w:t>ֶה גְּבוּרַתְכֶם וְלֹא אֲבִיתֶם</w:t>
      </w:r>
      <w:r w:rsidR="00810326">
        <w:rPr>
          <w:rFonts w:hint="cs"/>
          <w:b/>
          <w:bCs/>
          <w:rtl/>
        </w:rPr>
        <w:t>:</w:t>
      </w:r>
      <w:r w:rsidR="00A24611">
        <w:rPr>
          <w:rFonts w:hint="cs"/>
          <w:rtl/>
        </w:rPr>
        <w:t xml:space="preserve"> </w:t>
      </w:r>
      <w:r w:rsidR="00A24611" w:rsidRPr="00A24611">
        <w:rPr>
          <w:rFonts w:cs="Narkisim" w:hint="cs"/>
          <w:szCs w:val="22"/>
          <w:rtl/>
        </w:rPr>
        <w:t>(</w:t>
      </w:r>
      <w:r w:rsidR="00A24611" w:rsidRPr="00A24611">
        <w:rPr>
          <w:rFonts w:cs="Narkisim"/>
          <w:szCs w:val="22"/>
          <w:rtl/>
        </w:rPr>
        <w:t>ישעיהו</w:t>
      </w:r>
      <w:r w:rsidR="00A24611" w:rsidRPr="00A24611">
        <w:rPr>
          <w:rFonts w:cs="Narkisim" w:hint="cs"/>
          <w:szCs w:val="22"/>
          <w:rtl/>
        </w:rPr>
        <w:t xml:space="preserve"> </w:t>
      </w:r>
      <w:r w:rsidR="00A24611" w:rsidRPr="00A24611">
        <w:rPr>
          <w:rFonts w:cs="Narkisim"/>
          <w:szCs w:val="22"/>
          <w:rtl/>
        </w:rPr>
        <w:t>ל טו</w:t>
      </w:r>
      <w:r w:rsidR="00A24611" w:rsidRPr="00A24611">
        <w:rPr>
          <w:rFonts w:cs="Narkisim" w:hint="cs"/>
          <w:szCs w:val="22"/>
          <w:rtl/>
        </w:rPr>
        <w:t>).</w:t>
      </w:r>
      <w:r w:rsidR="00A24611">
        <w:rPr>
          <w:rStyle w:val="a5"/>
          <w:rFonts w:cs="Narkisim"/>
          <w:szCs w:val="22"/>
          <w:rtl/>
        </w:rPr>
        <w:footnoteReference w:id="1"/>
      </w:r>
    </w:p>
    <w:p w:rsidR="006F394D" w:rsidRDefault="006F394D" w:rsidP="006F394D">
      <w:pPr>
        <w:pStyle w:val="ab"/>
        <w:rPr>
          <w:rFonts w:hint="cs"/>
          <w:rtl/>
        </w:rPr>
      </w:pPr>
      <w:r>
        <w:rPr>
          <w:rtl/>
        </w:rPr>
        <w:t xml:space="preserve">שמות רבה פרשת בא פרשה טז </w:t>
      </w:r>
      <w:r>
        <w:rPr>
          <w:rFonts w:hint="cs"/>
          <w:rtl/>
        </w:rPr>
        <w:t>סימן ב</w:t>
      </w:r>
      <w:r>
        <w:rPr>
          <w:rStyle w:val="a5"/>
          <w:rtl/>
        </w:rPr>
        <w:footnoteReference w:id="2"/>
      </w:r>
    </w:p>
    <w:p w:rsidR="000A0F38" w:rsidRDefault="00A24611" w:rsidP="00647544">
      <w:pPr>
        <w:pStyle w:val="ac"/>
        <w:rPr>
          <w:rFonts w:hint="cs"/>
          <w:rtl/>
        </w:rPr>
      </w:pPr>
      <w:r>
        <w:rPr>
          <w:rFonts w:hint="cs"/>
          <w:rtl/>
        </w:rPr>
        <w:t>"</w:t>
      </w:r>
      <w:r w:rsidR="006F394D">
        <w:rPr>
          <w:rtl/>
        </w:rPr>
        <w:t>משכו וקחו לכם צאן</w:t>
      </w:r>
      <w:r>
        <w:rPr>
          <w:rFonts w:hint="cs"/>
          <w:rtl/>
        </w:rPr>
        <w:t>" (שמות יב כא).</w:t>
      </w:r>
      <w:r>
        <w:rPr>
          <w:rStyle w:val="a5"/>
          <w:rtl/>
        </w:rPr>
        <w:footnoteReference w:id="3"/>
      </w:r>
      <w:r>
        <w:rPr>
          <w:rFonts w:hint="cs"/>
          <w:rtl/>
        </w:rPr>
        <w:t xml:space="preserve"> זהו שכתוב: "</w:t>
      </w:r>
      <w:r w:rsidR="006F394D">
        <w:rPr>
          <w:rtl/>
        </w:rPr>
        <w:t>בשובה ונחת תושעון</w:t>
      </w:r>
      <w:r>
        <w:rPr>
          <w:rFonts w:hint="cs"/>
          <w:rtl/>
        </w:rPr>
        <w:t xml:space="preserve">" </w:t>
      </w:r>
      <w:r>
        <w:rPr>
          <w:rtl/>
        </w:rPr>
        <w:t>(ישעיה ל)</w:t>
      </w:r>
      <w:r>
        <w:rPr>
          <w:rFonts w:hint="cs"/>
          <w:rtl/>
        </w:rPr>
        <w:t xml:space="preserve">. שנינו: </w:t>
      </w:r>
      <w:r w:rsidR="006F394D">
        <w:rPr>
          <w:rtl/>
        </w:rPr>
        <w:t>בכל מתרפאין חוץ מ</w:t>
      </w:r>
      <w:r w:rsidR="00977C3F">
        <w:rPr>
          <w:rtl/>
        </w:rPr>
        <w:t>עבודה זרה</w:t>
      </w:r>
      <w:r w:rsidR="006F394D">
        <w:rPr>
          <w:rtl/>
        </w:rPr>
        <w:t>, וגילוי עריות, ושפיכות דמים</w:t>
      </w:r>
      <w:r>
        <w:rPr>
          <w:rFonts w:hint="cs"/>
          <w:rtl/>
        </w:rPr>
        <w:t>.</w:t>
      </w:r>
      <w:r w:rsidR="000A0F38">
        <w:rPr>
          <w:rStyle w:val="a5"/>
          <w:rtl/>
        </w:rPr>
        <w:footnoteReference w:id="4"/>
      </w:r>
      <w:r w:rsidR="006F394D">
        <w:rPr>
          <w:rtl/>
        </w:rPr>
        <w:t xml:space="preserve"> כיצד</w:t>
      </w:r>
      <w:r w:rsidR="000A0F38">
        <w:rPr>
          <w:rFonts w:hint="cs"/>
          <w:rtl/>
        </w:rPr>
        <w:t>?</w:t>
      </w:r>
      <w:r w:rsidR="006F394D">
        <w:rPr>
          <w:rtl/>
        </w:rPr>
        <w:t xml:space="preserve"> שאם יאמרו לו לאדם</w:t>
      </w:r>
      <w:r w:rsidR="000A0F38">
        <w:rPr>
          <w:rFonts w:hint="cs"/>
          <w:rtl/>
        </w:rPr>
        <w:t>:</w:t>
      </w:r>
      <w:r w:rsidR="006F394D">
        <w:rPr>
          <w:rtl/>
        </w:rPr>
        <w:t xml:space="preserve"> ב</w:t>
      </w:r>
      <w:r w:rsidR="000A0F38">
        <w:rPr>
          <w:rFonts w:hint="cs"/>
          <w:rtl/>
        </w:rPr>
        <w:t>ו</w:t>
      </w:r>
      <w:r w:rsidR="006F394D">
        <w:rPr>
          <w:rtl/>
        </w:rPr>
        <w:t>א והרוג את הנפש ואתה מתרפא</w:t>
      </w:r>
      <w:r w:rsidR="000A0F38">
        <w:rPr>
          <w:rFonts w:hint="cs"/>
          <w:rtl/>
        </w:rPr>
        <w:t>,</w:t>
      </w:r>
      <w:r w:rsidR="006F394D">
        <w:rPr>
          <w:rtl/>
        </w:rPr>
        <w:t xml:space="preserve"> אל ישמע להן, שכן כת</w:t>
      </w:r>
      <w:r w:rsidR="000A0F38">
        <w:rPr>
          <w:rFonts w:hint="cs"/>
          <w:rtl/>
        </w:rPr>
        <w:t>ו</w:t>
      </w:r>
      <w:r w:rsidR="006F394D">
        <w:rPr>
          <w:rtl/>
        </w:rPr>
        <w:t>ב</w:t>
      </w:r>
      <w:r w:rsidR="000A0F38">
        <w:rPr>
          <w:rFonts w:hint="cs"/>
          <w:rtl/>
        </w:rPr>
        <w:t>:</w:t>
      </w:r>
      <w:r w:rsidR="006F394D">
        <w:rPr>
          <w:rtl/>
        </w:rPr>
        <w:t xml:space="preserve"> </w:t>
      </w:r>
      <w:r w:rsidR="000A0F38">
        <w:rPr>
          <w:rFonts w:hint="cs"/>
          <w:rtl/>
        </w:rPr>
        <w:t>"</w:t>
      </w:r>
      <w:r w:rsidR="006F394D">
        <w:rPr>
          <w:rtl/>
        </w:rPr>
        <w:t>שופך דם האדם באדם דמו ישפך</w:t>
      </w:r>
      <w:r w:rsidR="000A0F38">
        <w:rPr>
          <w:rFonts w:hint="cs"/>
          <w:rtl/>
        </w:rPr>
        <w:t xml:space="preserve">" </w:t>
      </w:r>
      <w:r w:rsidR="000A0F38">
        <w:rPr>
          <w:rtl/>
        </w:rPr>
        <w:t>(בראשית ט</w:t>
      </w:r>
      <w:r w:rsidR="000A0F38">
        <w:rPr>
          <w:rFonts w:hint="cs"/>
          <w:rtl/>
        </w:rPr>
        <w:t xml:space="preserve"> ו</w:t>
      </w:r>
      <w:r w:rsidR="000A0F38">
        <w:rPr>
          <w:rtl/>
        </w:rPr>
        <w:t>)</w:t>
      </w:r>
      <w:r w:rsidR="000A0F38">
        <w:rPr>
          <w:rFonts w:hint="cs"/>
          <w:rtl/>
        </w:rPr>
        <w:t xml:space="preserve"> - </w:t>
      </w:r>
      <w:r w:rsidR="006F394D">
        <w:rPr>
          <w:rtl/>
        </w:rPr>
        <w:t>הואיל וכל מי שהוא שופך דם האדם</w:t>
      </w:r>
      <w:r w:rsidR="00647544">
        <w:rPr>
          <w:rFonts w:hint="cs"/>
          <w:rtl/>
        </w:rPr>
        <w:t xml:space="preserve"> - </w:t>
      </w:r>
      <w:r w:rsidR="006F394D">
        <w:rPr>
          <w:rtl/>
        </w:rPr>
        <w:t>באדם דמו ישפך</w:t>
      </w:r>
      <w:r w:rsidR="000A0F38">
        <w:rPr>
          <w:rFonts w:hint="cs"/>
          <w:rtl/>
        </w:rPr>
        <w:t>,</w:t>
      </w:r>
      <w:r w:rsidR="006F394D">
        <w:rPr>
          <w:rtl/>
        </w:rPr>
        <w:t xml:space="preserve"> היאך יכול החולה להתרפאות בשפיכות דמים</w:t>
      </w:r>
      <w:r w:rsidR="000A0F38">
        <w:rPr>
          <w:rFonts w:hint="cs"/>
          <w:rtl/>
        </w:rPr>
        <w:t>?</w:t>
      </w:r>
      <w:r w:rsidR="00647544">
        <w:rPr>
          <w:rStyle w:val="a5"/>
          <w:rtl/>
        </w:rPr>
        <w:footnoteReference w:id="5"/>
      </w:r>
    </w:p>
    <w:p w:rsidR="00F65035" w:rsidRDefault="006F394D" w:rsidP="00960683">
      <w:pPr>
        <w:pStyle w:val="ac"/>
        <w:rPr>
          <w:rFonts w:hint="cs"/>
          <w:rtl/>
        </w:rPr>
      </w:pPr>
      <w:r>
        <w:rPr>
          <w:rtl/>
        </w:rPr>
        <w:t>גילוי עריות כיצד</w:t>
      </w:r>
      <w:r w:rsidR="000A0F38">
        <w:rPr>
          <w:rFonts w:hint="cs"/>
          <w:rtl/>
        </w:rPr>
        <w:t>?</w:t>
      </w:r>
      <w:r>
        <w:rPr>
          <w:rtl/>
        </w:rPr>
        <w:t xml:space="preserve"> אם יאמרו לו לאדם</w:t>
      </w:r>
      <w:r w:rsidR="00F65035">
        <w:rPr>
          <w:rFonts w:hint="cs"/>
          <w:rtl/>
        </w:rPr>
        <w:t>:</w:t>
      </w:r>
      <w:r>
        <w:rPr>
          <w:rtl/>
        </w:rPr>
        <w:t xml:space="preserve"> עסו</w:t>
      </w:r>
      <w:r w:rsidR="00F65035">
        <w:rPr>
          <w:rtl/>
        </w:rPr>
        <w:t>ֹ</w:t>
      </w:r>
      <w:r>
        <w:rPr>
          <w:rtl/>
        </w:rPr>
        <w:t>ק בגלוי עריות ואתה מתרפא</w:t>
      </w:r>
      <w:r w:rsidR="00F65035">
        <w:rPr>
          <w:rFonts w:hint="cs"/>
          <w:rtl/>
        </w:rPr>
        <w:t>,</w:t>
      </w:r>
      <w:r w:rsidR="00F65035">
        <w:rPr>
          <w:rtl/>
        </w:rPr>
        <w:t xml:space="preserve"> לא ישמע לה</w:t>
      </w:r>
      <w:r w:rsidR="00F65035">
        <w:rPr>
          <w:rFonts w:hint="cs"/>
          <w:rtl/>
        </w:rPr>
        <w:t>ם.</w:t>
      </w:r>
      <w:r>
        <w:rPr>
          <w:rtl/>
        </w:rPr>
        <w:t xml:space="preserve"> שאסור לו לאדם לעסוק בגלוי עריות</w:t>
      </w:r>
      <w:r w:rsidR="00F65035">
        <w:rPr>
          <w:rFonts w:hint="cs"/>
          <w:rtl/>
        </w:rPr>
        <w:t>.</w:t>
      </w:r>
      <w:r>
        <w:rPr>
          <w:rtl/>
        </w:rPr>
        <w:t xml:space="preserve"> אתה מוצא שתי פרשיות סמוכות</w:t>
      </w:r>
      <w:r w:rsidR="00F65035">
        <w:rPr>
          <w:rFonts w:hint="cs"/>
          <w:rtl/>
        </w:rPr>
        <w:t>:</w:t>
      </w:r>
      <w:r>
        <w:rPr>
          <w:rtl/>
        </w:rPr>
        <w:t xml:space="preserve"> פרשת נזיר ופרשת סוטה</w:t>
      </w:r>
      <w:r w:rsidR="00F65035">
        <w:rPr>
          <w:rFonts w:hint="cs"/>
          <w:rtl/>
        </w:rPr>
        <w:t>.</w:t>
      </w:r>
      <w:r>
        <w:rPr>
          <w:rtl/>
        </w:rPr>
        <w:t xml:space="preserve"> הנזיר נודר שלא לשתות יין</w:t>
      </w:r>
      <w:r w:rsidR="00F65035">
        <w:rPr>
          <w:rFonts w:hint="cs"/>
          <w:rtl/>
        </w:rPr>
        <w:t>;</w:t>
      </w:r>
      <w:r>
        <w:rPr>
          <w:rtl/>
        </w:rPr>
        <w:t xml:space="preserve"> אמר לו </w:t>
      </w:r>
      <w:r w:rsidR="004C1681">
        <w:rPr>
          <w:rtl/>
        </w:rPr>
        <w:t>הקב"ה</w:t>
      </w:r>
      <w:r w:rsidR="00F65035">
        <w:rPr>
          <w:rFonts w:hint="cs"/>
          <w:rtl/>
        </w:rPr>
        <w:t>:</w:t>
      </w:r>
      <w:r>
        <w:rPr>
          <w:rtl/>
        </w:rPr>
        <w:t xml:space="preserve"> נדרת שלא לשתות יין כדי להרחיק עצמך מן העבירה</w:t>
      </w:r>
      <w:r w:rsidR="00F65035">
        <w:rPr>
          <w:rFonts w:hint="cs"/>
          <w:rtl/>
        </w:rPr>
        <w:t>,</w:t>
      </w:r>
      <w:r>
        <w:rPr>
          <w:rtl/>
        </w:rPr>
        <w:t xml:space="preserve"> אל תאמר הריני או</w:t>
      </w:r>
      <w:r w:rsidR="00F65035">
        <w:rPr>
          <w:rtl/>
        </w:rPr>
        <w:t>ֹ</w:t>
      </w:r>
      <w:r>
        <w:rPr>
          <w:rtl/>
        </w:rPr>
        <w:t>כ</w:t>
      </w:r>
      <w:r w:rsidR="00F65035">
        <w:rPr>
          <w:rtl/>
        </w:rPr>
        <w:t>ֵ</w:t>
      </w:r>
      <w:r>
        <w:rPr>
          <w:rtl/>
        </w:rPr>
        <w:t>ל ענבים ואין לי עון</w:t>
      </w:r>
      <w:r w:rsidR="00F65035">
        <w:rPr>
          <w:rFonts w:hint="cs"/>
          <w:rtl/>
        </w:rPr>
        <w:t>! או</w:t>
      </w:r>
      <w:r w:rsidR="00F65035">
        <w:rPr>
          <w:rFonts w:hint="eastAsia"/>
          <w:rtl/>
        </w:rPr>
        <w:t>ֹ</w:t>
      </w:r>
      <w:r w:rsidR="00F65035">
        <w:rPr>
          <w:rFonts w:hint="cs"/>
          <w:rtl/>
        </w:rPr>
        <w:t>כ</w:t>
      </w:r>
      <w:r w:rsidR="00F65035">
        <w:rPr>
          <w:rFonts w:hint="eastAsia"/>
          <w:rtl/>
        </w:rPr>
        <w:t>ָ</w:t>
      </w:r>
      <w:r w:rsidR="00F65035">
        <w:rPr>
          <w:rFonts w:hint="cs"/>
          <w:rtl/>
        </w:rPr>
        <w:t>ל משרת ענבים ואין לי עוון!</w:t>
      </w:r>
      <w:r w:rsidR="00F83348">
        <w:rPr>
          <w:rStyle w:val="a5"/>
          <w:rtl/>
        </w:rPr>
        <w:footnoteReference w:id="6"/>
      </w:r>
      <w:r>
        <w:rPr>
          <w:rtl/>
        </w:rPr>
        <w:t xml:space="preserve"> אמר לו </w:t>
      </w:r>
      <w:r w:rsidR="004C1681">
        <w:rPr>
          <w:rtl/>
        </w:rPr>
        <w:t>הקב"ה</w:t>
      </w:r>
      <w:r w:rsidR="00F65035">
        <w:rPr>
          <w:rFonts w:hint="cs"/>
          <w:rtl/>
        </w:rPr>
        <w:t>:</w:t>
      </w:r>
      <w:r>
        <w:rPr>
          <w:rtl/>
        </w:rPr>
        <w:t xml:space="preserve"> הואיל ונדרת מן היין</w:t>
      </w:r>
      <w:r w:rsidR="00F65035">
        <w:rPr>
          <w:rFonts w:hint="cs"/>
          <w:rtl/>
        </w:rPr>
        <w:t>,</w:t>
      </w:r>
      <w:r>
        <w:rPr>
          <w:rtl/>
        </w:rPr>
        <w:t xml:space="preserve"> הריני מלמדך שלא תחטא לפני</w:t>
      </w:r>
      <w:r w:rsidR="00F65035">
        <w:rPr>
          <w:rFonts w:hint="cs"/>
          <w:rtl/>
        </w:rPr>
        <w:t>.</w:t>
      </w:r>
      <w:r>
        <w:rPr>
          <w:rtl/>
        </w:rPr>
        <w:t xml:space="preserve"> אמר למשה</w:t>
      </w:r>
      <w:r w:rsidR="00F65035">
        <w:rPr>
          <w:rFonts w:hint="cs"/>
          <w:rtl/>
        </w:rPr>
        <w:t>:</w:t>
      </w:r>
      <w:r>
        <w:rPr>
          <w:rtl/>
        </w:rPr>
        <w:t xml:space="preserve"> ל</w:t>
      </w:r>
      <w:r w:rsidR="00F65035">
        <w:rPr>
          <w:rtl/>
        </w:rPr>
        <w:t>ַ</w:t>
      </w:r>
      <w:r>
        <w:rPr>
          <w:rtl/>
        </w:rPr>
        <w:t>מ</w:t>
      </w:r>
      <w:r w:rsidR="00F65035">
        <w:rPr>
          <w:rtl/>
        </w:rPr>
        <w:t>ֵּ</w:t>
      </w:r>
      <w:r>
        <w:rPr>
          <w:rtl/>
        </w:rPr>
        <w:t>ד לישראל הלכות נזירות, שנאמר</w:t>
      </w:r>
      <w:r w:rsidR="00F83348">
        <w:rPr>
          <w:rFonts w:hint="cs"/>
          <w:rtl/>
        </w:rPr>
        <w:t>:</w:t>
      </w:r>
      <w:r>
        <w:rPr>
          <w:rtl/>
        </w:rPr>
        <w:t xml:space="preserve"> </w:t>
      </w:r>
      <w:r w:rsidR="00D201A4">
        <w:rPr>
          <w:rFonts w:hint="cs"/>
          <w:rtl/>
        </w:rPr>
        <w:t>"</w:t>
      </w:r>
      <w:r w:rsidR="00D201A4">
        <w:rPr>
          <w:rtl/>
        </w:rPr>
        <w:t>אִישׁ אוֹ־אִשָּׁה כִּי יַפְלִא לִנְדֹּר נֶדֶר נָזִיר לְהַזִּיר לַ</w:t>
      </w:r>
      <w:r w:rsidR="00D201A4">
        <w:rPr>
          <w:rFonts w:hint="cs"/>
          <w:rtl/>
        </w:rPr>
        <w:t>ה'</w:t>
      </w:r>
      <w:r w:rsidR="00D201A4">
        <w:rPr>
          <w:rtl/>
        </w:rPr>
        <w:t>:</w:t>
      </w:r>
      <w:r w:rsidR="00D201A4">
        <w:rPr>
          <w:rFonts w:hint="cs"/>
          <w:rtl/>
        </w:rPr>
        <w:t xml:space="preserve"> </w:t>
      </w:r>
      <w:r w:rsidR="00D201A4">
        <w:rPr>
          <w:rtl/>
        </w:rPr>
        <w:t>מִיַּיִן וְשֵׁכָר יַזִּיר</w:t>
      </w:r>
      <w:r w:rsidR="00D201A4">
        <w:rPr>
          <w:rFonts w:hint="cs"/>
          <w:rtl/>
        </w:rPr>
        <w:t xml:space="preserve"> ...</w:t>
      </w:r>
      <w:r w:rsidR="00D201A4">
        <w:rPr>
          <w:rtl/>
        </w:rPr>
        <w:t xml:space="preserve"> וְכָל־מִשְׁרַת עֲנָבִים לֹא יִשְׁתֶּה וַעֲנָבִים לַחִים וִיבֵשִׁים לֹא יֹאכֵל</w:t>
      </w:r>
      <w:r w:rsidR="00D201A4">
        <w:rPr>
          <w:rFonts w:hint="cs"/>
          <w:rtl/>
        </w:rPr>
        <w:t xml:space="preserve"> ...</w:t>
      </w:r>
      <w:r w:rsidR="00D201A4">
        <w:rPr>
          <w:rtl/>
        </w:rPr>
        <w:t xml:space="preserve"> מִכֹּל אֲשֶׁר יֵעָשֶׂה מִגֶּפֶן הַיַּיִן מֵחַרְצַנִּים וְעַד־זָג לֹא יֹאכֵל</w:t>
      </w:r>
      <w:r w:rsidR="00D201A4">
        <w:rPr>
          <w:rFonts w:hint="cs"/>
          <w:rtl/>
        </w:rPr>
        <w:t>"</w:t>
      </w:r>
      <w:r w:rsidR="00D201A4">
        <w:rPr>
          <w:rtl/>
        </w:rPr>
        <w:t xml:space="preserve"> </w:t>
      </w:r>
      <w:r w:rsidR="00F83348">
        <w:rPr>
          <w:rtl/>
        </w:rPr>
        <w:t>(במדבר ו</w:t>
      </w:r>
      <w:r w:rsidR="00D201A4">
        <w:rPr>
          <w:rFonts w:hint="cs"/>
          <w:rtl/>
        </w:rPr>
        <w:t xml:space="preserve"> ב-ד</w:t>
      </w:r>
      <w:r w:rsidR="00F83348">
        <w:rPr>
          <w:rtl/>
        </w:rPr>
        <w:t>)</w:t>
      </w:r>
      <w:r w:rsidR="00D201A4">
        <w:rPr>
          <w:rFonts w:hint="cs"/>
          <w:rtl/>
        </w:rPr>
        <w:t>.</w:t>
      </w:r>
      <w:r w:rsidR="00F83348">
        <w:rPr>
          <w:rtl/>
        </w:rPr>
        <w:t xml:space="preserve"> </w:t>
      </w:r>
      <w:r>
        <w:rPr>
          <w:rtl/>
        </w:rPr>
        <w:t>וכיון שיעשה כך</w:t>
      </w:r>
      <w:r w:rsidR="00D201A4">
        <w:rPr>
          <w:rFonts w:hint="cs"/>
          <w:rtl/>
        </w:rPr>
        <w:t>,</w:t>
      </w:r>
      <w:r>
        <w:rPr>
          <w:rtl/>
        </w:rPr>
        <w:t xml:space="preserve"> הרי הוא כמלאך</w:t>
      </w:r>
      <w:r w:rsidR="00D201A4">
        <w:rPr>
          <w:rFonts w:hint="cs"/>
          <w:rtl/>
        </w:rPr>
        <w:t>: "</w:t>
      </w:r>
      <w:r>
        <w:rPr>
          <w:rtl/>
        </w:rPr>
        <w:t>כל ימי נזרו ק</w:t>
      </w:r>
      <w:r w:rsidR="00D201A4">
        <w:rPr>
          <w:rFonts w:hint="cs"/>
          <w:rtl/>
        </w:rPr>
        <w:t>ו</w:t>
      </w:r>
      <w:r>
        <w:rPr>
          <w:rtl/>
        </w:rPr>
        <w:t>דש הוא לה'</w:t>
      </w:r>
      <w:r w:rsidR="00C36605">
        <w:rPr>
          <w:rFonts w:hint="cs"/>
          <w:rtl/>
        </w:rPr>
        <w:t xml:space="preserve"> "</w:t>
      </w:r>
      <w:r>
        <w:rPr>
          <w:rtl/>
        </w:rPr>
        <w:t>, כ</w:t>
      </w:r>
      <w:r w:rsidR="00D201A4">
        <w:rPr>
          <w:rFonts w:hint="cs"/>
          <w:rtl/>
        </w:rPr>
        <w:t xml:space="preserve">מו שאתה אומר: </w:t>
      </w:r>
      <w:r w:rsidR="00C36605">
        <w:rPr>
          <w:rFonts w:hint="cs"/>
          <w:rtl/>
        </w:rPr>
        <w:t>"</w:t>
      </w:r>
      <w:r w:rsidR="00C36605">
        <w:rPr>
          <w:rtl/>
        </w:rPr>
        <w:t>וַאֲלוּ עִיר וְקַדִּישׁ מִן־שְׁמַיָּא נָחִת</w:t>
      </w:r>
      <w:r w:rsidR="00C36605">
        <w:rPr>
          <w:rFonts w:hint="cs"/>
          <w:rtl/>
        </w:rPr>
        <w:t>" (</w:t>
      </w:r>
      <w:r w:rsidR="00C36605">
        <w:rPr>
          <w:rtl/>
        </w:rPr>
        <w:t>דניאל ד י)</w:t>
      </w:r>
      <w:r w:rsidR="00C36605">
        <w:rPr>
          <w:rFonts w:hint="cs"/>
          <w:rtl/>
        </w:rPr>
        <w:t>.</w:t>
      </w:r>
      <w:r w:rsidR="00C36605">
        <w:rPr>
          <w:rStyle w:val="a5"/>
          <w:rtl/>
        </w:rPr>
        <w:footnoteReference w:id="7"/>
      </w:r>
      <w:r w:rsidR="00C36605">
        <w:rPr>
          <w:rFonts w:hint="cs"/>
          <w:rtl/>
        </w:rPr>
        <w:t xml:space="preserve"> </w:t>
      </w:r>
      <w:r>
        <w:rPr>
          <w:rtl/>
        </w:rPr>
        <w:t>וכן האשה נקראת גפן</w:t>
      </w:r>
      <w:r w:rsidR="008D74FB">
        <w:rPr>
          <w:rFonts w:hint="cs"/>
          <w:rtl/>
        </w:rPr>
        <w:t>,</w:t>
      </w:r>
      <w:r>
        <w:rPr>
          <w:rtl/>
        </w:rPr>
        <w:t xml:space="preserve"> שנאמר</w:t>
      </w:r>
      <w:r w:rsidR="008D74FB">
        <w:rPr>
          <w:rFonts w:hint="cs"/>
          <w:rtl/>
        </w:rPr>
        <w:t>:</w:t>
      </w:r>
      <w:r>
        <w:rPr>
          <w:rtl/>
        </w:rPr>
        <w:t xml:space="preserve"> </w:t>
      </w:r>
      <w:r w:rsidR="008D74FB">
        <w:rPr>
          <w:rFonts w:hint="cs"/>
          <w:rtl/>
        </w:rPr>
        <w:t>"</w:t>
      </w:r>
      <w:r>
        <w:rPr>
          <w:rtl/>
        </w:rPr>
        <w:t>אשתך כגפן פוריה</w:t>
      </w:r>
      <w:r w:rsidR="008D74FB">
        <w:rPr>
          <w:rFonts w:hint="cs"/>
          <w:rtl/>
        </w:rPr>
        <w:t xml:space="preserve"> בירכתי ביתך" </w:t>
      </w:r>
      <w:r w:rsidR="008D74FB">
        <w:rPr>
          <w:rtl/>
        </w:rPr>
        <w:t>(תהלים קכח</w:t>
      </w:r>
      <w:r w:rsidR="008D74FB">
        <w:rPr>
          <w:rFonts w:hint="cs"/>
          <w:rtl/>
        </w:rPr>
        <w:t xml:space="preserve"> ג</w:t>
      </w:r>
      <w:r w:rsidR="008D74FB">
        <w:rPr>
          <w:rtl/>
        </w:rPr>
        <w:t>)</w:t>
      </w:r>
      <w:r w:rsidR="008D74FB">
        <w:rPr>
          <w:rFonts w:hint="cs"/>
          <w:rtl/>
        </w:rPr>
        <w:t xml:space="preserve"> - </w:t>
      </w:r>
      <w:r>
        <w:rPr>
          <w:rtl/>
        </w:rPr>
        <w:t xml:space="preserve">אמר </w:t>
      </w:r>
      <w:r w:rsidR="004C1681">
        <w:rPr>
          <w:rtl/>
        </w:rPr>
        <w:t>הקב"ה</w:t>
      </w:r>
      <w:r w:rsidR="008D74FB">
        <w:rPr>
          <w:rFonts w:hint="cs"/>
          <w:rtl/>
        </w:rPr>
        <w:t>:</w:t>
      </w:r>
      <w:r>
        <w:rPr>
          <w:rtl/>
        </w:rPr>
        <w:t xml:space="preserve"> אל תאמר</w:t>
      </w:r>
      <w:r w:rsidR="008D74FB">
        <w:rPr>
          <w:rFonts w:hint="cs"/>
          <w:rtl/>
        </w:rPr>
        <w:t>:</w:t>
      </w:r>
      <w:r>
        <w:rPr>
          <w:rtl/>
        </w:rPr>
        <w:t xml:space="preserve"> הואיל ואסור לי להשתמש באשה</w:t>
      </w:r>
      <w:r w:rsidR="008D74FB">
        <w:rPr>
          <w:rFonts w:hint="cs"/>
          <w:rtl/>
        </w:rPr>
        <w:t>,</w:t>
      </w:r>
      <w:r>
        <w:rPr>
          <w:rtl/>
        </w:rPr>
        <w:t xml:space="preserve"> הריני תופשה ואין לי עון</w:t>
      </w:r>
      <w:r w:rsidR="008D74FB">
        <w:rPr>
          <w:rFonts w:hint="cs"/>
          <w:rtl/>
        </w:rPr>
        <w:t>,</w:t>
      </w:r>
      <w:r>
        <w:rPr>
          <w:rtl/>
        </w:rPr>
        <w:t xml:space="preserve"> או שאני מגפפה ואין לי עון</w:t>
      </w:r>
      <w:r w:rsidR="008D74FB">
        <w:rPr>
          <w:rFonts w:hint="cs"/>
          <w:rtl/>
        </w:rPr>
        <w:t>,</w:t>
      </w:r>
      <w:r>
        <w:rPr>
          <w:rtl/>
        </w:rPr>
        <w:t xml:space="preserve"> אני נושקה ואין לי עון</w:t>
      </w:r>
      <w:r w:rsidR="008D74FB">
        <w:rPr>
          <w:rFonts w:hint="cs"/>
          <w:rtl/>
        </w:rPr>
        <w:t>.</w:t>
      </w:r>
      <w:r>
        <w:rPr>
          <w:rtl/>
        </w:rPr>
        <w:t xml:space="preserve"> אמר </w:t>
      </w:r>
      <w:r w:rsidR="004C1681">
        <w:rPr>
          <w:rtl/>
        </w:rPr>
        <w:t>הקב"ה</w:t>
      </w:r>
      <w:r w:rsidR="008D74FB">
        <w:rPr>
          <w:rFonts w:hint="cs"/>
          <w:rtl/>
        </w:rPr>
        <w:t>:</w:t>
      </w:r>
      <w:r>
        <w:rPr>
          <w:rtl/>
        </w:rPr>
        <w:t xml:space="preserve"> כשם שאם נדר נזיר שלא לשתות יין</w:t>
      </w:r>
      <w:r w:rsidR="008D74FB">
        <w:rPr>
          <w:rFonts w:hint="cs"/>
          <w:rtl/>
        </w:rPr>
        <w:t>,</w:t>
      </w:r>
      <w:r>
        <w:rPr>
          <w:rtl/>
        </w:rPr>
        <w:t xml:space="preserve"> אסור לאכול ענבים לחים ויבשים</w:t>
      </w:r>
      <w:r w:rsidR="008D74FB">
        <w:rPr>
          <w:rFonts w:hint="cs"/>
          <w:rtl/>
        </w:rPr>
        <w:t>,</w:t>
      </w:r>
      <w:r>
        <w:rPr>
          <w:rtl/>
        </w:rPr>
        <w:t xml:space="preserve"> ו</w:t>
      </w:r>
      <w:r w:rsidR="008D74FB">
        <w:rPr>
          <w:rtl/>
        </w:rPr>
        <w:t>ּ</w:t>
      </w:r>
      <w:r>
        <w:rPr>
          <w:rtl/>
        </w:rPr>
        <w:t>מ</w:t>
      </w:r>
      <w:r w:rsidR="008D74FB">
        <w:rPr>
          <w:rtl/>
        </w:rPr>
        <w:t>ִ</w:t>
      </w:r>
      <w:r>
        <w:rPr>
          <w:rtl/>
        </w:rPr>
        <w:t>ש</w:t>
      </w:r>
      <w:r w:rsidR="008D74FB">
        <w:rPr>
          <w:rtl/>
        </w:rPr>
        <w:t>ְׁ</w:t>
      </w:r>
      <w:r>
        <w:rPr>
          <w:rtl/>
        </w:rPr>
        <w:t>ר</w:t>
      </w:r>
      <w:r w:rsidR="008D74FB">
        <w:rPr>
          <w:rtl/>
        </w:rPr>
        <w:t>ַ</w:t>
      </w:r>
      <w:r>
        <w:rPr>
          <w:rtl/>
        </w:rPr>
        <w:t>ת ענבים וכל היוצא מגפן היין</w:t>
      </w:r>
      <w:r w:rsidR="008D74FB">
        <w:rPr>
          <w:rFonts w:hint="cs"/>
          <w:rtl/>
        </w:rPr>
        <w:t xml:space="preserve">, </w:t>
      </w:r>
      <w:r>
        <w:rPr>
          <w:rtl/>
        </w:rPr>
        <w:t>אף אשה שאינה שלך</w:t>
      </w:r>
      <w:r w:rsidR="008D74FB">
        <w:rPr>
          <w:rFonts w:hint="cs"/>
          <w:rtl/>
        </w:rPr>
        <w:t>,</w:t>
      </w:r>
      <w:r>
        <w:rPr>
          <w:rtl/>
        </w:rPr>
        <w:t xml:space="preserve"> אסור ליגע בה כל עיקר, שכן שלמה אומר</w:t>
      </w:r>
      <w:r w:rsidR="008D74FB">
        <w:rPr>
          <w:rFonts w:hint="cs"/>
          <w:rtl/>
        </w:rPr>
        <w:t>: "</w:t>
      </w:r>
      <w:r w:rsidR="008D74FB">
        <w:rPr>
          <w:rtl/>
        </w:rPr>
        <w:t>הֲיַחְתֶּה אִישׁ אֵשׁ בְּחֵיקוֹ וּבְגָדָיו לֹא תִשָּׂרַפְנָה</w:t>
      </w:r>
      <w:r w:rsidR="008D74FB">
        <w:rPr>
          <w:rFonts w:hint="cs"/>
          <w:rtl/>
        </w:rPr>
        <w:t xml:space="preserve">? ... </w:t>
      </w:r>
      <w:r w:rsidR="008D74FB">
        <w:rPr>
          <w:rtl/>
        </w:rPr>
        <w:t xml:space="preserve">כֵּן הַבָּא אֶל־אֵשֶׁת רֵעֵהוּ לֹא </w:t>
      </w:r>
      <w:r w:rsidR="008D74FB">
        <w:rPr>
          <w:rtl/>
        </w:rPr>
        <w:lastRenderedPageBreak/>
        <w:t>יִנָּקֶה כָּל־הַנֹּגֵעַ בָּהּ</w:t>
      </w:r>
      <w:r w:rsidR="008D74FB">
        <w:rPr>
          <w:rFonts w:hint="cs"/>
          <w:rtl/>
        </w:rPr>
        <w:t xml:space="preserve">" </w:t>
      </w:r>
      <w:r>
        <w:rPr>
          <w:rtl/>
        </w:rPr>
        <w:t>(משלי ו</w:t>
      </w:r>
      <w:r w:rsidR="008D74FB">
        <w:rPr>
          <w:rFonts w:hint="cs"/>
          <w:rtl/>
        </w:rPr>
        <w:t xml:space="preserve"> כז-כט</w:t>
      </w:r>
      <w:r>
        <w:rPr>
          <w:rtl/>
        </w:rPr>
        <w:t>)</w:t>
      </w:r>
      <w:r w:rsidR="008D74FB">
        <w:rPr>
          <w:rFonts w:hint="cs"/>
          <w:rtl/>
        </w:rPr>
        <w:t xml:space="preserve">. </w:t>
      </w:r>
      <w:r>
        <w:rPr>
          <w:rtl/>
        </w:rPr>
        <w:t xml:space="preserve">לכך סמך </w:t>
      </w:r>
      <w:r w:rsidR="004C1681">
        <w:rPr>
          <w:rtl/>
        </w:rPr>
        <w:t>הקב"ה</w:t>
      </w:r>
      <w:r>
        <w:rPr>
          <w:rtl/>
        </w:rPr>
        <w:t xml:space="preserve"> פרשת נזיר לפרשת סוטה</w:t>
      </w:r>
      <w:r w:rsidR="008D74FB">
        <w:rPr>
          <w:rFonts w:hint="cs"/>
          <w:rtl/>
        </w:rPr>
        <w:t>,</w:t>
      </w:r>
      <w:r>
        <w:rPr>
          <w:rtl/>
        </w:rPr>
        <w:t xml:space="preserve"> שהן דומות זו לזו</w:t>
      </w:r>
      <w:r w:rsidR="008D74FB">
        <w:rPr>
          <w:rFonts w:hint="cs"/>
          <w:rtl/>
        </w:rPr>
        <w:t>.</w:t>
      </w:r>
      <w:r w:rsidR="008D74FB">
        <w:rPr>
          <w:rStyle w:val="a5"/>
          <w:rtl/>
        </w:rPr>
        <w:footnoteReference w:id="8"/>
      </w:r>
      <w:r>
        <w:rPr>
          <w:rtl/>
        </w:rPr>
        <w:t xml:space="preserve"> וכל מי שנוגע באשה שאינה שלו מביא מיתה על עצמו, שנאמר</w:t>
      </w:r>
      <w:r w:rsidR="00960683">
        <w:rPr>
          <w:rFonts w:hint="cs"/>
          <w:rtl/>
        </w:rPr>
        <w:t>:</w:t>
      </w:r>
      <w:r>
        <w:rPr>
          <w:rtl/>
        </w:rPr>
        <w:t xml:space="preserve"> </w:t>
      </w:r>
      <w:r w:rsidR="00960683">
        <w:rPr>
          <w:rFonts w:hint="cs"/>
          <w:rtl/>
        </w:rPr>
        <w:t>"</w:t>
      </w:r>
      <w:r>
        <w:rPr>
          <w:rtl/>
        </w:rPr>
        <w:t>כי רבים חללים הפילה</w:t>
      </w:r>
      <w:r w:rsidR="00960683">
        <w:rPr>
          <w:rFonts w:hint="cs"/>
          <w:rtl/>
        </w:rPr>
        <w:t xml:space="preserve">" </w:t>
      </w:r>
      <w:r w:rsidR="00960683">
        <w:rPr>
          <w:rtl/>
        </w:rPr>
        <w:t>(משלי</w:t>
      </w:r>
      <w:r w:rsidR="00960683">
        <w:rPr>
          <w:rFonts w:hint="cs"/>
          <w:rtl/>
        </w:rPr>
        <w:t xml:space="preserve"> ז כו), </w:t>
      </w:r>
      <w:r>
        <w:rPr>
          <w:rtl/>
        </w:rPr>
        <w:t>ו</w:t>
      </w:r>
      <w:r w:rsidR="000A0F38">
        <w:rPr>
          <w:rtl/>
        </w:rPr>
        <w:t>כתוב</w:t>
      </w:r>
      <w:r w:rsidR="00960683">
        <w:rPr>
          <w:rFonts w:hint="cs"/>
          <w:rtl/>
        </w:rPr>
        <w:t>:</w:t>
      </w:r>
      <w:r>
        <w:rPr>
          <w:rtl/>
        </w:rPr>
        <w:t xml:space="preserve"> </w:t>
      </w:r>
      <w:r w:rsidR="00960683">
        <w:rPr>
          <w:rFonts w:hint="cs"/>
          <w:rtl/>
        </w:rPr>
        <w:t>"</w:t>
      </w:r>
      <w:r>
        <w:rPr>
          <w:rtl/>
        </w:rPr>
        <w:t>רגליה יורדות מות שאול צעדיה יתמוכו</w:t>
      </w:r>
      <w:r w:rsidR="00960683">
        <w:rPr>
          <w:rFonts w:hint="cs"/>
          <w:rtl/>
        </w:rPr>
        <w:t xml:space="preserve">" </w:t>
      </w:r>
      <w:r w:rsidR="00960683">
        <w:rPr>
          <w:rtl/>
        </w:rPr>
        <w:t>(משלי</w:t>
      </w:r>
      <w:r w:rsidR="00960683">
        <w:rPr>
          <w:rFonts w:hint="cs"/>
          <w:rtl/>
        </w:rPr>
        <w:t xml:space="preserve"> ה ה</w:t>
      </w:r>
      <w:r w:rsidR="00960683">
        <w:rPr>
          <w:rtl/>
        </w:rPr>
        <w:t>)</w:t>
      </w:r>
      <w:r w:rsidR="00960683">
        <w:rPr>
          <w:rFonts w:hint="cs"/>
          <w:rtl/>
        </w:rPr>
        <w:t xml:space="preserve">. </w:t>
      </w:r>
      <w:r>
        <w:rPr>
          <w:rtl/>
        </w:rPr>
        <w:t>הואיל ויש בה כל המ</w:t>
      </w:r>
      <w:r w:rsidR="00960683">
        <w:rPr>
          <w:rFonts w:hint="cs"/>
          <w:rtl/>
        </w:rPr>
        <w:t>י</w:t>
      </w:r>
      <w:r>
        <w:rPr>
          <w:rtl/>
        </w:rPr>
        <w:t>דות הללו</w:t>
      </w:r>
      <w:r w:rsidR="00960683">
        <w:rPr>
          <w:rFonts w:hint="cs"/>
          <w:rtl/>
        </w:rPr>
        <w:t>,</w:t>
      </w:r>
      <w:r>
        <w:rPr>
          <w:rtl/>
        </w:rPr>
        <w:t xml:space="preserve"> היאך יכולה היא ליתן חיים לחולה</w:t>
      </w:r>
      <w:r w:rsidR="00960683">
        <w:rPr>
          <w:rFonts w:hint="cs"/>
          <w:rtl/>
        </w:rPr>
        <w:t>?</w:t>
      </w:r>
      <w:r>
        <w:rPr>
          <w:rtl/>
        </w:rPr>
        <w:t xml:space="preserve"> לכך אין מתרפאין בה</w:t>
      </w:r>
      <w:r w:rsidR="00F65035">
        <w:rPr>
          <w:rFonts w:hint="cs"/>
          <w:rtl/>
        </w:rPr>
        <w:t>.</w:t>
      </w:r>
      <w:r w:rsidR="00960683">
        <w:rPr>
          <w:rStyle w:val="a5"/>
          <w:rtl/>
        </w:rPr>
        <w:footnoteReference w:id="9"/>
      </w:r>
    </w:p>
    <w:p w:rsidR="00E03910" w:rsidRDefault="00977C3F" w:rsidP="00C64D95">
      <w:pPr>
        <w:pStyle w:val="ac"/>
        <w:rPr>
          <w:rFonts w:hint="cs"/>
          <w:rtl/>
        </w:rPr>
      </w:pPr>
      <w:r>
        <w:rPr>
          <w:rtl/>
        </w:rPr>
        <w:t>עבודה זרה</w:t>
      </w:r>
      <w:r w:rsidR="006F394D">
        <w:rPr>
          <w:rtl/>
        </w:rPr>
        <w:t xml:space="preserve"> כיצד</w:t>
      </w:r>
      <w:r w:rsidR="00F65035">
        <w:rPr>
          <w:rFonts w:hint="cs"/>
          <w:rtl/>
        </w:rPr>
        <w:t>?</w:t>
      </w:r>
      <w:r w:rsidR="006F394D">
        <w:rPr>
          <w:rtl/>
        </w:rPr>
        <w:t xml:space="preserve"> שאם היה אדם מישראל חולה ויאמרו לו</w:t>
      </w:r>
      <w:r w:rsidR="00F65035">
        <w:rPr>
          <w:rFonts w:hint="cs"/>
          <w:rtl/>
        </w:rPr>
        <w:t>:</w:t>
      </w:r>
      <w:r w:rsidR="006F394D">
        <w:rPr>
          <w:rtl/>
        </w:rPr>
        <w:t xml:space="preserve"> לך אצל </w:t>
      </w:r>
      <w:r>
        <w:rPr>
          <w:rtl/>
        </w:rPr>
        <w:t>עבודה זרה</w:t>
      </w:r>
      <w:r w:rsidR="006F394D">
        <w:rPr>
          <w:rtl/>
        </w:rPr>
        <w:t xml:space="preserve"> פלונית ואתה מתרפא</w:t>
      </w:r>
      <w:r w:rsidR="00F65035">
        <w:rPr>
          <w:rFonts w:hint="cs"/>
          <w:rtl/>
        </w:rPr>
        <w:t>,</w:t>
      </w:r>
      <w:r w:rsidR="006F394D">
        <w:rPr>
          <w:rtl/>
        </w:rPr>
        <w:t xml:space="preserve"> אסור לילך, שכן הוא אומר</w:t>
      </w:r>
      <w:r>
        <w:rPr>
          <w:rFonts w:hint="cs"/>
          <w:rtl/>
        </w:rPr>
        <w:t>:</w:t>
      </w:r>
      <w:r w:rsidR="006F394D">
        <w:rPr>
          <w:rtl/>
        </w:rPr>
        <w:t xml:space="preserve"> </w:t>
      </w:r>
      <w:r>
        <w:rPr>
          <w:rFonts w:hint="cs"/>
          <w:rtl/>
        </w:rPr>
        <w:t>"</w:t>
      </w:r>
      <w:r w:rsidR="006F394D">
        <w:rPr>
          <w:rtl/>
        </w:rPr>
        <w:t>זובח לאלהים יחרם</w:t>
      </w:r>
      <w:r w:rsidR="00125AEA">
        <w:rPr>
          <w:rFonts w:hint="cs"/>
          <w:rtl/>
        </w:rPr>
        <w:t>,</w:t>
      </w:r>
      <w:r w:rsidR="006F394D">
        <w:rPr>
          <w:rtl/>
        </w:rPr>
        <w:t xml:space="preserve"> בלתי לה' לבדו</w:t>
      </w:r>
      <w:r>
        <w:rPr>
          <w:rFonts w:hint="cs"/>
          <w:rtl/>
        </w:rPr>
        <w:t xml:space="preserve">" </w:t>
      </w:r>
      <w:r w:rsidR="00F65035">
        <w:rPr>
          <w:rtl/>
        </w:rPr>
        <w:t>(שמות כב</w:t>
      </w:r>
      <w:r>
        <w:rPr>
          <w:rFonts w:hint="cs"/>
          <w:rtl/>
        </w:rPr>
        <w:t xml:space="preserve"> יט</w:t>
      </w:r>
      <w:r w:rsidR="00F65035">
        <w:rPr>
          <w:rtl/>
        </w:rPr>
        <w:t>)</w:t>
      </w:r>
      <w:r>
        <w:rPr>
          <w:rFonts w:hint="cs"/>
          <w:rtl/>
        </w:rPr>
        <w:t>.</w:t>
      </w:r>
      <w:r w:rsidR="006F394D">
        <w:rPr>
          <w:rtl/>
        </w:rPr>
        <w:t xml:space="preserve"> והואיל שכל מי שעובד </w:t>
      </w:r>
      <w:r>
        <w:rPr>
          <w:rtl/>
        </w:rPr>
        <w:t>עבודה זרה</w:t>
      </w:r>
      <w:r w:rsidR="006F394D">
        <w:rPr>
          <w:rtl/>
        </w:rPr>
        <w:t xml:space="preserve"> י</w:t>
      </w:r>
      <w:r w:rsidR="00A33842">
        <w:rPr>
          <w:rFonts w:hint="cs"/>
          <w:rtl/>
        </w:rPr>
        <w:t>ו</w:t>
      </w:r>
      <w:r w:rsidR="006F394D">
        <w:rPr>
          <w:rtl/>
        </w:rPr>
        <w:t>חרם</w:t>
      </w:r>
      <w:r>
        <w:rPr>
          <w:rFonts w:hint="cs"/>
          <w:rtl/>
        </w:rPr>
        <w:t>,</w:t>
      </w:r>
      <w:r w:rsidR="006F394D">
        <w:rPr>
          <w:rtl/>
        </w:rPr>
        <w:t xml:space="preserve"> מוטב לו למות בחולי ואל י</w:t>
      </w:r>
      <w:r w:rsidR="00A33842">
        <w:rPr>
          <w:rtl/>
        </w:rPr>
        <w:t>ֵ</w:t>
      </w:r>
      <w:r w:rsidR="006F394D">
        <w:rPr>
          <w:rtl/>
        </w:rPr>
        <w:t>ע</w:t>
      </w:r>
      <w:r w:rsidR="00A33842">
        <w:rPr>
          <w:rtl/>
        </w:rPr>
        <w:t>ָ</w:t>
      </w:r>
      <w:r w:rsidR="006F394D">
        <w:rPr>
          <w:rtl/>
        </w:rPr>
        <w:t>ש</w:t>
      </w:r>
      <w:r w:rsidR="00A33842">
        <w:rPr>
          <w:rtl/>
        </w:rPr>
        <w:t>ֶׂ</w:t>
      </w:r>
      <w:r w:rsidR="006F394D">
        <w:rPr>
          <w:rtl/>
        </w:rPr>
        <w:t>ה חרם בעולם הזה</w:t>
      </w:r>
      <w:r w:rsidR="00A33842">
        <w:rPr>
          <w:rFonts w:hint="cs"/>
          <w:rtl/>
        </w:rPr>
        <w:t>.</w:t>
      </w:r>
      <w:r w:rsidR="00125AEA">
        <w:rPr>
          <w:rStyle w:val="a5"/>
          <w:rtl/>
        </w:rPr>
        <w:footnoteReference w:id="10"/>
      </w:r>
      <w:r w:rsidR="006F394D">
        <w:rPr>
          <w:rtl/>
        </w:rPr>
        <w:t xml:space="preserve"> ולא זה בלבד אסור</w:t>
      </w:r>
      <w:r w:rsidR="00A33842">
        <w:rPr>
          <w:rFonts w:hint="cs"/>
          <w:rtl/>
        </w:rPr>
        <w:t>,</w:t>
      </w:r>
      <w:r w:rsidR="006F394D">
        <w:rPr>
          <w:rtl/>
        </w:rPr>
        <w:t xml:space="preserve"> אלא כל דבר שהוא של </w:t>
      </w:r>
      <w:r>
        <w:rPr>
          <w:rtl/>
        </w:rPr>
        <w:t>עבודה זרה</w:t>
      </w:r>
      <w:r w:rsidR="00125AEA">
        <w:rPr>
          <w:rFonts w:hint="cs"/>
          <w:rtl/>
        </w:rPr>
        <w:t>,</w:t>
      </w:r>
      <w:r w:rsidR="006F394D">
        <w:rPr>
          <w:rtl/>
        </w:rPr>
        <w:t xml:space="preserve"> אסור להתרפאות בו</w:t>
      </w:r>
      <w:r w:rsidR="00A33842">
        <w:rPr>
          <w:rFonts w:hint="cs"/>
          <w:rtl/>
        </w:rPr>
        <w:t>.</w:t>
      </w:r>
      <w:r w:rsidR="00125AEA">
        <w:rPr>
          <w:rStyle w:val="a5"/>
          <w:rtl/>
        </w:rPr>
        <w:footnoteReference w:id="11"/>
      </w:r>
      <w:r w:rsidR="006F394D">
        <w:rPr>
          <w:rtl/>
        </w:rPr>
        <w:t xml:space="preserve"> שאם יאמרו לו לאדם</w:t>
      </w:r>
      <w:r w:rsidR="00A33842">
        <w:rPr>
          <w:rFonts w:hint="cs"/>
          <w:rtl/>
        </w:rPr>
        <w:t>:</w:t>
      </w:r>
      <w:r w:rsidR="006F394D">
        <w:rPr>
          <w:rtl/>
        </w:rPr>
        <w:t xml:space="preserve"> טול ממה שמקטירין ל</w:t>
      </w:r>
      <w:r>
        <w:rPr>
          <w:rtl/>
        </w:rPr>
        <w:t>עבודה זרה</w:t>
      </w:r>
      <w:r w:rsidR="00A33842">
        <w:rPr>
          <w:rFonts w:hint="cs"/>
          <w:rtl/>
        </w:rPr>
        <w:t>,</w:t>
      </w:r>
      <w:r w:rsidR="006F394D">
        <w:rPr>
          <w:rtl/>
        </w:rPr>
        <w:t xml:space="preserve"> או</w:t>
      </w:r>
      <w:r w:rsidR="00A33842">
        <w:rPr>
          <w:rFonts w:hint="cs"/>
          <w:rtl/>
        </w:rPr>
        <w:t>:</w:t>
      </w:r>
      <w:r w:rsidR="006F394D">
        <w:rPr>
          <w:rtl/>
        </w:rPr>
        <w:t xml:space="preserve"> טול מן האשרה ועשה מהן קמיע והתרפא</w:t>
      </w:r>
      <w:r w:rsidR="00A33842">
        <w:rPr>
          <w:rFonts w:hint="cs"/>
          <w:rtl/>
        </w:rPr>
        <w:t xml:space="preserve"> -</w:t>
      </w:r>
      <w:r w:rsidR="006F394D">
        <w:rPr>
          <w:rtl/>
        </w:rPr>
        <w:t xml:space="preserve"> אל ת</w:t>
      </w:r>
      <w:r w:rsidR="00A33842">
        <w:rPr>
          <w:rFonts w:hint="cs"/>
          <w:rtl/>
        </w:rPr>
        <w:t>י</w:t>
      </w:r>
      <w:r w:rsidR="006F394D">
        <w:rPr>
          <w:rtl/>
        </w:rPr>
        <w:t>טול</w:t>
      </w:r>
      <w:r w:rsidR="00A33842">
        <w:rPr>
          <w:rFonts w:hint="cs"/>
          <w:rtl/>
        </w:rPr>
        <w:t>.</w:t>
      </w:r>
      <w:r w:rsidR="006F394D">
        <w:rPr>
          <w:rtl/>
        </w:rPr>
        <w:t xml:space="preserve"> שכן </w:t>
      </w:r>
      <w:r w:rsidR="000A0F38">
        <w:rPr>
          <w:rtl/>
        </w:rPr>
        <w:t>כתוב</w:t>
      </w:r>
      <w:r w:rsidR="00A33842">
        <w:rPr>
          <w:rFonts w:hint="cs"/>
          <w:rtl/>
        </w:rPr>
        <w:t>:</w:t>
      </w:r>
      <w:r w:rsidR="006F394D">
        <w:rPr>
          <w:rtl/>
        </w:rPr>
        <w:t xml:space="preserve"> </w:t>
      </w:r>
      <w:r w:rsidR="00A33842">
        <w:rPr>
          <w:rFonts w:hint="cs"/>
          <w:rtl/>
        </w:rPr>
        <w:t>"</w:t>
      </w:r>
      <w:r w:rsidR="006F394D">
        <w:rPr>
          <w:rtl/>
        </w:rPr>
        <w:t>ולא ידבק בידך מאומה מן החרם</w:t>
      </w:r>
      <w:r w:rsidR="00A33842">
        <w:rPr>
          <w:rFonts w:hint="cs"/>
          <w:rtl/>
        </w:rPr>
        <w:t xml:space="preserve">" </w:t>
      </w:r>
      <w:r w:rsidR="00A33842">
        <w:rPr>
          <w:rtl/>
        </w:rPr>
        <w:t>(דברים יג</w:t>
      </w:r>
      <w:r w:rsidR="002942F9">
        <w:rPr>
          <w:rFonts w:hint="cs"/>
          <w:rtl/>
        </w:rPr>
        <w:t xml:space="preserve"> יח</w:t>
      </w:r>
      <w:r w:rsidR="00A33842">
        <w:rPr>
          <w:rtl/>
        </w:rPr>
        <w:t xml:space="preserve">) </w:t>
      </w:r>
      <w:r w:rsidR="002942F9">
        <w:rPr>
          <w:rFonts w:hint="cs"/>
          <w:rtl/>
        </w:rPr>
        <w:t>-</w:t>
      </w:r>
      <w:r w:rsidR="006F394D">
        <w:rPr>
          <w:rtl/>
        </w:rPr>
        <w:t xml:space="preserve"> זו </w:t>
      </w:r>
      <w:r>
        <w:rPr>
          <w:rtl/>
        </w:rPr>
        <w:t>עבודה זרה</w:t>
      </w:r>
      <w:r w:rsidR="006F394D">
        <w:rPr>
          <w:rtl/>
        </w:rPr>
        <w:t>, ואומר</w:t>
      </w:r>
      <w:r w:rsidR="002942F9">
        <w:rPr>
          <w:rFonts w:hint="cs"/>
          <w:rtl/>
        </w:rPr>
        <w:t>:</w:t>
      </w:r>
      <w:r w:rsidR="006F394D">
        <w:rPr>
          <w:rtl/>
        </w:rPr>
        <w:t xml:space="preserve"> </w:t>
      </w:r>
      <w:r w:rsidR="002942F9">
        <w:rPr>
          <w:rFonts w:hint="cs"/>
          <w:rtl/>
        </w:rPr>
        <w:t>"</w:t>
      </w:r>
      <w:r w:rsidR="006F394D">
        <w:rPr>
          <w:rtl/>
        </w:rPr>
        <w:t>ולא תביא תועבה אל ביתך והיית חרם כמוהו</w:t>
      </w:r>
      <w:r w:rsidR="002942F9">
        <w:rPr>
          <w:rFonts w:hint="cs"/>
          <w:rtl/>
        </w:rPr>
        <w:t xml:space="preserve">" </w:t>
      </w:r>
      <w:r w:rsidR="002942F9">
        <w:rPr>
          <w:rtl/>
        </w:rPr>
        <w:t>(שם ז</w:t>
      </w:r>
      <w:r w:rsidR="002942F9">
        <w:rPr>
          <w:rFonts w:hint="cs"/>
          <w:rtl/>
        </w:rPr>
        <w:t xml:space="preserve"> כו</w:t>
      </w:r>
      <w:r w:rsidR="002942F9">
        <w:rPr>
          <w:rtl/>
        </w:rPr>
        <w:t>)</w:t>
      </w:r>
      <w:r w:rsidR="002942F9">
        <w:rPr>
          <w:rFonts w:hint="cs"/>
          <w:rtl/>
        </w:rPr>
        <w:t xml:space="preserve">. </w:t>
      </w:r>
      <w:r w:rsidR="006F394D">
        <w:rPr>
          <w:rtl/>
        </w:rPr>
        <w:t>למה</w:t>
      </w:r>
      <w:r w:rsidR="002942F9">
        <w:rPr>
          <w:rFonts w:hint="cs"/>
          <w:rtl/>
        </w:rPr>
        <w:t>?</w:t>
      </w:r>
      <w:r w:rsidR="006F394D">
        <w:rPr>
          <w:rtl/>
        </w:rPr>
        <w:t xml:space="preserve"> שאין בהם ממש</w:t>
      </w:r>
      <w:r w:rsidR="002942F9">
        <w:rPr>
          <w:rFonts w:hint="cs"/>
          <w:rtl/>
        </w:rPr>
        <w:t>,</w:t>
      </w:r>
      <w:r w:rsidR="006F394D">
        <w:rPr>
          <w:rtl/>
        </w:rPr>
        <w:t xml:space="preserve"> ואין מועילין כלום, שנאמר</w:t>
      </w:r>
      <w:r w:rsidR="002942F9">
        <w:rPr>
          <w:rFonts w:hint="cs"/>
          <w:rtl/>
        </w:rPr>
        <w:t>:</w:t>
      </w:r>
      <w:r w:rsidR="006F394D">
        <w:rPr>
          <w:rtl/>
        </w:rPr>
        <w:t xml:space="preserve"> </w:t>
      </w:r>
      <w:r w:rsidR="002942F9">
        <w:rPr>
          <w:rFonts w:hint="cs"/>
          <w:rtl/>
        </w:rPr>
        <w:t>"</w:t>
      </w:r>
      <w:r w:rsidR="006F394D">
        <w:rPr>
          <w:rtl/>
        </w:rPr>
        <w:t>אל תיראו מהם כי לא י</w:t>
      </w:r>
      <w:r w:rsidR="002942F9">
        <w:rPr>
          <w:rtl/>
        </w:rPr>
        <w:t>ָ</w:t>
      </w:r>
      <w:r w:rsidR="006F394D">
        <w:rPr>
          <w:rtl/>
        </w:rPr>
        <w:t>ר</w:t>
      </w:r>
      <w:r w:rsidR="002942F9">
        <w:rPr>
          <w:rtl/>
        </w:rPr>
        <w:t>ֵ</w:t>
      </w:r>
      <w:r w:rsidR="006F394D">
        <w:rPr>
          <w:rtl/>
        </w:rPr>
        <w:t>עו וגם ה</w:t>
      </w:r>
      <w:r w:rsidR="002942F9">
        <w:rPr>
          <w:rtl/>
        </w:rPr>
        <w:t>ֵ</w:t>
      </w:r>
      <w:r w:rsidR="006F394D">
        <w:rPr>
          <w:rtl/>
        </w:rPr>
        <w:t>יט</w:t>
      </w:r>
      <w:r w:rsidR="002942F9">
        <w:rPr>
          <w:rtl/>
        </w:rPr>
        <w:t>ֵ</w:t>
      </w:r>
      <w:r w:rsidR="006F394D">
        <w:rPr>
          <w:rtl/>
        </w:rPr>
        <w:t>ב אין אותם</w:t>
      </w:r>
      <w:r w:rsidR="002942F9">
        <w:rPr>
          <w:rFonts w:hint="cs"/>
          <w:rtl/>
        </w:rPr>
        <w:t xml:space="preserve">" </w:t>
      </w:r>
      <w:r w:rsidR="002942F9">
        <w:rPr>
          <w:rtl/>
        </w:rPr>
        <w:t>(ירמיה י</w:t>
      </w:r>
      <w:r w:rsidR="002942F9">
        <w:rPr>
          <w:rFonts w:hint="cs"/>
          <w:rtl/>
        </w:rPr>
        <w:t xml:space="preserve"> ה</w:t>
      </w:r>
      <w:r w:rsidR="002942F9">
        <w:rPr>
          <w:rtl/>
        </w:rPr>
        <w:t>)</w:t>
      </w:r>
      <w:r w:rsidR="002942F9">
        <w:rPr>
          <w:rFonts w:hint="cs"/>
          <w:rtl/>
        </w:rPr>
        <w:t>.</w:t>
      </w:r>
      <w:r w:rsidR="002942F9">
        <w:rPr>
          <w:rStyle w:val="a5"/>
          <w:rtl/>
        </w:rPr>
        <w:footnoteReference w:id="12"/>
      </w:r>
      <w:r w:rsidR="006F394D">
        <w:rPr>
          <w:rtl/>
        </w:rPr>
        <w:t xml:space="preserve"> וכן אתה מוצא שירמיהו אומר לדורו</w:t>
      </w:r>
      <w:r w:rsidR="00BC7C47">
        <w:rPr>
          <w:rFonts w:hint="cs"/>
          <w:rtl/>
        </w:rPr>
        <w:t>:</w:t>
      </w:r>
      <w:r w:rsidR="006F394D">
        <w:rPr>
          <w:rtl/>
        </w:rPr>
        <w:t xml:space="preserve"> הריני נכנס עם </w:t>
      </w:r>
      <w:r>
        <w:rPr>
          <w:rtl/>
        </w:rPr>
        <w:t>עבודה זרה</w:t>
      </w:r>
      <w:r w:rsidR="006F394D">
        <w:rPr>
          <w:rtl/>
        </w:rPr>
        <w:t xml:space="preserve"> לדין ואומר מעשיה ומעשה אלהים ויודע מה בין </w:t>
      </w:r>
      <w:r w:rsidR="004C1681">
        <w:rPr>
          <w:rtl/>
        </w:rPr>
        <w:t>הקב"ה</w:t>
      </w:r>
      <w:r w:rsidR="006F394D">
        <w:rPr>
          <w:rtl/>
        </w:rPr>
        <w:t xml:space="preserve"> ל</w:t>
      </w:r>
      <w:r>
        <w:rPr>
          <w:rtl/>
        </w:rPr>
        <w:t>עבודה זרה</w:t>
      </w:r>
      <w:r w:rsidR="00BC7C47">
        <w:rPr>
          <w:rFonts w:hint="cs"/>
          <w:rtl/>
        </w:rPr>
        <w:t>.</w:t>
      </w:r>
      <w:r w:rsidR="00BC7C47">
        <w:rPr>
          <w:rStyle w:val="a5"/>
          <w:rtl/>
        </w:rPr>
        <w:footnoteReference w:id="13"/>
      </w:r>
      <w:r w:rsidR="006F394D">
        <w:rPr>
          <w:rtl/>
        </w:rPr>
        <w:t xml:space="preserve"> אתה מוצא </w:t>
      </w:r>
      <w:r w:rsidR="00CC5AB4">
        <w:rPr>
          <w:rFonts w:hint="cs"/>
          <w:rtl/>
        </w:rPr>
        <w:t>ארבע</w:t>
      </w:r>
      <w:r w:rsidR="006F394D">
        <w:rPr>
          <w:rtl/>
        </w:rPr>
        <w:t xml:space="preserve"> פעמים בדף אחד </w:t>
      </w:r>
      <w:r w:rsidR="00C64D95">
        <w:rPr>
          <w:rtl/>
        </w:rPr>
        <w:t>הראה ירמיה גנותה של עבודה זרה ושבחו של אלהים</w:t>
      </w:r>
      <w:r w:rsidR="00C64D95">
        <w:rPr>
          <w:rFonts w:hint="cs"/>
          <w:rtl/>
        </w:rPr>
        <w:t>:</w:t>
      </w:r>
      <w:r w:rsidR="00C64D95">
        <w:rPr>
          <w:rStyle w:val="a5"/>
          <w:rtl/>
        </w:rPr>
        <w:footnoteReference w:id="14"/>
      </w:r>
    </w:p>
    <w:p w:rsidR="00A34F55" w:rsidRDefault="006F394D" w:rsidP="00E03910">
      <w:pPr>
        <w:pStyle w:val="ac"/>
        <w:ind w:left="822"/>
        <w:rPr>
          <w:rFonts w:hint="cs"/>
          <w:rtl/>
        </w:rPr>
      </w:pPr>
      <w:r>
        <w:rPr>
          <w:rtl/>
        </w:rPr>
        <w:t>שנאמר</w:t>
      </w:r>
      <w:r w:rsidR="00A34F55">
        <w:rPr>
          <w:rFonts w:hint="cs"/>
          <w:rtl/>
        </w:rPr>
        <w:t>:</w:t>
      </w:r>
      <w:r>
        <w:rPr>
          <w:rtl/>
        </w:rPr>
        <w:t xml:space="preserve"> </w:t>
      </w:r>
      <w:r w:rsidR="00A34F55">
        <w:rPr>
          <w:rFonts w:hint="cs"/>
          <w:rtl/>
        </w:rPr>
        <w:t>"</w:t>
      </w:r>
      <w:r w:rsidR="00A34F55">
        <w:rPr>
          <w:rtl/>
        </w:rPr>
        <w:t xml:space="preserve">כֹּה אָמַר </w:t>
      </w:r>
      <w:r w:rsidR="00A34F55">
        <w:rPr>
          <w:rFonts w:hint="cs"/>
          <w:rtl/>
        </w:rPr>
        <w:t>ה'</w:t>
      </w:r>
      <w:r w:rsidR="00A34F55">
        <w:rPr>
          <w:rtl/>
        </w:rPr>
        <w:t xml:space="preserve"> אֶל־דֶּרֶךְ הַגּוֹיִם אַל־תִּלְמָדוּ וּמֵאֹתוֹת הַשָּׁמַיִם אַל־תֵּחָתּוּ </w:t>
      </w:r>
      <w:r w:rsidR="00A34F55">
        <w:rPr>
          <w:rFonts w:hint="cs"/>
          <w:rtl/>
        </w:rPr>
        <w:t xml:space="preserve">... </w:t>
      </w:r>
      <w:r w:rsidR="00A34F55">
        <w:rPr>
          <w:rtl/>
        </w:rPr>
        <w:t xml:space="preserve">כִּי־חֻקּוֹת הָעַמִּים הֶבֶל הוּא </w:t>
      </w:r>
      <w:r w:rsidR="00A34F55">
        <w:rPr>
          <w:rFonts w:hint="cs"/>
          <w:rtl/>
        </w:rPr>
        <w:t xml:space="preserve">... </w:t>
      </w:r>
      <w:r w:rsidR="00A34F55">
        <w:rPr>
          <w:rtl/>
        </w:rPr>
        <w:t>מַעֲשֵׂה יְדֵי־חָרָשׁ בַּמַּעֲצָד:</w:t>
      </w:r>
      <w:r w:rsidR="00A34F55">
        <w:rPr>
          <w:rFonts w:hint="cs"/>
          <w:rtl/>
        </w:rPr>
        <w:t xml:space="preserve"> </w:t>
      </w:r>
      <w:r w:rsidR="00A34F55">
        <w:rPr>
          <w:rtl/>
        </w:rPr>
        <w:t xml:space="preserve">בְּכֶסֶף וּבְזָהָב יְיַפֵּהוּ בְּמַסְמְרוֹת וּבְמַקָּבוֹת יְחַזְּקוּם </w:t>
      </w:r>
      <w:r w:rsidR="00A34F55">
        <w:rPr>
          <w:rFonts w:hint="cs"/>
          <w:rtl/>
        </w:rPr>
        <w:t xml:space="preserve">... </w:t>
      </w:r>
      <w:r w:rsidR="00A34F55">
        <w:rPr>
          <w:rtl/>
        </w:rPr>
        <w:t>כְּתֹמֶר מִקְשָׁה הֵמָּה וְלֹא יְדַבֵּרוּ נָשׂוֹא יִנָּשׂוּא כִּי לֹא יִצְעָדוּ</w:t>
      </w:r>
      <w:r w:rsidR="00A34F55">
        <w:rPr>
          <w:rFonts w:hint="cs"/>
          <w:rtl/>
        </w:rPr>
        <w:t xml:space="preserve">" (ירמיהו י </w:t>
      </w:r>
      <w:r w:rsidR="00F803D1">
        <w:rPr>
          <w:rFonts w:hint="cs"/>
          <w:rtl/>
        </w:rPr>
        <w:t xml:space="preserve">פסוקים </w:t>
      </w:r>
      <w:r w:rsidR="00A34F55">
        <w:rPr>
          <w:rFonts w:hint="cs"/>
          <w:rtl/>
        </w:rPr>
        <w:t>ב-ה).</w:t>
      </w:r>
    </w:p>
    <w:p w:rsidR="00A34F55" w:rsidRDefault="006F394D" w:rsidP="00E03910">
      <w:pPr>
        <w:pStyle w:val="ac"/>
        <w:ind w:left="822"/>
        <w:rPr>
          <w:rFonts w:hint="cs"/>
          <w:rtl/>
        </w:rPr>
      </w:pPr>
      <w:r>
        <w:rPr>
          <w:rtl/>
        </w:rPr>
        <w:t xml:space="preserve">שמעתם גנותה של </w:t>
      </w:r>
      <w:r w:rsidR="00977C3F">
        <w:rPr>
          <w:rtl/>
        </w:rPr>
        <w:t>עבודה זרה</w:t>
      </w:r>
      <w:r w:rsidR="00F803D1">
        <w:rPr>
          <w:rFonts w:hint="cs"/>
          <w:rtl/>
        </w:rPr>
        <w:t>,</w:t>
      </w:r>
      <w:r>
        <w:rPr>
          <w:rtl/>
        </w:rPr>
        <w:t xml:space="preserve"> בואו ושמעו שבחו של </w:t>
      </w:r>
      <w:r w:rsidR="004C1681">
        <w:rPr>
          <w:rtl/>
        </w:rPr>
        <w:t>הקב"ה</w:t>
      </w:r>
      <w:r w:rsidR="00A34F55">
        <w:rPr>
          <w:rFonts w:hint="cs"/>
          <w:rtl/>
        </w:rPr>
        <w:t>,</w:t>
      </w:r>
      <w:r>
        <w:rPr>
          <w:rtl/>
        </w:rPr>
        <w:t xml:space="preserve"> שנאמר</w:t>
      </w:r>
      <w:r w:rsidR="00A34F55">
        <w:rPr>
          <w:rFonts w:hint="cs"/>
          <w:rtl/>
        </w:rPr>
        <w:t>: "</w:t>
      </w:r>
      <w:r w:rsidR="00A34F55">
        <w:rPr>
          <w:rtl/>
        </w:rPr>
        <w:t xml:space="preserve">מֵאֵין כָּמוֹךָ </w:t>
      </w:r>
      <w:r w:rsidR="00F803D1">
        <w:rPr>
          <w:rtl/>
        </w:rPr>
        <w:t>ה'</w:t>
      </w:r>
      <w:r w:rsidR="00A34F55">
        <w:rPr>
          <w:rtl/>
        </w:rPr>
        <w:t xml:space="preserve"> גָּדוֹל אַתָּה וְגָדוֹל שִׁמְךָ בִּגְבוּרָה:</w:t>
      </w:r>
      <w:r w:rsidR="00F803D1">
        <w:rPr>
          <w:rFonts w:hint="cs"/>
          <w:rtl/>
        </w:rPr>
        <w:t xml:space="preserve"> </w:t>
      </w:r>
      <w:r w:rsidR="00A34F55">
        <w:rPr>
          <w:rtl/>
        </w:rPr>
        <w:t>מִי לֹא יִרָאֲךָ מֶלֶךְ הַגּוֹיִם כִּי לְךָ יָאָתָה</w:t>
      </w:r>
      <w:r w:rsidR="00F803D1">
        <w:rPr>
          <w:rFonts w:hint="cs"/>
          <w:rtl/>
        </w:rPr>
        <w:t>" (שם פסוקים ו-ז)</w:t>
      </w:r>
      <w:r w:rsidR="00A34F55">
        <w:rPr>
          <w:rFonts w:hint="cs"/>
          <w:rtl/>
        </w:rPr>
        <w:t>.</w:t>
      </w:r>
    </w:p>
    <w:p w:rsidR="00F803D1" w:rsidRDefault="006F394D" w:rsidP="00E03910">
      <w:pPr>
        <w:pStyle w:val="ac"/>
        <w:ind w:left="822"/>
        <w:rPr>
          <w:rFonts w:hint="cs"/>
          <w:rtl/>
        </w:rPr>
      </w:pPr>
      <w:r>
        <w:rPr>
          <w:rtl/>
        </w:rPr>
        <w:t xml:space="preserve">שמעתם שבחו של </w:t>
      </w:r>
      <w:r w:rsidR="004C1681">
        <w:rPr>
          <w:rtl/>
        </w:rPr>
        <w:t>הקב"ה</w:t>
      </w:r>
      <w:r w:rsidR="00F803D1">
        <w:rPr>
          <w:rFonts w:hint="cs"/>
          <w:rtl/>
        </w:rPr>
        <w:t>,</w:t>
      </w:r>
      <w:r>
        <w:rPr>
          <w:rtl/>
        </w:rPr>
        <w:t xml:space="preserve"> בואו ושמעו גנותה של </w:t>
      </w:r>
      <w:r w:rsidR="00977C3F">
        <w:rPr>
          <w:rtl/>
        </w:rPr>
        <w:t>עבודה זרה</w:t>
      </w:r>
      <w:r>
        <w:rPr>
          <w:rtl/>
        </w:rPr>
        <w:t>, שנאמר</w:t>
      </w:r>
      <w:r w:rsidR="00F803D1">
        <w:rPr>
          <w:rFonts w:hint="cs"/>
          <w:rtl/>
        </w:rPr>
        <w:t>: "</w:t>
      </w:r>
      <w:r w:rsidR="00F803D1">
        <w:rPr>
          <w:rtl/>
        </w:rPr>
        <w:t>וּבְאַחַת יִבְעֲרוּ וְיִכְסָלוּ מוּסַר הֲבָלִים עֵץ הוּא:</w:t>
      </w:r>
      <w:r w:rsidR="00F803D1">
        <w:rPr>
          <w:rFonts w:hint="cs"/>
          <w:rtl/>
        </w:rPr>
        <w:t xml:space="preserve"> </w:t>
      </w:r>
      <w:r w:rsidR="00F803D1">
        <w:rPr>
          <w:rtl/>
        </w:rPr>
        <w:t>כֶּסֶף מְרֻקָּע מִתַּרְשִׁישׁ יוּבָא וְזָהָב מֵאוּפָז מַעֲשֵׂה חָרָשׁ וִידֵי צוֹרֵף</w:t>
      </w:r>
      <w:r w:rsidR="00F803D1">
        <w:rPr>
          <w:rFonts w:hint="cs"/>
          <w:rtl/>
        </w:rPr>
        <w:t>" (שם פסוקים ח-ט).</w:t>
      </w:r>
    </w:p>
    <w:p w:rsidR="00F803D1" w:rsidRDefault="006F394D" w:rsidP="00E03910">
      <w:pPr>
        <w:pStyle w:val="ac"/>
        <w:ind w:left="822"/>
        <w:rPr>
          <w:rFonts w:hint="cs"/>
          <w:rtl/>
        </w:rPr>
      </w:pPr>
      <w:r>
        <w:rPr>
          <w:rtl/>
        </w:rPr>
        <w:t xml:space="preserve">שמעתם גנותה של </w:t>
      </w:r>
      <w:r w:rsidR="00977C3F">
        <w:rPr>
          <w:rtl/>
        </w:rPr>
        <w:t>עבודה זרה</w:t>
      </w:r>
      <w:r w:rsidR="00F803D1">
        <w:rPr>
          <w:rFonts w:hint="cs"/>
          <w:rtl/>
        </w:rPr>
        <w:t>,</w:t>
      </w:r>
      <w:r>
        <w:rPr>
          <w:rtl/>
        </w:rPr>
        <w:t xml:space="preserve"> בואו ואגיד לכם שבחו של </w:t>
      </w:r>
      <w:r w:rsidR="004C1681">
        <w:rPr>
          <w:rtl/>
        </w:rPr>
        <w:t>הקב"ה</w:t>
      </w:r>
      <w:r>
        <w:rPr>
          <w:rtl/>
        </w:rPr>
        <w:t>, שנאמר</w:t>
      </w:r>
      <w:r w:rsidR="00F803D1">
        <w:rPr>
          <w:rFonts w:hint="cs"/>
          <w:rtl/>
        </w:rPr>
        <w:t>:</w:t>
      </w:r>
      <w:r>
        <w:rPr>
          <w:rtl/>
        </w:rPr>
        <w:t xml:space="preserve"> </w:t>
      </w:r>
      <w:r w:rsidR="00F803D1">
        <w:rPr>
          <w:rFonts w:hint="cs"/>
          <w:rtl/>
        </w:rPr>
        <w:t>"</w:t>
      </w:r>
      <w:r w:rsidR="00F803D1">
        <w:rPr>
          <w:rtl/>
        </w:rPr>
        <w:t>וַ</w:t>
      </w:r>
      <w:r w:rsidR="00F803D1">
        <w:rPr>
          <w:rFonts w:hint="cs"/>
          <w:rtl/>
        </w:rPr>
        <w:t>ה'</w:t>
      </w:r>
      <w:r w:rsidR="00F803D1">
        <w:rPr>
          <w:rtl/>
        </w:rPr>
        <w:t xml:space="preserve"> אֱלֹהִים אֱמֶת הוּא־אֱלֹהִים חַיִּים וּמֶלֶךְ עוֹלָם</w:t>
      </w:r>
      <w:r w:rsidR="00F803D1">
        <w:rPr>
          <w:rFonts w:hint="cs"/>
          <w:rtl/>
        </w:rPr>
        <w:t>" (שם פסוק י).</w:t>
      </w:r>
    </w:p>
    <w:p w:rsidR="00F803D1" w:rsidRDefault="006F394D" w:rsidP="00E03910">
      <w:pPr>
        <w:pStyle w:val="ac"/>
        <w:ind w:left="822"/>
        <w:rPr>
          <w:rFonts w:hint="cs"/>
          <w:rtl/>
        </w:rPr>
      </w:pPr>
      <w:r>
        <w:rPr>
          <w:rtl/>
        </w:rPr>
        <w:t>שמעתם שבחו של מקום</w:t>
      </w:r>
      <w:r w:rsidR="00F803D1">
        <w:rPr>
          <w:rFonts w:hint="cs"/>
          <w:rtl/>
        </w:rPr>
        <w:t>,</w:t>
      </w:r>
      <w:r>
        <w:rPr>
          <w:rtl/>
        </w:rPr>
        <w:t xml:space="preserve"> בואו ושמעו גנותה של </w:t>
      </w:r>
      <w:r w:rsidR="00977C3F">
        <w:rPr>
          <w:rtl/>
        </w:rPr>
        <w:t>עבודה זרה</w:t>
      </w:r>
      <w:r>
        <w:rPr>
          <w:rtl/>
        </w:rPr>
        <w:t>, שנאמר</w:t>
      </w:r>
      <w:r w:rsidR="00F803D1">
        <w:rPr>
          <w:rFonts w:hint="cs"/>
          <w:rtl/>
        </w:rPr>
        <w:t>: "</w:t>
      </w:r>
      <w:r w:rsidR="00F803D1">
        <w:rPr>
          <w:rtl/>
        </w:rPr>
        <w:t>כִּדְנָה תֵּאמְרוּן לְהוֹם אֱלָהַיָּא דִּי־שְׁמַיָּא וְאַרְקָא לָא עֲבַדוּ יֵאבַדוּ מֵאַרְעָא וּמִן־תְּחוֹת שְׁמַיָּא אֵלֶּה</w:t>
      </w:r>
      <w:r w:rsidR="00F803D1">
        <w:rPr>
          <w:rFonts w:hint="cs"/>
          <w:rtl/>
        </w:rPr>
        <w:t>" (שם פסוק יא).</w:t>
      </w:r>
    </w:p>
    <w:p w:rsidR="00F803D1" w:rsidRDefault="006F394D" w:rsidP="00E03910">
      <w:pPr>
        <w:pStyle w:val="ac"/>
        <w:ind w:left="822"/>
        <w:rPr>
          <w:rFonts w:hint="cs"/>
          <w:rtl/>
        </w:rPr>
      </w:pPr>
      <w:r>
        <w:rPr>
          <w:rtl/>
        </w:rPr>
        <w:t>שמעתם גנותה של עובדי כוכבים</w:t>
      </w:r>
      <w:r w:rsidR="00F803D1">
        <w:rPr>
          <w:rFonts w:hint="cs"/>
          <w:rtl/>
        </w:rPr>
        <w:t>,</w:t>
      </w:r>
      <w:r>
        <w:rPr>
          <w:rtl/>
        </w:rPr>
        <w:t xml:space="preserve"> בואו ושמעו שבחו של </w:t>
      </w:r>
      <w:r w:rsidR="004C1681">
        <w:rPr>
          <w:rtl/>
        </w:rPr>
        <w:t>הקב"ה</w:t>
      </w:r>
      <w:r>
        <w:rPr>
          <w:rtl/>
        </w:rPr>
        <w:t>, שנאמר</w:t>
      </w:r>
      <w:r w:rsidR="0070196C">
        <w:rPr>
          <w:rFonts w:hint="cs"/>
          <w:rtl/>
        </w:rPr>
        <w:t>: "</w:t>
      </w:r>
      <w:r w:rsidR="00F803D1">
        <w:rPr>
          <w:rtl/>
        </w:rPr>
        <w:t>עֹשֵׂה אֶרֶץ בְּכֹחוֹ מֵכִין תֵּבֵל בְּחָכְמָתוֹ וּבִתְבוּנָתוֹ נָטָה שָׁמָיִם:</w:t>
      </w:r>
      <w:r w:rsidR="0070196C">
        <w:rPr>
          <w:rFonts w:hint="cs"/>
          <w:rtl/>
        </w:rPr>
        <w:t xml:space="preserve"> </w:t>
      </w:r>
      <w:r w:rsidR="00F803D1">
        <w:rPr>
          <w:rtl/>
        </w:rPr>
        <w:t xml:space="preserve">לְקוֹל תִּתּוֹ הֲמוֹן מַיִם בַּשָּׁמַיִם וַיַּעֲלֶה נְשִׂאִים מִקְצֵה הָאָרֶץ </w:t>
      </w:r>
      <w:r w:rsidR="0070196C">
        <w:rPr>
          <w:rFonts w:hint="cs"/>
          <w:rtl/>
        </w:rPr>
        <w:t>וכו' " (פסוקים יב-יג)</w:t>
      </w:r>
      <w:r w:rsidR="00F803D1">
        <w:rPr>
          <w:rFonts w:hint="cs"/>
          <w:rtl/>
        </w:rPr>
        <w:t>.</w:t>
      </w:r>
    </w:p>
    <w:p w:rsidR="00F803D1" w:rsidRDefault="006F394D" w:rsidP="00E03910">
      <w:pPr>
        <w:pStyle w:val="ac"/>
        <w:ind w:left="822"/>
        <w:rPr>
          <w:rFonts w:hint="cs"/>
          <w:rtl/>
        </w:rPr>
      </w:pPr>
      <w:r>
        <w:rPr>
          <w:rtl/>
        </w:rPr>
        <w:t>שמעתם שבחו של מקום</w:t>
      </w:r>
      <w:r w:rsidR="00F803D1">
        <w:rPr>
          <w:rFonts w:hint="cs"/>
          <w:rtl/>
        </w:rPr>
        <w:t>,</w:t>
      </w:r>
      <w:r>
        <w:rPr>
          <w:rtl/>
        </w:rPr>
        <w:t xml:space="preserve"> בואו ושמעו גנותה של </w:t>
      </w:r>
      <w:r w:rsidR="00977C3F">
        <w:rPr>
          <w:rtl/>
        </w:rPr>
        <w:t>עבודה זרה</w:t>
      </w:r>
      <w:r>
        <w:rPr>
          <w:rtl/>
        </w:rPr>
        <w:t>, שנאמר</w:t>
      </w:r>
      <w:r w:rsidR="0070196C">
        <w:rPr>
          <w:rFonts w:hint="cs"/>
          <w:rtl/>
        </w:rPr>
        <w:t>: "</w:t>
      </w:r>
      <w:r w:rsidR="0070196C">
        <w:rPr>
          <w:rtl/>
        </w:rPr>
        <w:t>נִבְעַר כָּל־אָדָם מִדַּעַת הֹבִישׁ כָּל־צוֹרֵף מִפָּסֶל כִּי שֶׁקֶר נִסְכּוֹ וְלֹא־רוּחַ בָּם:</w:t>
      </w:r>
      <w:r w:rsidR="0070196C">
        <w:rPr>
          <w:rFonts w:hint="cs"/>
          <w:rtl/>
        </w:rPr>
        <w:t xml:space="preserve"> </w:t>
      </w:r>
      <w:r w:rsidR="0070196C">
        <w:rPr>
          <w:rtl/>
        </w:rPr>
        <w:t>הֶבֶל הֵמָּה מַעֲשֵׂה תַּעְתֻּעִים בְּעֵת פְּקֻדָּתָם יֹאבֵדוּ</w:t>
      </w:r>
      <w:r w:rsidR="0070196C">
        <w:rPr>
          <w:rFonts w:hint="cs"/>
          <w:rtl/>
        </w:rPr>
        <w:t>" (שם יד-טו)</w:t>
      </w:r>
      <w:r w:rsidR="00F803D1">
        <w:rPr>
          <w:rFonts w:hint="cs"/>
          <w:rtl/>
        </w:rPr>
        <w:t>.</w:t>
      </w:r>
    </w:p>
    <w:p w:rsidR="00A34F55" w:rsidRDefault="006F394D" w:rsidP="00E03910">
      <w:pPr>
        <w:pStyle w:val="ac"/>
        <w:ind w:left="822"/>
        <w:rPr>
          <w:rFonts w:hint="cs"/>
          <w:rtl/>
        </w:rPr>
      </w:pPr>
      <w:r>
        <w:rPr>
          <w:rtl/>
        </w:rPr>
        <w:t xml:space="preserve">שמעתם גנותה של </w:t>
      </w:r>
      <w:r w:rsidR="00977C3F">
        <w:rPr>
          <w:rtl/>
        </w:rPr>
        <w:t>עבודה זרה</w:t>
      </w:r>
      <w:r>
        <w:rPr>
          <w:rtl/>
        </w:rPr>
        <w:t xml:space="preserve"> בואו ושמעו שבחו של מקום, שנאמר</w:t>
      </w:r>
      <w:r w:rsidR="00AB5DD3">
        <w:rPr>
          <w:rFonts w:hint="cs"/>
          <w:rtl/>
        </w:rPr>
        <w:t>: "</w:t>
      </w:r>
      <w:r w:rsidR="0070196C">
        <w:rPr>
          <w:rtl/>
        </w:rPr>
        <w:t xml:space="preserve">לֹא־כְאֵלֶּה חֵלֶק יַעֲקֹב כִּי־יוֹצֵר הַכֹּל הוּא וְיִשְׂרָאֵל שֵׁבֶט נַחֲלָתוֹ </w:t>
      </w:r>
      <w:r w:rsidR="00AB5DD3">
        <w:rPr>
          <w:rFonts w:hint="cs"/>
          <w:rtl/>
        </w:rPr>
        <w:t>ה'</w:t>
      </w:r>
      <w:r w:rsidR="0070196C">
        <w:rPr>
          <w:rtl/>
        </w:rPr>
        <w:t xml:space="preserve"> צְבָאוֹת שְׁמוֹ</w:t>
      </w:r>
      <w:r w:rsidR="00AB5DD3">
        <w:rPr>
          <w:rFonts w:hint="cs"/>
          <w:rtl/>
        </w:rPr>
        <w:t>" (פסוק טז)</w:t>
      </w:r>
      <w:r w:rsidR="00CC5AB4">
        <w:rPr>
          <w:rFonts w:hint="cs"/>
          <w:rtl/>
        </w:rPr>
        <w:t>.</w:t>
      </w:r>
      <w:r>
        <w:rPr>
          <w:rtl/>
        </w:rPr>
        <w:t xml:space="preserve"> </w:t>
      </w:r>
    </w:p>
    <w:p w:rsidR="00126CEA" w:rsidRDefault="006F394D" w:rsidP="00AB5DD3">
      <w:pPr>
        <w:pStyle w:val="ac"/>
        <w:rPr>
          <w:rtl/>
        </w:rPr>
      </w:pPr>
      <w:r>
        <w:rPr>
          <w:rtl/>
        </w:rPr>
        <w:t xml:space="preserve">אמר </w:t>
      </w:r>
      <w:r w:rsidR="004C1681">
        <w:rPr>
          <w:rtl/>
        </w:rPr>
        <w:t>הקב"ה</w:t>
      </w:r>
      <w:r w:rsidR="00AB5DD3">
        <w:rPr>
          <w:rFonts w:hint="cs"/>
          <w:rtl/>
        </w:rPr>
        <w:t>:</w:t>
      </w:r>
      <w:r>
        <w:rPr>
          <w:rtl/>
        </w:rPr>
        <w:t xml:space="preserve"> הואיל והיא כאבן דומם ואין בה ממש ואחרים שומרים אותה שלא יגנבו אותה</w:t>
      </w:r>
      <w:r w:rsidR="00AB5DD3">
        <w:rPr>
          <w:rFonts w:hint="cs"/>
          <w:rtl/>
        </w:rPr>
        <w:t>,</w:t>
      </w:r>
      <w:r>
        <w:rPr>
          <w:rtl/>
        </w:rPr>
        <w:t xml:space="preserve"> היאך יכולה היא ליתן חיים לחולה</w:t>
      </w:r>
      <w:r w:rsidR="00AB5DD3">
        <w:rPr>
          <w:rFonts w:hint="cs"/>
          <w:rtl/>
        </w:rPr>
        <w:t>?</w:t>
      </w:r>
      <w:r>
        <w:rPr>
          <w:rtl/>
        </w:rPr>
        <w:t xml:space="preserve"> לכך אסור להתרפאות מכל אשר לה</w:t>
      </w:r>
      <w:r w:rsidR="00AB5DD3">
        <w:rPr>
          <w:rFonts w:hint="cs"/>
          <w:rtl/>
        </w:rPr>
        <w:t>.</w:t>
      </w:r>
      <w:r w:rsidR="00FD4EDD">
        <w:rPr>
          <w:rStyle w:val="a5"/>
          <w:rtl/>
        </w:rPr>
        <w:footnoteReference w:id="15"/>
      </w:r>
      <w:r>
        <w:rPr>
          <w:rtl/>
        </w:rPr>
        <w:t xml:space="preserve"> וכן אתה מוצא </w:t>
      </w:r>
      <w:r w:rsidR="00AB5DD3">
        <w:rPr>
          <w:rFonts w:hint="cs"/>
          <w:rtl/>
        </w:rPr>
        <w:t>ב</w:t>
      </w:r>
      <w:r>
        <w:rPr>
          <w:rtl/>
        </w:rPr>
        <w:t>ישראל</w:t>
      </w:r>
      <w:r w:rsidR="00AB5DD3">
        <w:rPr>
          <w:rFonts w:hint="cs"/>
          <w:rtl/>
        </w:rPr>
        <w:t>,</w:t>
      </w:r>
      <w:r>
        <w:rPr>
          <w:rtl/>
        </w:rPr>
        <w:t xml:space="preserve"> כשהיו במצרים</w:t>
      </w:r>
      <w:r w:rsidR="00AB5DD3">
        <w:rPr>
          <w:rFonts w:hint="cs"/>
          <w:rtl/>
        </w:rPr>
        <w:t>,</w:t>
      </w:r>
      <w:r>
        <w:rPr>
          <w:rtl/>
        </w:rPr>
        <w:t xml:space="preserve"> היו עובדי</w:t>
      </w:r>
      <w:r w:rsidR="00AB5DD3">
        <w:rPr>
          <w:rFonts w:hint="cs"/>
          <w:rtl/>
        </w:rPr>
        <w:t>ם</w:t>
      </w:r>
      <w:r>
        <w:rPr>
          <w:rtl/>
        </w:rPr>
        <w:t xml:space="preserve"> </w:t>
      </w:r>
      <w:r w:rsidR="00977C3F">
        <w:rPr>
          <w:rtl/>
        </w:rPr>
        <w:t>עבודה זרה</w:t>
      </w:r>
      <w:r>
        <w:rPr>
          <w:rtl/>
        </w:rPr>
        <w:t xml:space="preserve"> ולא היו עוזבי</w:t>
      </w:r>
      <w:r w:rsidR="00AB5DD3">
        <w:rPr>
          <w:rFonts w:hint="cs"/>
          <w:rtl/>
        </w:rPr>
        <w:t>ם</w:t>
      </w:r>
      <w:r>
        <w:rPr>
          <w:rtl/>
        </w:rPr>
        <w:t xml:space="preserve"> אותה, שנאמר</w:t>
      </w:r>
      <w:r w:rsidR="00AB5DD3">
        <w:rPr>
          <w:rFonts w:hint="cs"/>
          <w:rtl/>
        </w:rPr>
        <w:t>: "</w:t>
      </w:r>
      <w:r>
        <w:rPr>
          <w:rtl/>
        </w:rPr>
        <w:t>איש את שקוצי עיניהם לא השליכו</w:t>
      </w:r>
      <w:r w:rsidR="00AB5DD3">
        <w:rPr>
          <w:rFonts w:hint="cs"/>
          <w:rtl/>
        </w:rPr>
        <w:t xml:space="preserve">" </w:t>
      </w:r>
      <w:r w:rsidR="00AB5DD3">
        <w:rPr>
          <w:rtl/>
        </w:rPr>
        <w:t>(יחזקאל כ</w:t>
      </w:r>
      <w:r w:rsidR="00AB5DD3">
        <w:rPr>
          <w:rFonts w:hint="cs"/>
          <w:rtl/>
        </w:rPr>
        <w:t xml:space="preserve"> ח</w:t>
      </w:r>
      <w:r w:rsidR="00AB5DD3">
        <w:rPr>
          <w:rtl/>
        </w:rPr>
        <w:t>)</w:t>
      </w:r>
      <w:r w:rsidR="00AB5DD3">
        <w:rPr>
          <w:rFonts w:hint="cs"/>
          <w:rtl/>
        </w:rPr>
        <w:t>.</w:t>
      </w:r>
      <w:r w:rsidR="002E45BA">
        <w:rPr>
          <w:rStyle w:val="a5"/>
          <w:rtl/>
        </w:rPr>
        <w:footnoteReference w:id="16"/>
      </w:r>
      <w:r>
        <w:rPr>
          <w:rtl/>
        </w:rPr>
        <w:t xml:space="preserve"> אמר לו </w:t>
      </w:r>
      <w:r w:rsidR="004C1681">
        <w:rPr>
          <w:rtl/>
        </w:rPr>
        <w:t>הקב"ה</w:t>
      </w:r>
      <w:r>
        <w:rPr>
          <w:rtl/>
        </w:rPr>
        <w:t xml:space="preserve"> למשה</w:t>
      </w:r>
      <w:r w:rsidR="00AB5DD3">
        <w:rPr>
          <w:rFonts w:hint="cs"/>
          <w:rtl/>
        </w:rPr>
        <w:t>:</w:t>
      </w:r>
      <w:r>
        <w:rPr>
          <w:rtl/>
        </w:rPr>
        <w:t xml:space="preserve"> כל זמן שישראל עובדי</w:t>
      </w:r>
      <w:r w:rsidR="00AB5DD3">
        <w:rPr>
          <w:rFonts w:hint="cs"/>
          <w:rtl/>
        </w:rPr>
        <w:t>ם</w:t>
      </w:r>
      <w:r>
        <w:rPr>
          <w:rtl/>
        </w:rPr>
        <w:t xml:space="preserve"> לאל</w:t>
      </w:r>
      <w:r w:rsidR="00707853">
        <w:rPr>
          <w:rFonts w:hint="cs"/>
          <w:rtl/>
        </w:rPr>
        <w:t>ו</w:t>
      </w:r>
      <w:r>
        <w:rPr>
          <w:rtl/>
        </w:rPr>
        <w:t>הי מצרים</w:t>
      </w:r>
      <w:r w:rsidR="00AB5DD3">
        <w:rPr>
          <w:rFonts w:hint="cs"/>
          <w:rtl/>
        </w:rPr>
        <w:t>,</w:t>
      </w:r>
      <w:r>
        <w:rPr>
          <w:rtl/>
        </w:rPr>
        <w:t xml:space="preserve"> לא יגאלו</w:t>
      </w:r>
      <w:r w:rsidR="00AB5DD3">
        <w:rPr>
          <w:rFonts w:hint="cs"/>
          <w:rtl/>
        </w:rPr>
        <w:t>.</w:t>
      </w:r>
      <w:r>
        <w:rPr>
          <w:rtl/>
        </w:rPr>
        <w:t xml:space="preserve"> לך ואמור לה</w:t>
      </w:r>
      <w:r w:rsidR="00AB5DD3">
        <w:rPr>
          <w:rFonts w:hint="cs"/>
          <w:rtl/>
        </w:rPr>
        <w:t>ם</w:t>
      </w:r>
      <w:r>
        <w:rPr>
          <w:rtl/>
        </w:rPr>
        <w:t xml:space="preserve"> שיניחו מעשיה</w:t>
      </w:r>
      <w:r w:rsidR="00AB5DD3">
        <w:rPr>
          <w:rFonts w:hint="cs"/>
          <w:rtl/>
        </w:rPr>
        <w:t>ם</w:t>
      </w:r>
      <w:r>
        <w:rPr>
          <w:rtl/>
        </w:rPr>
        <w:t xml:space="preserve"> הרעים ולכפור ב</w:t>
      </w:r>
      <w:r w:rsidR="00977C3F">
        <w:rPr>
          <w:rtl/>
        </w:rPr>
        <w:t>עבודה זרה</w:t>
      </w:r>
      <w:r w:rsidR="00AB5DD3">
        <w:rPr>
          <w:rFonts w:hint="cs"/>
          <w:rtl/>
        </w:rPr>
        <w:t xml:space="preserve">. זהו שכתוב: </w:t>
      </w:r>
      <w:r>
        <w:rPr>
          <w:rtl/>
        </w:rPr>
        <w:t>"משכו וקחו לכם</w:t>
      </w:r>
      <w:r w:rsidR="00AB5DD3">
        <w:rPr>
          <w:rFonts w:hint="cs"/>
          <w:rtl/>
        </w:rPr>
        <w:t xml:space="preserve"> צאן למשפחותיכם ושחטו הפסח" </w:t>
      </w:r>
      <w:r w:rsidR="00AB5DD3">
        <w:rPr>
          <w:rtl/>
        </w:rPr>
        <w:t>(שמות יב</w:t>
      </w:r>
      <w:r w:rsidR="00AB5DD3">
        <w:rPr>
          <w:rFonts w:hint="cs"/>
          <w:rtl/>
        </w:rPr>
        <w:t xml:space="preserve"> כא</w:t>
      </w:r>
      <w:r w:rsidR="00AB5DD3">
        <w:rPr>
          <w:rtl/>
        </w:rPr>
        <w:t xml:space="preserve">) </w:t>
      </w:r>
      <w:r w:rsidR="004246CC">
        <w:rPr>
          <w:rFonts w:hint="cs"/>
          <w:rtl/>
        </w:rPr>
        <w:t xml:space="preserve"> </w:t>
      </w:r>
      <w:r w:rsidR="004246CC">
        <w:rPr>
          <w:rtl/>
        </w:rPr>
        <w:t>–</w:t>
      </w:r>
      <w:r>
        <w:rPr>
          <w:rtl/>
        </w:rPr>
        <w:t xml:space="preserve"> כלומר</w:t>
      </w:r>
      <w:r w:rsidR="004246CC">
        <w:rPr>
          <w:rFonts w:hint="cs"/>
          <w:rtl/>
        </w:rPr>
        <w:t>,</w:t>
      </w:r>
      <w:r>
        <w:rPr>
          <w:rtl/>
        </w:rPr>
        <w:t xml:space="preserve"> משכו ידיכם מעבוד</w:t>
      </w:r>
      <w:r w:rsidR="004246CC">
        <w:rPr>
          <w:rFonts w:hint="cs"/>
          <w:rtl/>
        </w:rPr>
        <w:t xml:space="preserve">ה זרה </w:t>
      </w:r>
      <w:r>
        <w:rPr>
          <w:rtl/>
        </w:rPr>
        <w:t>וקחו לכם צאן ושחטו אל</w:t>
      </w:r>
      <w:r w:rsidR="00707853">
        <w:rPr>
          <w:rFonts w:hint="cs"/>
          <w:rtl/>
        </w:rPr>
        <w:t>ו</w:t>
      </w:r>
      <w:r>
        <w:rPr>
          <w:rtl/>
        </w:rPr>
        <w:t xml:space="preserve">היהם של מצרים ועשו הפסח, שבכך </w:t>
      </w:r>
      <w:r w:rsidR="004C1681">
        <w:rPr>
          <w:rtl/>
        </w:rPr>
        <w:t>הקב"ה</w:t>
      </w:r>
      <w:r>
        <w:rPr>
          <w:rtl/>
        </w:rPr>
        <w:t xml:space="preserve"> פוסח עליכם</w:t>
      </w:r>
      <w:r w:rsidR="004246CC">
        <w:rPr>
          <w:rFonts w:hint="cs"/>
          <w:rtl/>
        </w:rPr>
        <w:t>.</w:t>
      </w:r>
      <w:r>
        <w:rPr>
          <w:rtl/>
        </w:rPr>
        <w:t xml:space="preserve"> הוי</w:t>
      </w:r>
      <w:r w:rsidR="004246CC">
        <w:rPr>
          <w:rFonts w:hint="cs"/>
          <w:rtl/>
        </w:rPr>
        <w:t>: "</w:t>
      </w:r>
      <w:r w:rsidR="004246CC">
        <w:rPr>
          <w:rtl/>
        </w:rPr>
        <w:t>בשובה ונחת תושעו</w:t>
      </w:r>
      <w:r w:rsidR="004246CC">
        <w:rPr>
          <w:rFonts w:hint="cs"/>
          <w:rtl/>
        </w:rPr>
        <w:t>ן"</w:t>
      </w:r>
      <w:r>
        <w:rPr>
          <w:rtl/>
        </w:rPr>
        <w:t>.</w:t>
      </w:r>
      <w:r w:rsidR="004246CC">
        <w:rPr>
          <w:rStyle w:val="a5"/>
          <w:rtl/>
        </w:rPr>
        <w:footnoteReference w:id="17"/>
      </w:r>
    </w:p>
    <w:p w:rsidR="00EC3084" w:rsidRDefault="00EC3084">
      <w:pPr>
        <w:pStyle w:val="ad"/>
        <w:rPr>
          <w:rtl/>
        </w:rPr>
      </w:pPr>
      <w:r>
        <w:rPr>
          <w:rtl/>
        </w:rPr>
        <w:t>שבת שלום</w:t>
      </w:r>
    </w:p>
    <w:p w:rsidR="00EC3084" w:rsidRDefault="00EC3084">
      <w:pPr>
        <w:pStyle w:val="ad"/>
        <w:rPr>
          <w:rFonts w:hint="cs"/>
          <w:rtl/>
        </w:rPr>
      </w:pPr>
      <w:r>
        <w:rPr>
          <w:rtl/>
        </w:rPr>
        <w:t>מחלקי המים</w:t>
      </w:r>
    </w:p>
    <w:p w:rsidR="008B37F0" w:rsidRPr="008B37F0" w:rsidRDefault="008B37F0" w:rsidP="00810326">
      <w:pPr>
        <w:pStyle w:val="ad"/>
        <w:spacing w:before="120" w:line="280" w:lineRule="atLeast"/>
        <w:rPr>
          <w:b w:val="0"/>
          <w:bCs w:val="0"/>
          <w:szCs w:val="22"/>
          <w:rtl/>
        </w:rPr>
      </w:pPr>
      <w:r w:rsidRPr="008B37F0">
        <w:rPr>
          <w:rFonts w:hint="cs"/>
          <w:b w:val="0"/>
          <w:bCs w:val="0"/>
          <w:szCs w:val="22"/>
          <w:rtl/>
        </w:rPr>
        <w:t xml:space="preserve">מים אחרונים: ראה המשך הדרשה בסימן ג שם החוזרת ומדגישה את הצורך להתעמת עם אלוהי מצרים כחלק מתהליך הגאולה: "בשעה שאמר הקב"ה למשה לשחוט הפסח, אמר לו משה: ריבון העולם, הדבר הזה האיך אני יכול לעשות? אי אתה יודע שהצאן אלוהיהם של מצרים הן? שנאמר: הן נזבח את תועבת מצרים לעיניהם </w:t>
      </w:r>
      <w:r w:rsidRPr="008B37F0">
        <w:rPr>
          <w:b w:val="0"/>
          <w:bCs w:val="0"/>
          <w:szCs w:val="22"/>
          <w:rtl/>
        </w:rPr>
        <w:t>ולא יסקלונו</w:t>
      </w:r>
      <w:r>
        <w:rPr>
          <w:rFonts w:hint="cs"/>
          <w:b w:val="0"/>
          <w:bCs w:val="0"/>
          <w:szCs w:val="22"/>
          <w:rtl/>
        </w:rPr>
        <w:t>?</w:t>
      </w:r>
      <w:r w:rsidRPr="008B37F0">
        <w:rPr>
          <w:b w:val="0"/>
          <w:bCs w:val="0"/>
          <w:szCs w:val="22"/>
          <w:rtl/>
        </w:rPr>
        <w:t xml:space="preserve"> אמר לו הק</w:t>
      </w:r>
      <w:r>
        <w:rPr>
          <w:rFonts w:hint="cs"/>
          <w:b w:val="0"/>
          <w:bCs w:val="0"/>
          <w:szCs w:val="22"/>
          <w:rtl/>
        </w:rPr>
        <w:t xml:space="preserve">ב"ה: </w:t>
      </w:r>
      <w:r w:rsidRPr="008B37F0">
        <w:rPr>
          <w:b w:val="0"/>
          <w:bCs w:val="0"/>
          <w:szCs w:val="22"/>
          <w:rtl/>
        </w:rPr>
        <w:t>חייך</w:t>
      </w:r>
      <w:r>
        <w:rPr>
          <w:rFonts w:hint="cs"/>
          <w:b w:val="0"/>
          <w:bCs w:val="0"/>
          <w:szCs w:val="22"/>
          <w:rtl/>
        </w:rPr>
        <w:t>,</w:t>
      </w:r>
      <w:r w:rsidRPr="008B37F0">
        <w:rPr>
          <w:b w:val="0"/>
          <w:bCs w:val="0"/>
          <w:szCs w:val="22"/>
          <w:rtl/>
        </w:rPr>
        <w:t xml:space="preserve"> אין ישראל יוצאין מכאן</w:t>
      </w:r>
      <w:r>
        <w:rPr>
          <w:rFonts w:hint="cs"/>
          <w:b w:val="0"/>
          <w:bCs w:val="0"/>
          <w:szCs w:val="22"/>
          <w:rtl/>
        </w:rPr>
        <w:t>,</w:t>
      </w:r>
      <w:r w:rsidRPr="008B37F0">
        <w:rPr>
          <w:b w:val="0"/>
          <w:bCs w:val="0"/>
          <w:szCs w:val="22"/>
          <w:rtl/>
        </w:rPr>
        <w:t xml:space="preserve"> עד שישחטו את אל</w:t>
      </w:r>
      <w:r w:rsidR="002C2087">
        <w:rPr>
          <w:rFonts w:hint="cs"/>
          <w:b w:val="0"/>
          <w:bCs w:val="0"/>
          <w:szCs w:val="22"/>
          <w:rtl/>
        </w:rPr>
        <w:t>ו</w:t>
      </w:r>
      <w:r w:rsidRPr="008B37F0">
        <w:rPr>
          <w:b w:val="0"/>
          <w:bCs w:val="0"/>
          <w:szCs w:val="22"/>
          <w:rtl/>
        </w:rPr>
        <w:t>הי מצרים לעיניהם</w:t>
      </w:r>
      <w:r>
        <w:rPr>
          <w:rFonts w:hint="cs"/>
          <w:b w:val="0"/>
          <w:bCs w:val="0"/>
          <w:szCs w:val="22"/>
          <w:rtl/>
        </w:rPr>
        <w:t>,</w:t>
      </w:r>
      <w:r w:rsidRPr="008B37F0">
        <w:rPr>
          <w:b w:val="0"/>
          <w:bCs w:val="0"/>
          <w:szCs w:val="22"/>
          <w:rtl/>
        </w:rPr>
        <w:t xml:space="preserve"> שאודיע להם שאין אל</w:t>
      </w:r>
      <w:r w:rsidR="002C2087">
        <w:rPr>
          <w:rFonts w:hint="cs"/>
          <w:b w:val="0"/>
          <w:bCs w:val="0"/>
          <w:szCs w:val="22"/>
          <w:rtl/>
        </w:rPr>
        <w:t>ו</w:t>
      </w:r>
      <w:r w:rsidRPr="008B37F0">
        <w:rPr>
          <w:b w:val="0"/>
          <w:bCs w:val="0"/>
          <w:szCs w:val="22"/>
          <w:rtl/>
        </w:rPr>
        <w:t>היהם כלום</w:t>
      </w:r>
      <w:r>
        <w:rPr>
          <w:rFonts w:hint="cs"/>
          <w:b w:val="0"/>
          <w:bCs w:val="0"/>
          <w:szCs w:val="22"/>
          <w:rtl/>
        </w:rPr>
        <w:t>.</w:t>
      </w:r>
      <w:r w:rsidRPr="008B37F0">
        <w:rPr>
          <w:b w:val="0"/>
          <w:bCs w:val="0"/>
          <w:szCs w:val="22"/>
          <w:rtl/>
        </w:rPr>
        <w:t xml:space="preserve"> וכן מצינו שעשה, שבאותו הלילה הכה בכוריהם של מצרים ובו בלילה שחטו ישראל פסחיהן ואכלו והיו המצרים רואים בכוריהם הרוגים ואלהיהן שחוטין ולא היו יכולין לעשות כלום</w:t>
      </w:r>
      <w:r>
        <w:rPr>
          <w:rFonts w:hint="cs"/>
          <w:b w:val="0"/>
          <w:bCs w:val="0"/>
          <w:szCs w:val="22"/>
          <w:rtl/>
        </w:rPr>
        <w:t xml:space="preserve">". </w:t>
      </w:r>
      <w:r w:rsidR="00D31C52">
        <w:rPr>
          <w:rFonts w:hint="cs"/>
          <w:b w:val="0"/>
          <w:bCs w:val="0"/>
          <w:szCs w:val="22"/>
          <w:rtl/>
        </w:rPr>
        <w:t xml:space="preserve">אפשר שגם זו תשועה "בשובה ונחת", בשקט של </w:t>
      </w:r>
      <w:r w:rsidR="002C2087">
        <w:rPr>
          <w:rFonts w:hint="cs"/>
          <w:b w:val="0"/>
          <w:bCs w:val="0"/>
          <w:szCs w:val="22"/>
          <w:rtl/>
        </w:rPr>
        <w:t>גאולים-</w:t>
      </w:r>
      <w:r w:rsidR="00D31C52">
        <w:rPr>
          <w:rFonts w:hint="cs"/>
          <w:b w:val="0"/>
          <w:bCs w:val="0"/>
          <w:szCs w:val="22"/>
          <w:rtl/>
        </w:rPr>
        <w:t xml:space="preserve">מנצחים שרואים את </w:t>
      </w:r>
      <w:r w:rsidR="002C2087">
        <w:rPr>
          <w:rFonts w:hint="cs"/>
          <w:b w:val="0"/>
          <w:bCs w:val="0"/>
          <w:szCs w:val="22"/>
          <w:rtl/>
        </w:rPr>
        <w:t>אדוניהם-</w:t>
      </w:r>
      <w:r w:rsidR="00D31C52">
        <w:rPr>
          <w:rFonts w:hint="cs"/>
          <w:b w:val="0"/>
          <w:bCs w:val="0"/>
          <w:szCs w:val="22"/>
          <w:rtl/>
        </w:rPr>
        <w:t xml:space="preserve">משעבדיהם </w:t>
      </w:r>
      <w:r w:rsidR="002C2087">
        <w:rPr>
          <w:rFonts w:hint="cs"/>
          <w:b w:val="0"/>
          <w:bCs w:val="0"/>
          <w:szCs w:val="22"/>
          <w:rtl/>
        </w:rPr>
        <w:t xml:space="preserve">לשעבר </w:t>
      </w:r>
      <w:r w:rsidR="00D31C52">
        <w:rPr>
          <w:rFonts w:hint="cs"/>
          <w:b w:val="0"/>
          <w:bCs w:val="0"/>
          <w:szCs w:val="22"/>
          <w:rtl/>
        </w:rPr>
        <w:t>מובסים ואינם מתלהמים. וכמו שממשיך שם הפסוק בישעיהו: "בהשקט ובבטחה תהיה גבורתכם".</w:t>
      </w:r>
    </w:p>
    <w:sectPr w:rsidR="008B37F0" w:rsidRPr="008B37F0" w:rsidSect="00810326">
      <w:headerReference w:type="default" r:id="rId7"/>
      <w:footerReference w:type="default" r:id="rId8"/>
      <w:headerReference w:type="first" r:id="rId9"/>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DD" w:rsidRDefault="002813DD">
      <w:r>
        <w:separator/>
      </w:r>
    </w:p>
  </w:endnote>
  <w:endnote w:type="continuationSeparator" w:id="0">
    <w:p w:rsidR="002813DD" w:rsidRDefault="0028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42" w:rsidRDefault="00A33842"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B7D9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B7D90">
      <w:rPr>
        <w:rStyle w:val="ae"/>
        <w:noProof/>
        <w:rtl/>
      </w:rPr>
      <w:t>4</w:t>
    </w:r>
    <w:r w:rsidRPr="00F8747C">
      <w:rPr>
        <w:rStyle w:val="ae"/>
      </w:rPr>
      <w:fldChar w:fldCharType="end"/>
    </w:r>
  </w:p>
  <w:p w:rsidR="00A33842" w:rsidRDefault="00A33842">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DD" w:rsidRDefault="002813DD">
      <w:r>
        <w:separator/>
      </w:r>
    </w:p>
  </w:footnote>
  <w:footnote w:type="continuationSeparator" w:id="0">
    <w:p w:rsidR="002813DD" w:rsidRDefault="002813DD">
      <w:r>
        <w:continuationSeparator/>
      </w:r>
    </w:p>
  </w:footnote>
  <w:footnote w:id="1">
    <w:p w:rsidR="00A33842" w:rsidRDefault="00A33842" w:rsidP="004246CC">
      <w:pPr>
        <w:pStyle w:val="a3"/>
        <w:rPr>
          <w:rFonts w:hint="cs"/>
          <w:rtl/>
        </w:rPr>
      </w:pPr>
      <w:r>
        <w:rPr>
          <w:rStyle w:val="a5"/>
        </w:rPr>
        <w:footnoteRef/>
      </w:r>
      <w:r>
        <w:rPr>
          <w:rtl/>
        </w:rPr>
        <w:t xml:space="preserve"> </w:t>
      </w:r>
      <w:r>
        <w:rPr>
          <w:rFonts w:hint="cs"/>
          <w:rtl/>
        </w:rPr>
        <w:t xml:space="preserve">אם נתעלם ממילים החותמות את הפסוק "ולא אביתם", שהם תוכחה, ונתמקד במרכזו, במילים המרגיעות והמשפרות שבאמצע הפסוק: "בשובה ונחת תוושעון", נמצא שמרבית הדרשות עליהן עוסקות בגאולה לעתיד לבוא. כגון זו שבמדרש </w:t>
      </w:r>
      <w:r>
        <w:rPr>
          <w:rtl/>
        </w:rPr>
        <w:t xml:space="preserve">ויקרא רבה ג </w:t>
      </w:r>
      <w:r>
        <w:rPr>
          <w:rFonts w:hint="cs"/>
          <w:rtl/>
        </w:rPr>
        <w:t xml:space="preserve"> א: "א</w:t>
      </w:r>
      <w:r>
        <w:rPr>
          <w:rtl/>
        </w:rPr>
        <w:t xml:space="preserve">ין ישראל נגאלין אלא בזכות </w:t>
      </w:r>
      <w:r>
        <w:rPr>
          <w:rFonts w:hint="cs"/>
          <w:rtl/>
        </w:rPr>
        <w:t>ה</w:t>
      </w:r>
      <w:r>
        <w:rPr>
          <w:rtl/>
        </w:rPr>
        <w:t>שבת</w:t>
      </w:r>
      <w:r>
        <w:rPr>
          <w:rFonts w:hint="cs"/>
          <w:rtl/>
        </w:rPr>
        <w:t>,</w:t>
      </w:r>
      <w:r>
        <w:rPr>
          <w:rtl/>
        </w:rPr>
        <w:t xml:space="preserve"> שנא</w:t>
      </w:r>
      <w:r>
        <w:rPr>
          <w:rFonts w:hint="cs"/>
          <w:rtl/>
        </w:rPr>
        <w:t xml:space="preserve">מר: </w:t>
      </w:r>
      <w:r>
        <w:rPr>
          <w:rtl/>
        </w:rPr>
        <w:t>בשובה ונחת תושעון</w:t>
      </w:r>
      <w:r>
        <w:rPr>
          <w:rFonts w:hint="cs"/>
          <w:rtl/>
        </w:rPr>
        <w:t xml:space="preserve">" </w:t>
      </w:r>
      <w:r>
        <w:rPr>
          <w:rtl/>
        </w:rPr>
        <w:t>–</w:t>
      </w:r>
      <w:r>
        <w:rPr>
          <w:rFonts w:hint="cs"/>
          <w:rtl/>
        </w:rPr>
        <w:t xml:space="preserve"> שובה מלשון שבת. או זו שבירושלמי תענית פרק א הלכה א: "אם אין ישראל עושין תשובה, אין נגאלין לעולם, </w:t>
      </w:r>
      <w:r>
        <w:rPr>
          <w:rtl/>
        </w:rPr>
        <w:t>שנא</w:t>
      </w:r>
      <w:r>
        <w:rPr>
          <w:rFonts w:hint="cs"/>
          <w:rtl/>
        </w:rPr>
        <w:t xml:space="preserve">מר: </w:t>
      </w:r>
      <w:r>
        <w:rPr>
          <w:rtl/>
        </w:rPr>
        <w:t>בשובה ונחת תושעון</w:t>
      </w:r>
      <w:r>
        <w:rPr>
          <w:rFonts w:hint="cs"/>
          <w:rtl/>
        </w:rPr>
        <w:t xml:space="preserve">" </w:t>
      </w:r>
      <w:r>
        <w:rPr>
          <w:rtl/>
        </w:rPr>
        <w:t>–</w:t>
      </w:r>
      <w:r>
        <w:rPr>
          <w:rFonts w:hint="cs"/>
          <w:rtl/>
        </w:rPr>
        <w:t xml:space="preserve"> שובה מלשון תשובה. אבל המדרש שלנו דווקא מבין את הפסוק בישעיהו על גאולת מצרים ובכך כאילו דורש את דברי ישעיהו לאחור. </w:t>
      </w:r>
    </w:p>
  </w:footnote>
  <w:footnote w:id="2">
    <w:p w:rsidR="00A33842" w:rsidRDefault="00A33842" w:rsidP="00D31C52">
      <w:pPr>
        <w:pStyle w:val="a3"/>
        <w:rPr>
          <w:rFonts w:hint="cs"/>
          <w:rtl/>
        </w:rPr>
      </w:pPr>
      <w:r>
        <w:rPr>
          <w:rStyle w:val="a5"/>
        </w:rPr>
        <w:footnoteRef/>
      </w:r>
      <w:r>
        <w:rPr>
          <w:rtl/>
        </w:rPr>
        <w:t xml:space="preserve"> </w:t>
      </w:r>
      <w:r>
        <w:rPr>
          <w:rFonts w:hint="cs"/>
          <w:rtl/>
        </w:rPr>
        <w:t xml:space="preserve">אנו מרבים ללקט מדרשים עפ"י נושא מסוים ולשזור אותם בדרך זו או אחרת. זאת, משום שרוב המדרשים באים בקטעים ורק מיעוט מהם </w:t>
      </w:r>
      <w:r w:rsidR="00D31C52">
        <w:rPr>
          <w:rFonts w:hint="cs"/>
          <w:rtl/>
        </w:rPr>
        <w:t>הגיע</w:t>
      </w:r>
      <w:r>
        <w:rPr>
          <w:rFonts w:hint="cs"/>
          <w:rtl/>
        </w:rPr>
        <w:t xml:space="preserve"> אלינו כדרשה שלימה ורצופה. אחת מהן, היא הדרשה בשמות רבה פרשה טז סימן ב, שיש בה גם תחכום של שילוב הלכה ואגדה, נכון יותר: הלכה בשירות האגדה. ובה נעסוק הפעם.</w:t>
      </w:r>
    </w:p>
  </w:footnote>
  <w:footnote w:id="3">
    <w:p w:rsidR="00A33842" w:rsidRDefault="00A33842">
      <w:pPr>
        <w:pStyle w:val="a3"/>
        <w:rPr>
          <w:rFonts w:hint="cs"/>
        </w:rPr>
      </w:pPr>
      <w:r>
        <w:rPr>
          <w:rStyle w:val="a5"/>
        </w:rPr>
        <w:footnoteRef/>
      </w:r>
      <w:r>
        <w:rPr>
          <w:rtl/>
        </w:rPr>
        <w:t xml:space="preserve"> </w:t>
      </w:r>
      <w:r>
        <w:rPr>
          <w:rFonts w:hint="cs"/>
          <w:rtl/>
        </w:rPr>
        <w:t xml:space="preserve">על המוטיב הכללי של משכו וקחו לכם, שמרמז על הצורך של עם ישראל 'למשוך את עצמו' ו'לקחת את עצמו' כחלק מתהליך הגאולה, כבר כתבנו בדברינו </w:t>
      </w:r>
      <w:hyperlink r:id="rId1" w:history="1">
        <w:r w:rsidRPr="00A24611">
          <w:rPr>
            <w:rStyle w:val="Hyperlink"/>
            <w:rFonts w:hint="cs"/>
            <w:rtl/>
          </w:rPr>
          <w:t>משכו וקחו לכם</w:t>
        </w:r>
      </w:hyperlink>
      <w:r>
        <w:rPr>
          <w:rFonts w:hint="cs"/>
          <w:rtl/>
        </w:rPr>
        <w:t xml:space="preserve"> בפרשה זו בשנה האחרת. והפעם אנו כאמור בעקבות דרשה 'עצמאית' בשמות רבה.</w:t>
      </w:r>
    </w:p>
  </w:footnote>
  <w:footnote w:id="4">
    <w:p w:rsidR="00A33842" w:rsidRDefault="00A33842" w:rsidP="00FD6A46">
      <w:pPr>
        <w:pStyle w:val="a3"/>
        <w:rPr>
          <w:rFonts w:hint="cs"/>
          <w:rtl/>
        </w:rPr>
      </w:pPr>
      <w:r>
        <w:rPr>
          <w:rStyle w:val="a5"/>
        </w:rPr>
        <w:footnoteRef/>
      </w:r>
      <w:r>
        <w:rPr>
          <w:rtl/>
        </w:rPr>
        <w:t xml:space="preserve"> </w:t>
      </w:r>
      <w:r>
        <w:rPr>
          <w:rFonts w:hint="cs"/>
          <w:rtl/>
        </w:rPr>
        <w:t>"שנינו" זה נמצא בגמרא פסחים כה ע"א כאמרה של אמוראים. לאחר דיון שם אם מותר או אסור להתרפא בעצי אשרה, מביאה הגמרא את האמירה שרבין</w:t>
      </w:r>
      <w:r w:rsidR="00FD6A46">
        <w:rPr>
          <w:rFonts w:hint="cs"/>
          <w:rtl/>
        </w:rPr>
        <w:t xml:space="preserve"> (אמורא דור שלישי או רביעי)</w:t>
      </w:r>
      <w:r>
        <w:rPr>
          <w:rFonts w:hint="cs"/>
          <w:rtl/>
        </w:rPr>
        <w:t>, שירד מארץ ישראל לבבל מביא בשם ר' יוחנן ראש ישיבת טבריה: "בכל מתרפאין חוץ מעבודה זרה וגילוי עריות ושפיכות דמים</w:t>
      </w:r>
      <w:r w:rsidR="00FD6A46">
        <w:rPr>
          <w:rFonts w:hint="cs"/>
          <w:rtl/>
        </w:rPr>
        <w:t>"</w:t>
      </w:r>
      <w:r>
        <w:rPr>
          <w:rFonts w:hint="cs"/>
          <w:rtl/>
        </w:rPr>
        <w:t>. וזה בעצם הדין של שלוש המצוות שבהן "ייהרג ואל יעבור", כפי שנדון גם בגמרא סנהדרין עד ע"א, יומא פב ע"א ועוד, אבל לנו חשוב העניין של הרפואה: במה אסור להתרפא גם לאחר הכלל של "וחי בהם" הקובע את חיי האדם כערך עליון.</w:t>
      </w:r>
    </w:p>
  </w:footnote>
  <w:footnote w:id="5">
    <w:p w:rsidR="00A33842" w:rsidRDefault="00A33842" w:rsidP="00FD6A46">
      <w:pPr>
        <w:pStyle w:val="a3"/>
        <w:rPr>
          <w:rFonts w:hint="cs"/>
        </w:rPr>
      </w:pPr>
      <w:r>
        <w:rPr>
          <w:rStyle w:val="a5"/>
        </w:rPr>
        <w:footnoteRef/>
      </w:r>
      <w:r>
        <w:rPr>
          <w:rtl/>
        </w:rPr>
        <w:t xml:space="preserve"> </w:t>
      </w:r>
      <w:r>
        <w:rPr>
          <w:rFonts w:hint="cs"/>
          <w:rtl/>
        </w:rPr>
        <w:t>נראה שיש כאן חידוש גדול של הדרשן שלנו. בכל המקורות התלמודיים שבידינו (ראה הערה קודמת), הנימוק ששפיכות דמים אינה נדחית מפני פיקוח נפש, היינו שאדם לא יכול להציל עצמו במחיר חיי חברו, היא סברא ולא פסוק: "מאי חזית דדמא דידך סומק טפי?", היינו "מה ראית שדמך אדום, חשוב, יותר מדם חברך?"</w:t>
      </w:r>
      <w:r w:rsidR="00FD6A46">
        <w:rPr>
          <w:rFonts w:hint="cs"/>
          <w:rtl/>
        </w:rPr>
        <w:t xml:space="preserve"> </w:t>
      </w:r>
      <w:r w:rsidR="00FD6A46">
        <w:rPr>
          <w:rtl/>
        </w:rPr>
        <w:t>–</w:t>
      </w:r>
      <w:r w:rsidR="00FD6A46">
        <w:rPr>
          <w:rFonts w:hint="cs"/>
          <w:rtl/>
        </w:rPr>
        <w:t xml:space="preserve"> הדם שלך אינו יותר אדום מהדם של חברך!</w:t>
      </w:r>
      <w:r>
        <w:rPr>
          <w:rFonts w:hint="cs"/>
          <w:rtl/>
        </w:rPr>
        <w:t xml:space="preserve"> וכאן הוא מביא פסוק מפורש מהתורה! אם עונשו של מי שהורג הוא מיתה, אזי מי שמציל עצמו ע"י הרג חברו יהיה חייב מיתה ומה הועלנו?! גם זו סברא, ואולי די דומה לסברת "מאי חזית", אבל היא מבוססת על פסוק בתורה ולא ברור מדוע דרשה זו של שמות רבה לא נזכרת בגמרא. האם מצאו דרשני האגדה מקור שלא היה ידוע לבעלי ההלכה?</w:t>
      </w:r>
      <w:r w:rsidR="00FD6A46">
        <w:rPr>
          <w:rFonts w:hint="cs"/>
          <w:rtl/>
        </w:rPr>
        <w:t xml:space="preserve"> האם זו דרשה חדשה?</w:t>
      </w:r>
    </w:p>
  </w:footnote>
  <w:footnote w:id="6">
    <w:p w:rsidR="00A33842" w:rsidRDefault="00A33842" w:rsidP="00FD6A46">
      <w:pPr>
        <w:pStyle w:val="a3"/>
        <w:rPr>
          <w:rFonts w:hint="cs"/>
          <w:rtl/>
        </w:rPr>
      </w:pPr>
      <w:r>
        <w:rPr>
          <w:rStyle w:val="a5"/>
        </w:rPr>
        <w:footnoteRef/>
      </w:r>
      <w:r>
        <w:rPr>
          <w:rtl/>
        </w:rPr>
        <w:t xml:space="preserve"> </w:t>
      </w:r>
      <w:r>
        <w:rPr>
          <w:rFonts w:hint="cs"/>
          <w:rtl/>
        </w:rPr>
        <w:t xml:space="preserve">נזיר אסור כידוע לא ביין, אלא גם </w:t>
      </w:r>
      <w:r w:rsidR="00FD6A46">
        <w:rPr>
          <w:rFonts w:hint="cs"/>
          <w:rtl/>
        </w:rPr>
        <w:t>ב</w:t>
      </w:r>
      <w:r>
        <w:rPr>
          <w:rFonts w:hint="cs"/>
          <w:rtl/>
        </w:rPr>
        <w:t>ענבים ומכל מה שיו</w:t>
      </w:r>
      <w:r w:rsidR="00FD6A46">
        <w:rPr>
          <w:rFonts w:hint="cs"/>
          <w:rtl/>
        </w:rPr>
        <w:t>צ</w:t>
      </w:r>
      <w:r>
        <w:rPr>
          <w:rFonts w:hint="cs"/>
          <w:rtl/>
        </w:rPr>
        <w:t>א מהם. לפיכך, קטע זה קצת לא ברור, כאילו הנזיר סבור שעיקר האיסור הוא ביין וכל השאר הם בבחינת סייג וגדר. סייג הוא כידוע תוספת איסור של חכמים ("ועשו סייג לתורה", פרקי אבות א א). אך נראה מהמשך הדרשה שזו בדיוק מטרתה, להראות שרעיון הסייג והגידור נמצא כבר בתורה עצמה.</w:t>
      </w:r>
    </w:p>
  </w:footnote>
  <w:footnote w:id="7">
    <w:p w:rsidR="00A33842" w:rsidRDefault="00A33842" w:rsidP="00FD6A46">
      <w:pPr>
        <w:pStyle w:val="a3"/>
        <w:rPr>
          <w:rtl/>
        </w:rPr>
      </w:pPr>
      <w:r>
        <w:rPr>
          <w:rStyle w:val="a5"/>
        </w:rPr>
        <w:footnoteRef/>
      </w:r>
      <w:r>
        <w:rPr>
          <w:rtl/>
        </w:rPr>
        <w:t xml:space="preserve"> </w:t>
      </w:r>
      <w:r>
        <w:rPr>
          <w:rFonts w:hint="cs"/>
          <w:rtl/>
        </w:rPr>
        <w:t xml:space="preserve">תרגום: והנה המלאך (עיר קדיש הוא כינוי למלאך </w:t>
      </w:r>
      <w:r>
        <w:rPr>
          <w:rtl/>
        </w:rPr>
        <w:t>–</w:t>
      </w:r>
      <w:r>
        <w:rPr>
          <w:rFonts w:hint="cs"/>
          <w:rtl/>
        </w:rPr>
        <w:t xml:space="preserve"> 'עירין קדישין' בזמירות שבת) מן השמים יורד. עד כאן הראה הדרשן שההקפדה גם על הסייגים, גם על האיסורים המעגליים סביב היין שהוא עיקר האיסור, הם שעושים מהנזיר קדוש ודומה למלאך היורד מהשמים. לא בטוח שבעלי ההלכה יאהבו את הרעיון שבתורה עצמה יש איסורים משניים שהם בבחינת סייג. חכמים </w:t>
      </w:r>
      <w:r w:rsidR="00FD6A46">
        <w:rPr>
          <w:rFonts w:hint="cs"/>
          <w:rtl/>
        </w:rPr>
        <w:t>הם ש</w:t>
      </w:r>
      <w:r>
        <w:rPr>
          <w:rFonts w:hint="cs"/>
          <w:rtl/>
        </w:rPr>
        <w:t>אמרו: "</w:t>
      </w:r>
      <w:r>
        <w:rPr>
          <w:rtl/>
        </w:rPr>
        <w:t>לך לך אמרי נזירא סחור סחור, לכרמא לא תקרב</w:t>
      </w:r>
      <w:r>
        <w:rPr>
          <w:rFonts w:hint="cs"/>
          <w:rtl/>
        </w:rPr>
        <w:t>" (שבת יג ע"א, פסחים מ ע"ב ועוד), אבל לחשוב שזה כבר בתורה עצמה? כך או כך, עד שיתעשתו בעלי ההלכה, הדרשן כבר מצוי בעיצומה של הדרשה וממשיך מהנזיר לאיסורי עריות שהוא האיסור השני של ייהרג ואל יעבור. ו</w:t>
      </w:r>
      <w:r w:rsidR="00FD6A46">
        <w:rPr>
          <w:rFonts w:hint="cs"/>
          <w:rtl/>
        </w:rPr>
        <w:t>מהלך</w:t>
      </w:r>
      <w:r>
        <w:rPr>
          <w:rFonts w:hint="cs"/>
          <w:rtl/>
        </w:rPr>
        <w:t xml:space="preserve"> דרשתו ה</w:t>
      </w:r>
      <w:r w:rsidR="00FD6A46">
        <w:rPr>
          <w:rFonts w:hint="cs"/>
          <w:rtl/>
        </w:rPr>
        <w:t>ו</w:t>
      </w:r>
      <w:r>
        <w:rPr>
          <w:rFonts w:hint="cs"/>
          <w:rtl/>
        </w:rPr>
        <w:t xml:space="preserve">א אכן 'סחור סחור' בהיגיון שלא תמיד קל למעקב. העיקר שהמסר יעבור ושנגיע לפרשת השבוע וליציאת מצרים (אולי כבר שכחנו שזה היעד הסופי אליו אנו חותרים). </w:t>
      </w:r>
      <w:r>
        <w:rPr>
          <w:rtl/>
        </w:rPr>
        <w:t xml:space="preserve"> </w:t>
      </w:r>
    </w:p>
    <w:p w:rsidR="00A33842" w:rsidRDefault="00A33842" w:rsidP="00DB3B9C">
      <w:pPr>
        <w:pStyle w:val="a3"/>
        <w:rPr>
          <w:rtl/>
        </w:rPr>
      </w:pPr>
    </w:p>
    <w:p w:rsidR="00A33842" w:rsidRDefault="00A33842" w:rsidP="00DB3B9C">
      <w:pPr>
        <w:pStyle w:val="a3"/>
        <w:rPr>
          <w:rFonts w:hint="cs"/>
          <w:rtl/>
        </w:rPr>
      </w:pPr>
    </w:p>
  </w:footnote>
  <w:footnote w:id="8">
    <w:p w:rsidR="00A33842" w:rsidRDefault="00A33842" w:rsidP="00FD6A46">
      <w:pPr>
        <w:pStyle w:val="a3"/>
        <w:rPr>
          <w:rFonts w:hint="cs"/>
          <w:rtl/>
        </w:rPr>
      </w:pPr>
      <w:r>
        <w:rPr>
          <w:rStyle w:val="a5"/>
        </w:rPr>
        <w:footnoteRef/>
      </w:r>
      <w:r>
        <w:rPr>
          <w:rtl/>
        </w:rPr>
        <w:t xml:space="preserve"> </w:t>
      </w:r>
      <w:r>
        <w:rPr>
          <w:rFonts w:hint="cs"/>
          <w:rtl/>
        </w:rPr>
        <w:t>דומות במוטיב הסייג ואולי גם דומות בהיפוך בתוצאה. מי שמקפיד על סייגים בנזירות, מגשים את אידיאל הנזירות והופ</w:t>
      </w:r>
      <w:r w:rsidR="00FD6A46">
        <w:rPr>
          <w:rFonts w:hint="cs"/>
          <w:rtl/>
        </w:rPr>
        <w:t>ך</w:t>
      </w:r>
      <w:r>
        <w:rPr>
          <w:rFonts w:hint="cs"/>
          <w:rtl/>
        </w:rPr>
        <w:t xml:space="preserve"> לאיש קדוש ולמלאך. ומי שאינו מקפיד על סייגים ביחסי איש-אשה</w:t>
      </w:r>
      <w:r w:rsidR="00FD6A46">
        <w:rPr>
          <w:rFonts w:hint="cs"/>
          <w:rtl/>
        </w:rPr>
        <w:t>,</w:t>
      </w:r>
      <w:r>
        <w:rPr>
          <w:rFonts w:hint="cs"/>
          <w:rtl/>
        </w:rPr>
        <w:t xml:space="preserve"> "לא יינקה" וסופו להיכוות באש. ומשחק הלשון: אישה- אש, ברור מאליו. עכשיו יעשה הדרשן 'קפיצה קוונטית' קטנה, יניח לנזיר ולסמיכות הפרשיות סוטה-נזיר שעשו את שלהם, ויתמקד מכאן ואילך בפסוקי משלי על הסכנות הגדולות שיש ביחסי איש-אישה שאינם בכפוף לדיני התורה.</w:t>
      </w:r>
    </w:p>
  </w:footnote>
  <w:footnote w:id="9">
    <w:p w:rsidR="00A33842" w:rsidRDefault="00A33842" w:rsidP="00FD6A46">
      <w:pPr>
        <w:pStyle w:val="a3"/>
        <w:rPr>
          <w:rFonts w:hint="cs"/>
          <w:rtl/>
        </w:rPr>
      </w:pPr>
      <w:r>
        <w:rPr>
          <w:rStyle w:val="a5"/>
        </w:rPr>
        <w:footnoteRef/>
      </w:r>
      <w:r>
        <w:rPr>
          <w:rtl/>
        </w:rPr>
        <w:t xml:space="preserve"> </w:t>
      </w:r>
      <w:r>
        <w:rPr>
          <w:rFonts w:hint="cs"/>
          <w:rtl/>
        </w:rPr>
        <w:t xml:space="preserve">הגענו סוף סוף אל יעד הביניים, אל האיסור השני של ייהרג ואל יעבור, אל איסור עריות. וכל זה בדרשת היפוך מנזיר כפי שכבר הערנו. סייגי הנזיר מביאים מעלה מעלה, סייגי עריות </w:t>
      </w:r>
      <w:r>
        <w:rPr>
          <w:rtl/>
        </w:rPr>
        <w:t>–</w:t>
      </w:r>
      <w:r>
        <w:rPr>
          <w:rFonts w:hint="cs"/>
          <w:rtl/>
        </w:rPr>
        <w:t xml:space="preserve"> מי שעובר עליהם </w:t>
      </w:r>
      <w:r>
        <w:rPr>
          <w:rtl/>
        </w:rPr>
        <w:t>–</w:t>
      </w:r>
      <w:r>
        <w:rPr>
          <w:rFonts w:hint="cs"/>
          <w:rtl/>
        </w:rPr>
        <w:t xml:space="preserve"> מורידים מטה, מטה. ואם כך חמורה</w:t>
      </w:r>
      <w:r w:rsidR="00FD6A46" w:rsidRPr="00FD6A46">
        <w:rPr>
          <w:rFonts w:hint="cs"/>
          <w:rtl/>
        </w:rPr>
        <w:t xml:space="preserve"> </w:t>
      </w:r>
      <w:r w:rsidR="00FD6A46">
        <w:rPr>
          <w:rFonts w:hint="cs"/>
          <w:rtl/>
        </w:rPr>
        <w:t>היא עריות</w:t>
      </w:r>
      <w:r>
        <w:rPr>
          <w:rFonts w:hint="cs"/>
          <w:rtl/>
        </w:rPr>
        <w:t>, איך היא יכולה לרפא? כיצד ניתן להתרפא באיסור שמביא למוות ולירידה לשאול? מעניינת שוב ההשוואה לגמרא פסחים ולגמרות האחרות שדנות בנושא ייהרג ואל יעבור (ראה הערה 4). שם נלמד דין עריות בהיקש משפיכות דמים ומהפסוק: "</w:t>
      </w:r>
      <w:r>
        <w:rPr>
          <w:rtl/>
        </w:rPr>
        <w:t>כי כאשר יקום איש על רעהו ורצחו נפש כן הדבר הזה</w:t>
      </w:r>
      <w:r>
        <w:rPr>
          <w:rFonts w:hint="cs"/>
          <w:rtl/>
        </w:rPr>
        <w:t xml:space="preserve">" - </w:t>
      </w:r>
      <w:r>
        <w:rPr>
          <w:rtl/>
        </w:rPr>
        <w:t>מקיש רוצח לנערה המאורסה. מה נערה המאורסה ניתן להצילה בנפשו - אף רוצח ניתן להצילו בנפשו. ונערה המאורסה מרוצח, מה רוצח - יהרג ואל יעבור, אף נערה המאורסה - תהרג ואל תעבור</w:t>
      </w:r>
      <w:r>
        <w:rPr>
          <w:rFonts w:hint="cs"/>
          <w:rtl/>
        </w:rPr>
        <w:t>"</w:t>
      </w:r>
      <w:r>
        <w:rPr>
          <w:rtl/>
        </w:rPr>
        <w:t>.</w:t>
      </w:r>
      <w:r>
        <w:rPr>
          <w:rFonts w:hint="cs"/>
          <w:rtl/>
        </w:rPr>
        <w:t xml:space="preserve"> הדרשן שלנו אולי לא הכיר את הגמרא או שחשב שההשוואה עם אונס בכח איננה מספקת, שהרי מה עם איסור עריות שנעשה בהסכמה</w:t>
      </w:r>
      <w:r w:rsidR="00FD6A46">
        <w:rPr>
          <w:rFonts w:hint="cs"/>
          <w:rtl/>
        </w:rPr>
        <w:t xml:space="preserve">? לפיכך הוא אולי </w:t>
      </w:r>
      <w:r>
        <w:rPr>
          <w:rFonts w:hint="cs"/>
          <w:rtl/>
        </w:rPr>
        <w:t>מעדיף את הפסוקים מספר משלי ואת הרעיון שבאיסור עריות יש סם מיתה ואי אפשר להתרפא במרשם שמהותו היא מוות. הפעם הוא הולך בדרך הסברה, הנשענת על פסוקים מהכתובים ולא בדרך של פסוק מהתורה והתחלפו היוצרות עם דין שפיכות דמים שראינו לעיל, בין המדרש שלנו והגמרות הנ"ל. כך או כך, הדרשן בשמות רבה לא סבור שצריך את ההיקש מדין שפיכות דמים לדיני עריות. לכל אחד יש את הנימוקים וההיגיון הפנימי שלו, עם או בלי פסוק.</w:t>
      </w:r>
    </w:p>
  </w:footnote>
  <w:footnote w:id="10">
    <w:p w:rsidR="00125AEA" w:rsidRDefault="00125AEA" w:rsidP="00FD6A46">
      <w:pPr>
        <w:pStyle w:val="a3"/>
        <w:rPr>
          <w:rFonts w:hint="cs"/>
          <w:rtl/>
        </w:rPr>
      </w:pPr>
      <w:r>
        <w:rPr>
          <w:rStyle w:val="a5"/>
        </w:rPr>
        <w:footnoteRef/>
      </w:r>
      <w:r>
        <w:rPr>
          <w:rtl/>
        </w:rPr>
        <w:t xml:space="preserve"> </w:t>
      </w:r>
      <w:r>
        <w:rPr>
          <w:rFonts w:hint="cs"/>
          <w:rtl/>
        </w:rPr>
        <w:t xml:space="preserve">ראה פירוש רש"י, בעקבות הספרא, על הפסוק וחי בהם, ויקרא יח ה: "וחי בהם - לעולם הבא, שאם תאמר בעולם הזה, והלא סופו הוא מת". </w:t>
      </w:r>
      <w:r w:rsidR="00FD6A46">
        <w:rPr>
          <w:rFonts w:hint="cs"/>
          <w:rtl/>
        </w:rPr>
        <w:t xml:space="preserve">מדרשה זו אפשר </w:t>
      </w:r>
      <w:r>
        <w:rPr>
          <w:rFonts w:hint="cs"/>
          <w:rtl/>
        </w:rPr>
        <w:t>לכאורה</w:t>
      </w:r>
      <w:r w:rsidR="00FD6A46">
        <w:rPr>
          <w:rFonts w:hint="cs"/>
          <w:rtl/>
        </w:rPr>
        <w:t xml:space="preserve"> ללמוד ש</w:t>
      </w:r>
      <w:r>
        <w:rPr>
          <w:rFonts w:hint="cs"/>
          <w:rtl/>
        </w:rPr>
        <w:t xml:space="preserve">אדרבא, צריך למסור את הנפש על כל מצווה או איסור, לוותר על חיי העולם הזה שסופם מיתה בכל מקרה, ולזכות בחיי העולם הבא. בא המדרש שלנו ואומר: רק על דברים חמורים כגון עבודה זרה שהיא חרם (חמור </w:t>
      </w:r>
      <w:r>
        <w:rPr>
          <w:rtl/>
        </w:rPr>
        <w:t>–</w:t>
      </w:r>
      <w:r>
        <w:rPr>
          <w:rFonts w:hint="cs"/>
          <w:rtl/>
        </w:rPr>
        <w:t xml:space="preserve"> חרם)</w:t>
      </w:r>
      <w:r w:rsidR="00FD6A46">
        <w:rPr>
          <w:rFonts w:hint="cs"/>
          <w:rtl/>
        </w:rPr>
        <w:t xml:space="preserve"> צריך למסור את הנפש</w:t>
      </w:r>
      <w:r>
        <w:rPr>
          <w:rFonts w:hint="cs"/>
          <w:rtl/>
        </w:rPr>
        <w:t>.</w:t>
      </w:r>
    </w:p>
  </w:footnote>
  <w:footnote w:id="11">
    <w:p w:rsidR="00125AEA" w:rsidRDefault="00125AEA">
      <w:pPr>
        <w:pStyle w:val="a3"/>
        <w:rPr>
          <w:rFonts w:hint="cs"/>
          <w:rtl/>
        </w:rPr>
      </w:pPr>
      <w:r>
        <w:rPr>
          <w:rStyle w:val="a5"/>
        </w:rPr>
        <w:footnoteRef/>
      </w:r>
      <w:r>
        <w:rPr>
          <w:rtl/>
        </w:rPr>
        <w:t xml:space="preserve"> </w:t>
      </w:r>
      <w:r>
        <w:rPr>
          <w:rFonts w:hint="cs"/>
          <w:rtl/>
        </w:rPr>
        <w:t>נראה שכאן הדרשן מתייחס לשיטות ריפוי עקיפות ו'קלות' יותר, כגון הקמיע שהוא מזכיר להלן וקמיעות אינן אסורות עפ"י חכמים</w:t>
      </w:r>
      <w:r w:rsidR="00FD6A46">
        <w:rPr>
          <w:rFonts w:hint="cs"/>
          <w:rtl/>
        </w:rPr>
        <w:t xml:space="preserve"> והיו ועדיין מקובלות</w:t>
      </w:r>
      <w:r>
        <w:rPr>
          <w:rFonts w:hint="cs"/>
          <w:rtl/>
        </w:rPr>
        <w:t>.</w:t>
      </w:r>
    </w:p>
  </w:footnote>
  <w:footnote w:id="12">
    <w:p w:rsidR="002942F9" w:rsidRDefault="002942F9" w:rsidP="002C2087">
      <w:pPr>
        <w:pStyle w:val="a3"/>
        <w:rPr>
          <w:rFonts w:hint="cs"/>
          <w:rtl/>
        </w:rPr>
      </w:pPr>
      <w:r>
        <w:rPr>
          <w:rStyle w:val="a5"/>
        </w:rPr>
        <w:footnoteRef/>
      </w:r>
      <w:r>
        <w:rPr>
          <w:rtl/>
        </w:rPr>
        <w:t xml:space="preserve"> </w:t>
      </w:r>
      <w:r w:rsidR="00B47F73">
        <w:rPr>
          <w:rFonts w:hint="cs"/>
          <w:rtl/>
        </w:rPr>
        <w:t xml:space="preserve">ראה דברינו </w:t>
      </w:r>
      <w:hyperlink r:id="rId2" w:history="1">
        <w:r w:rsidR="00B47F73" w:rsidRPr="00DA729D">
          <w:rPr>
            <w:rStyle w:val="Hyperlink"/>
            <w:rFonts w:hint="cs"/>
            <w:rtl/>
          </w:rPr>
          <w:t>בין עבודה זרה לטבע – שיטת ר' יוסי הגלילי</w:t>
        </w:r>
      </w:hyperlink>
      <w:r w:rsidR="00B47F73">
        <w:rPr>
          <w:rFonts w:hint="cs"/>
          <w:rtl/>
        </w:rPr>
        <w:t xml:space="preserve"> בפרשת ראה</w:t>
      </w:r>
      <w:r w:rsidR="00DA729D">
        <w:rPr>
          <w:rFonts w:hint="cs"/>
          <w:rtl/>
        </w:rPr>
        <w:t>,</w:t>
      </w:r>
      <w:r w:rsidR="00B47F73">
        <w:rPr>
          <w:rFonts w:hint="cs"/>
          <w:rtl/>
        </w:rPr>
        <w:t xml:space="preserve"> בה הראינו שלשיטות חכמים מסוימות יש כח לעבודה זרה, בפרט אם היא מתחברת לכוחות הטבע. ראה גם הסיפור בגמרא עבודה זרה כז ע"ב על בן דמא אחיינו של ר' ישמעאל שלא הניח לו, ר' ישמעאל</w:t>
      </w:r>
      <w:r w:rsidR="00FD6A46">
        <w:rPr>
          <w:rFonts w:hint="cs"/>
          <w:rtl/>
        </w:rPr>
        <w:t>,</w:t>
      </w:r>
      <w:r w:rsidR="00B47F73">
        <w:rPr>
          <w:rFonts w:hint="cs"/>
          <w:rtl/>
        </w:rPr>
        <w:t xml:space="preserve"> להתרפא מעבודה זרה, למרות שר' ישמעאל </w:t>
      </w:r>
      <w:r w:rsidR="002C2087">
        <w:rPr>
          <w:rFonts w:hint="cs"/>
          <w:rtl/>
        </w:rPr>
        <w:t xml:space="preserve">עצמו </w:t>
      </w:r>
      <w:r w:rsidR="00B47F73">
        <w:rPr>
          <w:rFonts w:hint="cs"/>
          <w:rtl/>
        </w:rPr>
        <w:t>סבור שעבודה זרה איננה מהמצוות של ייהרג ואל יעבור</w:t>
      </w:r>
      <w:r w:rsidR="002C2087">
        <w:rPr>
          <w:rFonts w:hint="cs"/>
          <w:rtl/>
        </w:rPr>
        <w:t xml:space="preserve">. אלא שכאן מדובר על </w:t>
      </w:r>
      <w:r w:rsidR="00B47F73">
        <w:rPr>
          <w:rFonts w:hint="cs"/>
          <w:rtl/>
        </w:rPr>
        <w:t xml:space="preserve">ריפוי ע"י מינות שנחשבת לחמורה יותר. וגם ממקרה זה משמע שהיה כח ברפואה עצמה, אלא שהיא אסורה משום מינות. </w:t>
      </w:r>
      <w:r w:rsidR="00FD0ADC">
        <w:rPr>
          <w:rFonts w:hint="cs"/>
          <w:rtl/>
        </w:rPr>
        <w:t>נ</w:t>
      </w:r>
      <w:r w:rsidR="00DA729D">
        <w:rPr>
          <w:rFonts w:hint="cs"/>
          <w:rtl/>
        </w:rPr>
        <w:t>ראה ש</w:t>
      </w:r>
      <w:r>
        <w:rPr>
          <w:rFonts w:hint="cs"/>
          <w:rtl/>
        </w:rPr>
        <w:t xml:space="preserve">הדרשן </w:t>
      </w:r>
      <w:r w:rsidR="00FD0ADC">
        <w:rPr>
          <w:rFonts w:hint="cs"/>
          <w:rtl/>
        </w:rPr>
        <w:t xml:space="preserve">שלנו </w:t>
      </w:r>
      <w:r>
        <w:rPr>
          <w:rFonts w:hint="cs"/>
          <w:rtl/>
        </w:rPr>
        <w:t xml:space="preserve">לא מסכים עם </w:t>
      </w:r>
      <w:r w:rsidR="00DA729D">
        <w:rPr>
          <w:rFonts w:hint="cs"/>
          <w:rtl/>
        </w:rPr>
        <w:t xml:space="preserve">כל אלה וסבור קטגורית שאין בעבודה זרה שום כח ומגייס לשם כך את </w:t>
      </w:r>
      <w:r w:rsidR="002C2087">
        <w:rPr>
          <w:rFonts w:hint="cs"/>
          <w:rtl/>
        </w:rPr>
        <w:t xml:space="preserve">הנביא </w:t>
      </w:r>
      <w:r w:rsidR="00DA729D">
        <w:rPr>
          <w:rFonts w:hint="cs"/>
          <w:rtl/>
        </w:rPr>
        <w:t>ירמיהו</w:t>
      </w:r>
      <w:r w:rsidR="002C2087">
        <w:rPr>
          <w:rFonts w:hint="cs"/>
          <w:rtl/>
        </w:rPr>
        <w:t>,</w:t>
      </w:r>
      <w:r w:rsidR="00DA729D">
        <w:rPr>
          <w:rFonts w:hint="cs"/>
          <w:rtl/>
        </w:rPr>
        <w:t xml:space="preserve"> כפי שנראה בהרחבה להלן. ה</w:t>
      </w:r>
      <w:r w:rsidR="002C2087">
        <w:rPr>
          <w:rFonts w:hint="cs"/>
          <w:rtl/>
        </w:rPr>
        <w:t>דרשן</w:t>
      </w:r>
      <w:r w:rsidR="00FD0ADC">
        <w:rPr>
          <w:rFonts w:hint="cs"/>
          <w:rtl/>
        </w:rPr>
        <w:t xml:space="preserve"> </w:t>
      </w:r>
      <w:r w:rsidR="00DA729D">
        <w:rPr>
          <w:rFonts w:hint="cs"/>
          <w:rtl/>
        </w:rPr>
        <w:t>אוחז בחבל משני קצותיו</w:t>
      </w:r>
      <w:r w:rsidR="00EA26E5">
        <w:rPr>
          <w:rFonts w:hint="cs"/>
          <w:rtl/>
        </w:rPr>
        <w:t>. מחד גיסא הוא מזלזל בכוחה של עבודה זרה</w:t>
      </w:r>
      <w:r w:rsidR="00FD0ADC">
        <w:rPr>
          <w:rFonts w:hint="cs"/>
          <w:rtl/>
        </w:rPr>
        <w:t xml:space="preserve">, </w:t>
      </w:r>
      <w:r w:rsidR="00EA26E5">
        <w:rPr>
          <w:rFonts w:hint="cs"/>
          <w:rtl/>
        </w:rPr>
        <w:t>מבטל אותה כליל</w:t>
      </w:r>
      <w:r w:rsidR="00FD0ADC">
        <w:rPr>
          <w:rFonts w:hint="cs"/>
          <w:rtl/>
        </w:rPr>
        <w:t xml:space="preserve"> ומנסה לשכנע את קהל שומעיו שאין בה כלום </w:t>
      </w:r>
      <w:r w:rsidR="00FD0ADC">
        <w:rPr>
          <w:rtl/>
        </w:rPr>
        <w:t>–</w:t>
      </w:r>
      <w:r w:rsidR="00FD0ADC">
        <w:rPr>
          <w:rFonts w:hint="cs"/>
          <w:rtl/>
        </w:rPr>
        <w:t xml:space="preserve"> שום כלום!</w:t>
      </w:r>
      <w:r w:rsidR="00EA26E5">
        <w:rPr>
          <w:rFonts w:hint="cs"/>
          <w:rtl/>
        </w:rPr>
        <w:t xml:space="preserve"> מאידך גיסא, הוא נלחם בה מלחמת חורמה</w:t>
      </w:r>
      <w:r w:rsidR="00FD0ADC">
        <w:rPr>
          <w:rFonts w:hint="cs"/>
          <w:rtl/>
        </w:rPr>
        <w:t xml:space="preserve"> ומנסה לשכנע את קהל שומעיו להתרחק ממנה ככל שניתן</w:t>
      </w:r>
      <w:r w:rsidR="00EA26E5">
        <w:rPr>
          <w:rFonts w:hint="cs"/>
          <w:rtl/>
        </w:rPr>
        <w:t>.</w:t>
      </w:r>
      <w:r w:rsidR="00FD0ADC">
        <w:rPr>
          <w:rFonts w:hint="cs"/>
          <w:rtl/>
        </w:rPr>
        <w:t xml:space="preserve"> האם יצליח במשימתו</w:t>
      </w:r>
      <w:r w:rsidR="007A4CC6">
        <w:rPr>
          <w:rFonts w:hint="cs"/>
          <w:rtl/>
        </w:rPr>
        <w:t xml:space="preserve"> הכפולה</w:t>
      </w:r>
      <w:r w:rsidR="00FD0ADC">
        <w:rPr>
          <w:rFonts w:hint="cs"/>
          <w:rtl/>
        </w:rPr>
        <w:t>?</w:t>
      </w:r>
    </w:p>
  </w:footnote>
  <w:footnote w:id="13">
    <w:p w:rsidR="00BC7C47" w:rsidRDefault="00BC7C47" w:rsidP="00FD4EDD">
      <w:pPr>
        <w:pStyle w:val="a3"/>
        <w:rPr>
          <w:rFonts w:hint="cs"/>
        </w:rPr>
      </w:pPr>
      <w:r>
        <w:rPr>
          <w:rStyle w:val="a5"/>
        </w:rPr>
        <w:footnoteRef/>
      </w:r>
      <w:r>
        <w:rPr>
          <w:rtl/>
        </w:rPr>
        <w:t xml:space="preserve"> </w:t>
      </w:r>
      <w:r>
        <w:rPr>
          <w:rFonts w:hint="cs"/>
          <w:rtl/>
        </w:rPr>
        <w:t xml:space="preserve">לדין, היינו לוויכוח. נראה שהדרשן מגייס את ירמיהו לשמש מודל לוויכוחים של חכמים עם פילוסופים ועובדי עבודה זרה. ראה </w:t>
      </w:r>
      <w:r w:rsidR="00FD4EDD">
        <w:rPr>
          <w:rFonts w:hint="cs"/>
          <w:rtl/>
        </w:rPr>
        <w:t xml:space="preserve">מקצת מוויכוחים אלה בדברינו </w:t>
      </w:r>
      <w:hyperlink r:id="rId3" w:history="1">
        <w:r w:rsidR="00FD4EDD" w:rsidRPr="00FD0ADC">
          <w:rPr>
            <w:rStyle w:val="Hyperlink"/>
            <w:rFonts w:hint="cs"/>
            <w:rtl/>
          </w:rPr>
          <w:t>והלא אין בה ממש</w:t>
        </w:r>
      </w:hyperlink>
      <w:r w:rsidR="00FD4EDD">
        <w:rPr>
          <w:rFonts w:hint="cs"/>
          <w:rtl/>
        </w:rPr>
        <w:t xml:space="preserve"> בפרשת כי תשא.</w:t>
      </w:r>
      <w:r>
        <w:rPr>
          <w:rFonts w:hint="cs"/>
          <w:rtl/>
        </w:rPr>
        <w:t xml:space="preserve"> </w:t>
      </w:r>
    </w:p>
  </w:footnote>
  <w:footnote w:id="14">
    <w:p w:rsidR="00C64D95" w:rsidRDefault="00C64D95" w:rsidP="002C2087">
      <w:pPr>
        <w:pStyle w:val="a3"/>
        <w:rPr>
          <w:rFonts w:hint="cs"/>
          <w:rtl/>
        </w:rPr>
      </w:pPr>
      <w:r>
        <w:rPr>
          <w:rStyle w:val="a5"/>
        </w:rPr>
        <w:footnoteRef/>
      </w:r>
      <w:r>
        <w:rPr>
          <w:rtl/>
        </w:rPr>
        <w:t xml:space="preserve"> </w:t>
      </w:r>
      <w:r>
        <w:rPr>
          <w:rFonts w:hint="cs"/>
          <w:rtl/>
        </w:rPr>
        <w:t xml:space="preserve">דף אחד הוא פרק אחד, פרק י בירמיהו, שהדרשן מביא ממנו אוסף של פסוקים, פעם בגנות עבודה זרה ופעם בשבחו של הקב"ה, לסירוגין. הקורא מוזמן לפנות כאן אל פרק י בספר ירמיהו ולקרוא אותו ברצף, בפרט עד פסוק טז. ואנחנו ערכנו את אוסף הציטטות הניגודיות מפרק י בירמיהו, בצורה של שירה, במעין דיאלוג ניגודי בין שבחו של הקב"ה וגנותה של עבודה זרה. שים לב שהפסוקים מובאים על פי הסדר בירמיהו, כך שהמבנה הזה יכול להיות בפרק עצמו, כמו מבני שירות אחרות בתנ"ך. ובאשר לתוכן, </w:t>
      </w:r>
      <w:r w:rsidR="002C2087">
        <w:rPr>
          <w:rFonts w:hint="cs"/>
          <w:rtl/>
        </w:rPr>
        <w:t xml:space="preserve">הוא מזכיר את </w:t>
      </w:r>
      <w:r>
        <w:rPr>
          <w:rFonts w:hint="cs"/>
          <w:rtl/>
        </w:rPr>
        <w:t>הפיוט מעשה אלוהינו מול מעשה בשר ודם, שבמקור כתוב בית כנגד בית ובימינו קצרו אותו (אולי בגלל פתיחת וסגירת הארון).</w:t>
      </w:r>
      <w:r w:rsidR="002C2087">
        <w:rPr>
          <w:rFonts w:hint="cs"/>
          <w:rtl/>
        </w:rPr>
        <w:t xml:space="preserve"> ואפשר שההפך הוא הנכון, היינו שהפיוט מיוסד על דרשה זו ועל פרק י בירמיהו.</w:t>
      </w:r>
    </w:p>
  </w:footnote>
  <w:footnote w:id="15">
    <w:p w:rsidR="00FD4EDD" w:rsidRDefault="00FD4EDD" w:rsidP="002C2087">
      <w:pPr>
        <w:pStyle w:val="a3"/>
        <w:rPr>
          <w:rFonts w:hint="cs"/>
        </w:rPr>
      </w:pPr>
      <w:r>
        <w:rPr>
          <w:rStyle w:val="a5"/>
        </w:rPr>
        <w:footnoteRef/>
      </w:r>
      <w:r>
        <w:rPr>
          <w:rtl/>
        </w:rPr>
        <w:t xml:space="preserve"> </w:t>
      </w:r>
      <w:r>
        <w:rPr>
          <w:rFonts w:hint="cs"/>
          <w:rtl/>
        </w:rPr>
        <w:t xml:space="preserve">לאחר שנתן לנו הדרשן נימוק משכנע למדי מדוע אין להתרפא בשפיכות דמים, ונימוק משכנע מדוע אין להתרפא בגילוי עריות, נראה הנימוק </w:t>
      </w:r>
      <w:r w:rsidR="002C2087">
        <w:rPr>
          <w:rFonts w:hint="cs"/>
          <w:rtl/>
        </w:rPr>
        <w:t xml:space="preserve">של עבודה זרה </w:t>
      </w:r>
      <w:r>
        <w:rPr>
          <w:rFonts w:hint="cs"/>
          <w:rtl/>
        </w:rPr>
        <w:t xml:space="preserve">קצת 'רגשי'. עבודה זרה שהיא כאבן דומם ואין בה ממש, היא </w:t>
      </w:r>
      <w:r w:rsidR="002C2087">
        <w:rPr>
          <w:rFonts w:hint="cs"/>
          <w:rtl/>
        </w:rPr>
        <w:t>הסבר</w:t>
      </w:r>
      <w:r>
        <w:rPr>
          <w:rFonts w:hint="cs"/>
          <w:rtl/>
        </w:rPr>
        <w:t xml:space="preserve"> טוב מדוע הריפוי בה לא יועיל, אבל מדוע היא סיבה למסור על כך את הנפש? אדרבא, ינסה החולה להתרפא ויוכח שאין בה שום תועלת! </w:t>
      </w:r>
      <w:r w:rsidR="0086248C">
        <w:rPr>
          <w:rFonts w:hint="cs"/>
          <w:rtl/>
        </w:rPr>
        <w:t>אולי יוכל הדרשן להסתייע בחלק מהמדרשים שהבאנו ב</w:t>
      </w:r>
      <w:r>
        <w:rPr>
          <w:rFonts w:hint="cs"/>
          <w:rtl/>
        </w:rPr>
        <w:t xml:space="preserve">דברינו </w:t>
      </w:r>
      <w:hyperlink r:id="rId4" w:history="1">
        <w:r w:rsidRPr="00FD0ADC">
          <w:rPr>
            <w:rStyle w:val="Hyperlink"/>
            <w:rFonts w:hint="cs"/>
            <w:rtl/>
          </w:rPr>
          <w:t>והלא אין בה ממש</w:t>
        </w:r>
      </w:hyperlink>
      <w:r>
        <w:rPr>
          <w:rFonts w:hint="cs"/>
          <w:rtl/>
        </w:rPr>
        <w:t xml:space="preserve"> בפרשת כי תשא.</w:t>
      </w:r>
      <w:r w:rsidR="0086248C">
        <w:rPr>
          <w:rFonts w:hint="cs"/>
          <w:rtl/>
        </w:rPr>
        <w:t xml:space="preserve"> ראה שם השאלה שמעלה הפילוסוף בוויכוחו עם רבן גמליאל: אם אין בעבודה זרה ממש, מדוע הקב"ה מקנא בה? מדוע הוא נקרא "אל קנא"? והתשובה (הקצת מורכבת) שם היא ב</w:t>
      </w:r>
      <w:r w:rsidR="0086248C">
        <w:rPr>
          <w:rtl/>
        </w:rPr>
        <w:t xml:space="preserve">משל </w:t>
      </w:r>
      <w:r w:rsidR="002C2087">
        <w:rPr>
          <w:rFonts w:hint="cs"/>
          <w:rtl/>
        </w:rPr>
        <w:t xml:space="preserve">האבא </w:t>
      </w:r>
      <w:r w:rsidR="0086248C">
        <w:rPr>
          <w:rtl/>
        </w:rPr>
        <w:t>הבן והכלב</w:t>
      </w:r>
      <w:r w:rsidR="0086248C">
        <w:rPr>
          <w:rFonts w:hint="cs"/>
          <w:rtl/>
        </w:rPr>
        <w:t xml:space="preserve">, </w:t>
      </w:r>
      <w:r w:rsidR="0086248C">
        <w:rPr>
          <w:rtl/>
        </w:rPr>
        <w:t>שכאשר הבן נודר בשם הכלב (בני אדם סוגדים לע"ז</w:t>
      </w:r>
      <w:r w:rsidR="0086248C">
        <w:rPr>
          <w:rFonts w:hint="cs"/>
          <w:rtl/>
        </w:rPr>
        <w:t xml:space="preserve"> ונשבעים ומשביעים בשמה</w:t>
      </w:r>
      <w:r w:rsidR="0086248C">
        <w:rPr>
          <w:rtl/>
        </w:rPr>
        <w:t>), האבא (הקב"ה) כועס על הבן שככה התדרדר ולא על הכלב. כעסו וקנאתו של הקב"ה איננה על ע"ז</w:t>
      </w:r>
      <w:r w:rsidR="0086248C">
        <w:rPr>
          <w:rFonts w:hint="cs"/>
          <w:rtl/>
        </w:rPr>
        <w:t xml:space="preserve"> עצמה</w:t>
      </w:r>
      <w:r w:rsidR="0086248C">
        <w:rPr>
          <w:rtl/>
        </w:rPr>
        <w:t>, אלא על האדם, שצלם אלהים</w:t>
      </w:r>
      <w:r w:rsidR="0086248C">
        <w:rPr>
          <w:rFonts w:hint="cs"/>
          <w:rtl/>
        </w:rPr>
        <w:t xml:space="preserve"> שבו </w:t>
      </w:r>
      <w:r w:rsidR="0086248C">
        <w:rPr>
          <w:rtl/>
        </w:rPr>
        <w:t>נפגע והושחת.</w:t>
      </w:r>
      <w:r w:rsidR="0086248C">
        <w:rPr>
          <w:rFonts w:hint="cs"/>
          <w:rtl/>
        </w:rPr>
        <w:t xml:space="preserve"> לא האמת האבסולוטית הטרנצנדנטלית מעניינת, אלא האמת הפסיכולוגית</w:t>
      </w:r>
      <w:r w:rsidR="0086248C">
        <w:rPr>
          <w:rtl/>
        </w:rPr>
        <w:t xml:space="preserve"> </w:t>
      </w:r>
      <w:r w:rsidR="0086248C">
        <w:rPr>
          <w:rFonts w:hint="cs"/>
          <w:rtl/>
        </w:rPr>
        <w:t>האנושית. ואת הדרשן שלנו מעניין להגיע לתחנה הסופית של דרשתו</w:t>
      </w:r>
      <w:r w:rsidR="002E45BA">
        <w:rPr>
          <w:rFonts w:hint="cs"/>
          <w:rtl/>
        </w:rPr>
        <w:t>, שכל עוד בני ישראל עובדים עבודה זרה במצרים, אין הגאולה, היא הריפוי, יכולה לחול עליהם. עבודה זרה וגאולה אינם יכולים לדור בכפיפה אחת וכך גם לא עבודה זרה וריפוי. אלה פשוט שני דברים סותרים במהותם, והממשות האימננטי</w:t>
      </w:r>
      <w:r w:rsidR="002E45BA">
        <w:rPr>
          <w:rFonts w:hint="eastAsia"/>
          <w:rtl/>
        </w:rPr>
        <w:t>ת</w:t>
      </w:r>
      <w:r w:rsidR="002E45BA">
        <w:rPr>
          <w:rFonts w:hint="cs"/>
          <w:rtl/>
        </w:rPr>
        <w:t xml:space="preserve"> לא מעניינת.</w:t>
      </w:r>
    </w:p>
  </w:footnote>
  <w:footnote w:id="16">
    <w:p w:rsidR="002E45BA" w:rsidRDefault="002E45BA">
      <w:pPr>
        <w:pStyle w:val="a3"/>
        <w:rPr>
          <w:rFonts w:hint="cs"/>
          <w:rtl/>
        </w:rPr>
      </w:pPr>
      <w:r>
        <w:rPr>
          <w:rStyle w:val="a5"/>
        </w:rPr>
        <w:footnoteRef/>
      </w:r>
      <w:r>
        <w:rPr>
          <w:rtl/>
        </w:rPr>
        <w:t xml:space="preserve"> </w:t>
      </w:r>
      <w:r>
        <w:rPr>
          <w:rFonts w:hint="cs"/>
          <w:rtl/>
        </w:rPr>
        <w:t xml:space="preserve">ראה הפסוקים הקשים ביחזקאל שם שהקב"ה בא לגאול את בני ישראל ממצרים ולא יכול היה, כביכול, לעשות זאת בשל שקיעתם הקשה בעבודת אלילים. עד שחשב הקב"ה לשפוך חמתו עליהם שם ולהשמידם. ורק החשש מחילול השם היא שהביאה את הגאולה. וכבר הארכנו לדון בשקיעתם של בני ישראל במ"ט שערי טומאה במצרים, עד שכמעט ונעלם בית יעקב, בדברינו </w:t>
      </w:r>
      <w:hyperlink r:id="rId5" w:history="1">
        <w:r w:rsidRPr="002E45BA">
          <w:rPr>
            <w:rStyle w:val="Hyperlink"/>
            <w:rFonts w:hint="cs"/>
            <w:rtl/>
          </w:rPr>
          <w:t>משכו וקחו לכם</w:t>
        </w:r>
      </w:hyperlink>
      <w:r>
        <w:rPr>
          <w:rFonts w:hint="cs"/>
          <w:rtl/>
        </w:rPr>
        <w:t xml:space="preserve"> בפרשה זו בשנה האחרת. </w:t>
      </w:r>
    </w:p>
  </w:footnote>
  <w:footnote w:id="17">
    <w:p w:rsidR="00A33842" w:rsidRDefault="00A33842" w:rsidP="002C2087">
      <w:pPr>
        <w:pStyle w:val="a3"/>
        <w:rPr>
          <w:rFonts w:hint="cs"/>
          <w:rtl/>
        </w:rPr>
      </w:pPr>
      <w:r>
        <w:rPr>
          <w:rStyle w:val="a5"/>
        </w:rPr>
        <w:footnoteRef/>
      </w:r>
      <w:r>
        <w:rPr>
          <w:rtl/>
        </w:rPr>
        <w:t xml:space="preserve"> </w:t>
      </w:r>
      <w:r w:rsidR="002E45BA">
        <w:rPr>
          <w:rFonts w:hint="cs"/>
          <w:rtl/>
        </w:rPr>
        <w:t>הגענו אל התחנה הסופית, אל הפסוק "</w:t>
      </w:r>
      <w:r w:rsidR="002E45BA">
        <w:rPr>
          <w:rtl/>
        </w:rPr>
        <w:t>משכו וקחו לכם צאן</w:t>
      </w:r>
      <w:r w:rsidR="002E45BA">
        <w:rPr>
          <w:rFonts w:hint="cs"/>
          <w:rtl/>
        </w:rPr>
        <w:t>" בפרשתנו והפסוק: "</w:t>
      </w:r>
      <w:r w:rsidR="002E45BA">
        <w:rPr>
          <w:rtl/>
        </w:rPr>
        <w:t>בשובה ונחת תושעון</w:t>
      </w:r>
      <w:r w:rsidR="002E45BA">
        <w:rPr>
          <w:rFonts w:hint="cs"/>
          <w:rtl/>
        </w:rPr>
        <w:t xml:space="preserve">" בישעיהו, בהם פתחנו. </w:t>
      </w:r>
      <w:r>
        <w:rPr>
          <w:rFonts w:hint="cs"/>
          <w:rtl/>
        </w:rPr>
        <w:t>נראה שלא בכדי הולך המדרש שלנו 'נגד הזרם' ודורש את הפסוק בישעיהו לאחור, על גאולת מצרים</w:t>
      </w:r>
      <w:r w:rsidR="002E45BA">
        <w:rPr>
          <w:rFonts w:hint="cs"/>
          <w:rtl/>
        </w:rPr>
        <w:t>, בניגוד לרוב הדרשות על הפסוק "בשובה ונחת תושעון", העוסקות בגאולה לעתיד לבוא. ראה שוב הערה 1 לעיל.</w:t>
      </w:r>
      <w:r>
        <w:rPr>
          <w:rFonts w:hint="cs"/>
          <w:rtl/>
        </w:rPr>
        <w:t xml:space="preserve"> ללמדך</w:t>
      </w:r>
      <w:r w:rsidR="002E45BA">
        <w:rPr>
          <w:rFonts w:hint="cs"/>
          <w:rtl/>
        </w:rPr>
        <w:t>, אומר מדר</w:t>
      </w:r>
      <w:r>
        <w:rPr>
          <w:rFonts w:hint="cs"/>
          <w:rtl/>
        </w:rPr>
        <w:t>ש</w:t>
      </w:r>
      <w:r w:rsidR="002E45BA">
        <w:rPr>
          <w:rFonts w:hint="cs"/>
          <w:rtl/>
        </w:rPr>
        <w:t xml:space="preserve"> שמות רבה, ש</w:t>
      </w:r>
      <w:r>
        <w:rPr>
          <w:rFonts w:hint="cs"/>
          <w:rtl/>
        </w:rPr>
        <w:t xml:space="preserve">המתכון לגאולה הוא משיכת </w:t>
      </w:r>
      <w:r w:rsidR="002E45BA">
        <w:rPr>
          <w:rFonts w:hint="cs"/>
          <w:rtl/>
        </w:rPr>
        <w:t>ידיים</w:t>
      </w:r>
      <w:r>
        <w:rPr>
          <w:rFonts w:hint="cs"/>
          <w:rtl/>
        </w:rPr>
        <w:t xml:space="preserve"> מעבודה זרה ומשאר עבירות שהן בבחינת ייהרג ואל יעבור, או ברוח הדרשה: יעבור ולא ייגאל. זו ה</w:t>
      </w:r>
      <w:r w:rsidR="002E45BA">
        <w:rPr>
          <w:rFonts w:hint="cs"/>
          <w:rtl/>
        </w:rPr>
        <w:t>'</w:t>
      </w:r>
      <w:r>
        <w:rPr>
          <w:rFonts w:hint="cs"/>
          <w:rtl/>
        </w:rPr>
        <w:t>שובה ונחת</w:t>
      </w:r>
      <w:r w:rsidR="002E45BA">
        <w:rPr>
          <w:rFonts w:hint="cs"/>
          <w:rtl/>
        </w:rPr>
        <w:t>'</w:t>
      </w:r>
      <w:r>
        <w:rPr>
          <w:rFonts w:hint="cs"/>
          <w:rtl/>
        </w:rPr>
        <w:t xml:space="preserve"> של גאולת מצרים </w:t>
      </w:r>
      <w:r w:rsidR="002E45BA">
        <w:rPr>
          <w:rFonts w:hint="cs"/>
          <w:rtl/>
        </w:rPr>
        <w:t xml:space="preserve">המשמשת </w:t>
      </w:r>
      <w:r>
        <w:rPr>
          <w:rFonts w:hint="cs"/>
          <w:rtl/>
        </w:rPr>
        <w:t>טו</w:t>
      </w:r>
      <w:r>
        <w:rPr>
          <w:rFonts w:hint="eastAsia"/>
          <w:rtl/>
        </w:rPr>
        <w:t>ֹ</w:t>
      </w:r>
      <w:r>
        <w:rPr>
          <w:rFonts w:hint="cs"/>
          <w:rtl/>
        </w:rPr>
        <w:t>פ</w:t>
      </w:r>
      <w:r>
        <w:rPr>
          <w:rFonts w:hint="eastAsia"/>
          <w:rtl/>
        </w:rPr>
        <w:t>ּ</w:t>
      </w:r>
      <w:r>
        <w:rPr>
          <w:rFonts w:hint="cs"/>
          <w:rtl/>
        </w:rPr>
        <w:t>ו</w:t>
      </w:r>
      <w:r>
        <w:rPr>
          <w:rFonts w:hint="eastAsia"/>
          <w:rtl/>
        </w:rPr>
        <w:t>ֹ</w:t>
      </w:r>
      <w:r>
        <w:rPr>
          <w:rFonts w:hint="cs"/>
          <w:rtl/>
        </w:rPr>
        <w:t>ס לגאולה לעתיד לבוא.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42" w:rsidRDefault="00A33842" w:rsidP="00810326">
    <w:pPr>
      <w:pStyle w:val="1"/>
      <w:tabs>
        <w:tab w:val="clear" w:pos="9469"/>
        <w:tab w:val="right" w:pos="9299"/>
      </w:tabs>
      <w:rPr>
        <w:rFonts w:hint="cs"/>
        <w:rtl/>
      </w:rPr>
    </w:pPr>
    <w:r>
      <w:rPr>
        <w:rtl/>
      </w:rPr>
      <w:t xml:space="preserve">פרשת </w:t>
    </w:r>
    <w:fldSimple w:instr=" SUBJECT  \* MERGEFORMAT ">
      <w:r w:rsidR="00870CAF">
        <w:rPr>
          <w:rtl/>
        </w:rPr>
        <w:t>בא</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42" w:rsidRDefault="00A3384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70CAF">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1688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B7"/>
    <w:rsid w:val="000315E2"/>
    <w:rsid w:val="00063CB7"/>
    <w:rsid w:val="000A0F38"/>
    <w:rsid w:val="00125AEA"/>
    <w:rsid w:val="00126CEA"/>
    <w:rsid w:val="002813DD"/>
    <w:rsid w:val="002942F9"/>
    <w:rsid w:val="002A07BE"/>
    <w:rsid w:val="002A1D62"/>
    <w:rsid w:val="002C2087"/>
    <w:rsid w:val="002E45BA"/>
    <w:rsid w:val="004246CC"/>
    <w:rsid w:val="004C1681"/>
    <w:rsid w:val="004F0174"/>
    <w:rsid w:val="00522117"/>
    <w:rsid w:val="005A3FC0"/>
    <w:rsid w:val="005C5FC5"/>
    <w:rsid w:val="005D3D8D"/>
    <w:rsid w:val="0061688A"/>
    <w:rsid w:val="00647544"/>
    <w:rsid w:val="006F394D"/>
    <w:rsid w:val="0070196C"/>
    <w:rsid w:val="00707853"/>
    <w:rsid w:val="00722A1E"/>
    <w:rsid w:val="007836FE"/>
    <w:rsid w:val="007A3007"/>
    <w:rsid w:val="007A4CC6"/>
    <w:rsid w:val="007B2332"/>
    <w:rsid w:val="007B39B1"/>
    <w:rsid w:val="00810326"/>
    <w:rsid w:val="0086248C"/>
    <w:rsid w:val="00870CAF"/>
    <w:rsid w:val="008B37F0"/>
    <w:rsid w:val="008D74FB"/>
    <w:rsid w:val="00943DC6"/>
    <w:rsid w:val="009463DB"/>
    <w:rsid w:val="00960683"/>
    <w:rsid w:val="00977C3F"/>
    <w:rsid w:val="009E4F80"/>
    <w:rsid w:val="00A24611"/>
    <w:rsid w:val="00A33842"/>
    <w:rsid w:val="00A34F55"/>
    <w:rsid w:val="00AB5DD3"/>
    <w:rsid w:val="00B100AA"/>
    <w:rsid w:val="00B47F73"/>
    <w:rsid w:val="00B5336E"/>
    <w:rsid w:val="00BC7C47"/>
    <w:rsid w:val="00C36605"/>
    <w:rsid w:val="00C64D95"/>
    <w:rsid w:val="00CC5AB4"/>
    <w:rsid w:val="00D201A4"/>
    <w:rsid w:val="00D31C52"/>
    <w:rsid w:val="00D47359"/>
    <w:rsid w:val="00D70137"/>
    <w:rsid w:val="00DA729D"/>
    <w:rsid w:val="00DB3B9C"/>
    <w:rsid w:val="00DB7D90"/>
    <w:rsid w:val="00DE6B6B"/>
    <w:rsid w:val="00E03910"/>
    <w:rsid w:val="00E1390E"/>
    <w:rsid w:val="00E25852"/>
    <w:rsid w:val="00EA26E5"/>
    <w:rsid w:val="00EC3084"/>
    <w:rsid w:val="00F65035"/>
    <w:rsid w:val="00F803D1"/>
    <w:rsid w:val="00F83348"/>
    <w:rsid w:val="00FD0ADC"/>
    <w:rsid w:val="00FD30D3"/>
    <w:rsid w:val="00FD4EDD"/>
    <w:rsid w:val="00FD6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9D1F93-FD47-4005-B1CD-E0FCB3B6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1688A"/>
    <w:pPr>
      <w:bidi/>
    </w:pPr>
    <w:rPr>
      <w:rFonts w:cs="Narkisim"/>
      <w:sz w:val="22"/>
      <w:szCs w:val="22"/>
      <w:lang w:eastAsia="he-IL"/>
    </w:rPr>
  </w:style>
  <w:style w:type="paragraph" w:styleId="1">
    <w:name w:val="heading 1"/>
    <w:basedOn w:val="a"/>
    <w:next w:val="a"/>
    <w:link w:val="10"/>
    <w:qFormat/>
    <w:rsid w:val="0061688A"/>
    <w:pPr>
      <w:keepNext/>
      <w:tabs>
        <w:tab w:val="right" w:pos="9469"/>
      </w:tabs>
      <w:jc w:val="both"/>
      <w:outlineLvl w:val="0"/>
    </w:pPr>
    <w:rPr>
      <w:rFonts w:cs="David"/>
      <w:b/>
      <w:bCs/>
      <w:szCs w:val="28"/>
    </w:rPr>
  </w:style>
  <w:style w:type="character" w:default="1" w:styleId="a0">
    <w:name w:val="Default Paragraph Font"/>
    <w:uiPriority w:val="1"/>
    <w:semiHidden/>
    <w:unhideWhenUsed/>
    <w:rsid w:val="0061688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1688A"/>
  </w:style>
  <w:style w:type="paragraph" w:styleId="a3">
    <w:name w:val="footnote text"/>
    <w:basedOn w:val="a"/>
    <w:link w:val="a4"/>
    <w:rsid w:val="0061688A"/>
    <w:pPr>
      <w:ind w:left="170" w:hanging="170"/>
      <w:jc w:val="both"/>
    </w:pPr>
    <w:rPr>
      <w:sz w:val="20"/>
      <w:szCs w:val="20"/>
    </w:rPr>
  </w:style>
  <w:style w:type="character" w:styleId="a5">
    <w:name w:val="footnote reference"/>
    <w:semiHidden/>
    <w:rsid w:val="0061688A"/>
    <w:rPr>
      <w:vertAlign w:val="superscript"/>
    </w:rPr>
  </w:style>
  <w:style w:type="paragraph" w:styleId="a6">
    <w:name w:val="header"/>
    <w:basedOn w:val="a"/>
    <w:link w:val="a7"/>
    <w:rsid w:val="0061688A"/>
    <w:pPr>
      <w:tabs>
        <w:tab w:val="center" w:pos="4153"/>
        <w:tab w:val="right" w:pos="8306"/>
      </w:tabs>
    </w:pPr>
  </w:style>
  <w:style w:type="paragraph" w:styleId="a8">
    <w:name w:val="footer"/>
    <w:basedOn w:val="a"/>
    <w:link w:val="a9"/>
    <w:rsid w:val="0061688A"/>
    <w:pPr>
      <w:tabs>
        <w:tab w:val="center" w:pos="4153"/>
        <w:tab w:val="right" w:pos="8306"/>
      </w:tabs>
    </w:pPr>
  </w:style>
  <w:style w:type="paragraph" w:customStyle="1" w:styleId="aa">
    <w:name w:val="כותרת"/>
    <w:basedOn w:val="a"/>
    <w:rsid w:val="0061688A"/>
    <w:pPr>
      <w:spacing w:before="240" w:line="320" w:lineRule="atLeast"/>
      <w:jc w:val="center"/>
    </w:pPr>
    <w:rPr>
      <w:rFonts w:cs="David"/>
      <w:b/>
      <w:bCs/>
      <w:spacing w:val="20"/>
      <w:szCs w:val="32"/>
    </w:rPr>
  </w:style>
  <w:style w:type="paragraph" w:customStyle="1" w:styleId="ab">
    <w:name w:val="כותרת קטע"/>
    <w:basedOn w:val="a"/>
    <w:rsid w:val="0061688A"/>
    <w:pPr>
      <w:spacing w:before="240" w:line="300" w:lineRule="atLeast"/>
    </w:pPr>
    <w:rPr>
      <w:rFonts w:cs="Arial"/>
      <w:b/>
      <w:bCs/>
      <w:szCs w:val="24"/>
    </w:rPr>
  </w:style>
  <w:style w:type="paragraph" w:customStyle="1" w:styleId="ac">
    <w:name w:val="מקור"/>
    <w:basedOn w:val="a"/>
    <w:rsid w:val="0061688A"/>
    <w:pPr>
      <w:spacing w:line="320" w:lineRule="atLeast"/>
      <w:jc w:val="both"/>
    </w:pPr>
    <w:rPr>
      <w:rFonts w:cs="David"/>
      <w:szCs w:val="24"/>
    </w:rPr>
  </w:style>
  <w:style w:type="paragraph" w:customStyle="1" w:styleId="ad">
    <w:name w:val="מחלקי המים"/>
    <w:basedOn w:val="a"/>
    <w:rsid w:val="0061688A"/>
    <w:pPr>
      <w:spacing w:line="320" w:lineRule="atLeast"/>
      <w:jc w:val="both"/>
    </w:pPr>
    <w:rPr>
      <w:b/>
      <w:bCs/>
      <w:szCs w:val="24"/>
    </w:rPr>
  </w:style>
  <w:style w:type="character" w:customStyle="1" w:styleId="a4">
    <w:name w:val="טקסט הערת שוליים תו"/>
    <w:link w:val="a3"/>
    <w:rsid w:val="0061688A"/>
    <w:rPr>
      <w:rFonts w:cs="Narkisim"/>
      <w:lang w:eastAsia="he-IL"/>
    </w:rPr>
  </w:style>
  <w:style w:type="character" w:customStyle="1" w:styleId="10">
    <w:name w:val="כותרת 1 תו"/>
    <w:link w:val="1"/>
    <w:rsid w:val="0061688A"/>
    <w:rPr>
      <w:rFonts w:cs="David"/>
      <w:b/>
      <w:bCs/>
      <w:sz w:val="22"/>
      <w:szCs w:val="28"/>
      <w:lang w:eastAsia="he-IL"/>
    </w:rPr>
  </w:style>
  <w:style w:type="character" w:customStyle="1" w:styleId="a7">
    <w:name w:val="כותרת עליונה תו"/>
    <w:link w:val="a6"/>
    <w:rsid w:val="0061688A"/>
    <w:rPr>
      <w:rFonts w:cs="Narkisim"/>
      <w:sz w:val="22"/>
      <w:szCs w:val="22"/>
      <w:lang w:eastAsia="he-IL"/>
    </w:rPr>
  </w:style>
  <w:style w:type="character" w:customStyle="1" w:styleId="a9">
    <w:name w:val="כותרת תחתונה תו"/>
    <w:link w:val="a8"/>
    <w:rsid w:val="0061688A"/>
    <w:rPr>
      <w:rFonts w:cs="Narkisim"/>
      <w:sz w:val="22"/>
      <w:szCs w:val="22"/>
      <w:lang w:eastAsia="he-IL"/>
    </w:rPr>
  </w:style>
  <w:style w:type="character" w:styleId="Hyperlink">
    <w:name w:val="Hyperlink"/>
    <w:rsid w:val="0061688A"/>
    <w:rPr>
      <w:color w:val="0000FF"/>
      <w:u w:val="single"/>
    </w:rPr>
  </w:style>
  <w:style w:type="character" w:styleId="ae">
    <w:name w:val="page number"/>
    <w:rsid w:val="005C5FC5"/>
  </w:style>
  <w:style w:type="paragraph" w:styleId="af">
    <w:name w:val="Balloon Text"/>
    <w:basedOn w:val="a"/>
    <w:link w:val="af0"/>
    <w:uiPriority w:val="99"/>
    <w:semiHidden/>
    <w:unhideWhenUsed/>
    <w:rsid w:val="0061688A"/>
    <w:rPr>
      <w:rFonts w:ascii="Tahoma" w:hAnsi="Tahoma" w:cs="Tahoma"/>
      <w:sz w:val="16"/>
      <w:szCs w:val="16"/>
    </w:rPr>
  </w:style>
  <w:style w:type="character" w:customStyle="1" w:styleId="af0">
    <w:name w:val="טקסט בלונים תו"/>
    <w:link w:val="af"/>
    <w:uiPriority w:val="99"/>
    <w:semiHidden/>
    <w:rsid w:val="0061688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4%D7%9C%D7%95%D7%90-%D7%90%D7%99%D7%9F-%D7%91%D7%95-%D7%91%D7%94-%D7%9E%D7%9E%D7%A91"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www.mayim.org.il/?parasha=%D7%9E%D7%A9%D7%9B%D7%95-%D7%95%D7%A7%D7%97%D7%95-%D7%9C%D7%9B%D7%9D1" TargetMode="External"/><Relationship Id="rId5" Type="http://schemas.openxmlformats.org/officeDocument/2006/relationships/hyperlink" Target="http://www.mayim.org.il/?parasha=%D7%9E%D7%A9%D7%9B%D7%95-%D7%95%D7%A7%D7%97%D7%95-%D7%9C%D7%9B%D7%9D1" TargetMode="External"/><Relationship Id="rId4" Type="http://schemas.openxmlformats.org/officeDocument/2006/relationships/hyperlink" Target="http://www.mayim.org.il/?parasha=%D7%95%D7%94%D7%9C%D7%95%D7%90-%D7%90%D7%99%D7%9F-%D7%91%D7%95-%D7%91%D7%94-%D7%9E%D7%9E%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8341-F3B4-47AE-9DE0-A9CA2256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1016</Words>
  <Characters>5082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6086</CharactersWithSpaces>
  <SharedDoc>false</SharedDoc>
  <HLinks>
    <vt:vector size="30" baseType="variant">
      <vt:variant>
        <vt:i4>6488182</vt:i4>
      </vt:variant>
      <vt:variant>
        <vt:i4>12</vt:i4>
      </vt:variant>
      <vt:variant>
        <vt:i4>0</vt:i4>
      </vt:variant>
      <vt:variant>
        <vt:i4>5</vt:i4>
      </vt:variant>
      <vt:variant>
        <vt:lpwstr>http://www.mayim.org.il/?parasha=%D7%9E%D7%A9%D7%9B%D7%95-%D7%95%D7%A7%D7%97%D7%95-%D7%9C%D7%9B%D7%9D1</vt:lpwstr>
      </vt:variant>
      <vt:variant>
        <vt:lpwstr/>
      </vt:variant>
      <vt:variant>
        <vt:i4>5111901</vt:i4>
      </vt:variant>
      <vt:variant>
        <vt:i4>9</vt:i4>
      </vt:variant>
      <vt:variant>
        <vt:i4>0</vt:i4>
      </vt:variant>
      <vt:variant>
        <vt:i4>5</vt:i4>
      </vt:variant>
      <vt:variant>
        <vt:lpwstr>http://www.mayim.org.il/?parasha=%D7%95%D7%94%D7%9C%D7%95%D7%90-%D7%90%D7%99%D7%9F-%D7%91%D7%95-%D7%91%D7%94-%D7%9E%D7%9E%D7%A91</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cp:lastModifiedBy>שמעון אפק</cp:lastModifiedBy>
  <cp:revision>2</cp:revision>
  <cp:lastPrinted>2015-01-22T23:18:00Z</cp:lastPrinted>
  <dcterms:created xsi:type="dcterms:W3CDTF">2016-12-11T06:36:00Z</dcterms:created>
  <dcterms:modified xsi:type="dcterms:W3CDTF">2016-12-11T06:36:00Z</dcterms:modified>
</cp:coreProperties>
</file>