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4DD3" w:rsidRPr="00DC4CB3" w:rsidRDefault="005D2829" w:rsidP="005D2829">
      <w:pPr>
        <w:pStyle w:val="aa"/>
        <w:rPr>
          <w:rFonts w:hint="cs"/>
          <w:rtl/>
        </w:rPr>
      </w:pPr>
      <w:bookmarkStart w:id="0" w:name="_GoBack"/>
      <w:bookmarkEnd w:id="0"/>
      <w:r>
        <w:rPr>
          <w:rFonts w:hint="cs"/>
          <w:rtl/>
        </w:rPr>
        <w:t>כי שם ה' אקרא</w:t>
      </w:r>
    </w:p>
    <w:p w:rsidR="005D2829" w:rsidRDefault="005D2829" w:rsidP="00C0170B">
      <w:pPr>
        <w:autoSpaceDE w:val="0"/>
        <w:autoSpaceDN w:val="0"/>
        <w:adjustRightInd w:val="0"/>
        <w:spacing w:before="240"/>
        <w:rPr>
          <w:rFonts w:hint="cs"/>
          <w:sz w:val="24"/>
          <w:szCs w:val="24"/>
          <w:rtl/>
          <w:lang w:eastAsia="en-US"/>
        </w:rPr>
      </w:pPr>
      <w:r>
        <w:rPr>
          <w:rFonts w:cs="David" w:hint="cs"/>
          <w:b/>
          <w:bCs/>
          <w:szCs w:val="24"/>
          <w:rtl/>
          <w:lang w:eastAsia="en-US"/>
        </w:rPr>
        <w:t>כִּי שֵׁם ה' אֶקְרָא הָבוּ גֹדֶל לֵאלֹהֵינוּ</w:t>
      </w:r>
      <w:r w:rsidR="00C0170B">
        <w:rPr>
          <w:rFonts w:cs="David" w:hint="cs"/>
          <w:b/>
          <w:bCs/>
          <w:szCs w:val="24"/>
          <w:rtl/>
          <w:lang w:eastAsia="en-US"/>
        </w:rPr>
        <w:t>:</w:t>
      </w:r>
      <w:r>
        <w:rPr>
          <w:rFonts w:cs="David" w:hint="cs"/>
          <w:b/>
          <w:bCs/>
          <w:szCs w:val="24"/>
          <w:rtl/>
          <w:lang w:eastAsia="en-US"/>
        </w:rPr>
        <w:t xml:space="preserve"> </w:t>
      </w:r>
      <w:r w:rsidRPr="008D495F">
        <w:rPr>
          <w:rtl/>
          <w:lang w:eastAsia="en-US"/>
        </w:rPr>
        <w:t>(</w:t>
      </w:r>
      <w:r w:rsidRPr="008D495F">
        <w:rPr>
          <w:rFonts w:hint="cs"/>
          <w:rtl/>
          <w:lang w:eastAsia="en-US"/>
        </w:rPr>
        <w:t>דברים לב ג</w:t>
      </w:r>
      <w:r w:rsidRPr="008D495F">
        <w:rPr>
          <w:rtl/>
          <w:lang w:eastAsia="en-US"/>
        </w:rPr>
        <w:t>)</w:t>
      </w:r>
      <w:r w:rsidR="008D495F" w:rsidRPr="008D495F">
        <w:rPr>
          <w:rFonts w:hint="cs"/>
          <w:rtl/>
          <w:lang w:eastAsia="en-US"/>
        </w:rPr>
        <w:t>.</w:t>
      </w:r>
      <w:r w:rsidR="008D495F">
        <w:rPr>
          <w:rStyle w:val="a5"/>
          <w:sz w:val="24"/>
          <w:szCs w:val="24"/>
          <w:rtl/>
          <w:lang w:eastAsia="en-US"/>
        </w:rPr>
        <w:footnoteReference w:id="1"/>
      </w:r>
    </w:p>
    <w:p w:rsidR="005D2829" w:rsidRDefault="005D2829" w:rsidP="005D2829">
      <w:pPr>
        <w:pStyle w:val="ab"/>
        <w:rPr>
          <w:rtl/>
        </w:rPr>
      </w:pPr>
      <w:r>
        <w:rPr>
          <w:rFonts w:hint="cs"/>
          <w:rtl/>
        </w:rPr>
        <w:t>מס</w:t>
      </w:r>
      <w:r>
        <w:rPr>
          <w:rtl/>
        </w:rPr>
        <w:t xml:space="preserve">כת ברכות דף כא עמוד א </w:t>
      </w:r>
    </w:p>
    <w:p w:rsidR="005D2829" w:rsidRDefault="005D2829" w:rsidP="004E5172">
      <w:pPr>
        <w:pStyle w:val="ac"/>
        <w:rPr>
          <w:rFonts w:hint="cs"/>
          <w:rtl/>
        </w:rPr>
      </w:pPr>
      <w:r>
        <w:rPr>
          <w:rtl/>
        </w:rPr>
        <w:t xml:space="preserve">אמר רב יהודה: מנין לברכת המזון לאחריה מן התורה - שנאמר: </w:t>
      </w:r>
      <w:r w:rsidR="00F84E99">
        <w:rPr>
          <w:rFonts w:hint="cs"/>
          <w:rtl/>
        </w:rPr>
        <w:t>"</w:t>
      </w:r>
      <w:r>
        <w:rPr>
          <w:rtl/>
        </w:rPr>
        <w:t>ואכלת ושבעת וברכת</w:t>
      </w:r>
      <w:r w:rsidR="00F84E99">
        <w:rPr>
          <w:rFonts w:hint="cs"/>
          <w:rtl/>
        </w:rPr>
        <w:t>" (</w:t>
      </w:r>
      <w:r w:rsidR="00F84E99">
        <w:rPr>
          <w:rtl/>
        </w:rPr>
        <w:t>דברים ח</w:t>
      </w:r>
      <w:r w:rsidR="00F84E99">
        <w:rPr>
          <w:rFonts w:hint="cs"/>
          <w:rtl/>
        </w:rPr>
        <w:t xml:space="preserve"> י)</w:t>
      </w:r>
      <w:r>
        <w:rPr>
          <w:rtl/>
        </w:rPr>
        <w:t>.</w:t>
      </w:r>
      <w:r w:rsidR="00F84E99">
        <w:rPr>
          <w:rStyle w:val="a5"/>
          <w:rtl/>
        </w:rPr>
        <w:footnoteReference w:id="2"/>
      </w:r>
      <w:r>
        <w:rPr>
          <w:rtl/>
        </w:rPr>
        <w:t xml:space="preserve"> מנין לברכת התורה לפניה מן התורה - שנאמר: </w:t>
      </w:r>
      <w:r w:rsidR="00DC34FC">
        <w:rPr>
          <w:rFonts w:hint="cs"/>
          <w:rtl/>
        </w:rPr>
        <w:t>"</w:t>
      </w:r>
      <w:r>
        <w:rPr>
          <w:rtl/>
        </w:rPr>
        <w:t>כי שם ה' אקרא הבו ג</w:t>
      </w:r>
      <w:r w:rsidR="00DC34FC">
        <w:rPr>
          <w:rFonts w:hint="cs"/>
          <w:rtl/>
        </w:rPr>
        <w:t>ו</w:t>
      </w:r>
      <w:r>
        <w:rPr>
          <w:rtl/>
        </w:rPr>
        <w:t>דל לאלהינו</w:t>
      </w:r>
      <w:r w:rsidR="00DC34FC">
        <w:rPr>
          <w:rFonts w:hint="cs"/>
          <w:rtl/>
        </w:rPr>
        <w:t>" (</w:t>
      </w:r>
      <w:r w:rsidR="00DC34FC">
        <w:rPr>
          <w:rtl/>
        </w:rPr>
        <w:t>דברים לב</w:t>
      </w:r>
      <w:r w:rsidR="00DC34FC">
        <w:rPr>
          <w:rFonts w:hint="cs"/>
          <w:rtl/>
        </w:rPr>
        <w:t xml:space="preserve"> ג).</w:t>
      </w:r>
      <w:r>
        <w:rPr>
          <w:rtl/>
        </w:rPr>
        <w:t xml:space="preserve"> אמר רבי יוחנן: למדנו ברכת התורה לאחריה מן ברכת המזון מקל וחומר, וברכת המזון לפניה מן ברכת התורה מקל וחומר; ברכת התורה לאחריה מן ברכת המזון מקל וחומר: ומה מזון שאין טעון לפניו - טעון לאחריו, תורה שטעונה לפניה - אינו דין שטעונה לאחריה</w:t>
      </w:r>
      <w:r w:rsidR="004E5172">
        <w:rPr>
          <w:rFonts w:hint="cs"/>
          <w:rtl/>
        </w:rPr>
        <w:t>!</w:t>
      </w:r>
      <w:r>
        <w:rPr>
          <w:rtl/>
        </w:rPr>
        <w:t xml:space="preserve"> וברכת המזון לפניה מן ברכת התורה מקל וחומר: ומה תורה שאין טעונה לאחריה - טעונה לפניה, מזון שהוא טעון לאחריו - אינו דין שיהא טעון לפניו.</w:t>
      </w:r>
      <w:r w:rsidR="00121028">
        <w:rPr>
          <w:rStyle w:val="a5"/>
          <w:rtl/>
        </w:rPr>
        <w:footnoteReference w:id="3"/>
      </w:r>
    </w:p>
    <w:p w:rsidR="00F84E99" w:rsidRDefault="00F84E99" w:rsidP="0033766B">
      <w:pPr>
        <w:pStyle w:val="ab"/>
        <w:rPr>
          <w:rtl/>
        </w:rPr>
      </w:pPr>
      <w:r>
        <w:rPr>
          <w:rtl/>
        </w:rPr>
        <w:t xml:space="preserve">מכילתא דרבי ישמעאל בא - מסכתא דפסחא פרשה טז </w:t>
      </w:r>
    </w:p>
    <w:p w:rsidR="00F84E99" w:rsidRDefault="00F84E99" w:rsidP="00F67BA1">
      <w:pPr>
        <w:pStyle w:val="ac"/>
        <w:rPr>
          <w:rFonts w:hint="cs"/>
          <w:rtl/>
        </w:rPr>
      </w:pPr>
      <w:r>
        <w:rPr>
          <w:rtl/>
        </w:rPr>
        <w:t>אין לי אלא אכילת מזון שטעון ברכה לפניו ולאחריו</w:t>
      </w:r>
      <w:r>
        <w:rPr>
          <w:rFonts w:hint="cs"/>
          <w:rtl/>
        </w:rPr>
        <w:t>,</w:t>
      </w:r>
      <w:r>
        <w:rPr>
          <w:rtl/>
        </w:rPr>
        <w:t xml:space="preserve"> תורה מנין</w:t>
      </w:r>
      <w:r>
        <w:rPr>
          <w:rFonts w:hint="cs"/>
          <w:rtl/>
        </w:rPr>
        <w:t>?</w:t>
      </w:r>
      <w:r>
        <w:rPr>
          <w:rtl/>
        </w:rPr>
        <w:t xml:space="preserve"> ר' ישמעאל אומר קל וחומר</w:t>
      </w:r>
      <w:r w:rsidR="00121028">
        <w:rPr>
          <w:rFonts w:hint="cs"/>
          <w:rtl/>
        </w:rPr>
        <w:t>:</w:t>
      </w:r>
      <w:r>
        <w:rPr>
          <w:rtl/>
        </w:rPr>
        <w:t xml:space="preserve"> ומה אם מזון שהוא חיי שעה טעון ברכה לפניו ולאחריו</w:t>
      </w:r>
      <w:r w:rsidR="00121028">
        <w:rPr>
          <w:rFonts w:hint="cs"/>
          <w:rtl/>
        </w:rPr>
        <w:t>,</w:t>
      </w:r>
      <w:r>
        <w:rPr>
          <w:rtl/>
        </w:rPr>
        <w:t xml:space="preserve"> תורה שיש בה עולם הבא</w:t>
      </w:r>
      <w:r w:rsidR="00121028">
        <w:rPr>
          <w:rFonts w:hint="cs"/>
          <w:rtl/>
        </w:rPr>
        <w:t>,</w:t>
      </w:r>
      <w:r>
        <w:rPr>
          <w:rtl/>
        </w:rPr>
        <w:t xml:space="preserve"> דין הוא שתטעון ברכה לפניה ולאחריה</w:t>
      </w:r>
      <w:r w:rsidR="00121028">
        <w:rPr>
          <w:rFonts w:hint="cs"/>
          <w:rtl/>
        </w:rPr>
        <w:t>!</w:t>
      </w:r>
      <w:r w:rsidR="00C2164C">
        <w:rPr>
          <w:rStyle w:val="a5"/>
          <w:rtl/>
        </w:rPr>
        <w:footnoteReference w:id="4"/>
      </w:r>
      <w:r>
        <w:rPr>
          <w:rtl/>
        </w:rPr>
        <w:t xml:space="preserve"> ר' יהודה בן בתירה אומר</w:t>
      </w:r>
      <w:r>
        <w:rPr>
          <w:rFonts w:hint="cs"/>
          <w:rtl/>
        </w:rPr>
        <w:t>:</w:t>
      </w:r>
      <w:r>
        <w:rPr>
          <w:rtl/>
        </w:rPr>
        <w:t xml:space="preserve"> הרי הוא אומר </w:t>
      </w:r>
      <w:r w:rsidR="00121028">
        <w:rPr>
          <w:rFonts w:hint="cs"/>
          <w:rtl/>
        </w:rPr>
        <w:t>"</w:t>
      </w:r>
      <w:r>
        <w:rPr>
          <w:rtl/>
        </w:rPr>
        <w:t>ואכלת ושבעת</w:t>
      </w:r>
      <w:r w:rsidR="00121028">
        <w:rPr>
          <w:rFonts w:hint="cs"/>
          <w:rtl/>
        </w:rPr>
        <w:t>"</w:t>
      </w:r>
      <w:r>
        <w:rPr>
          <w:rtl/>
        </w:rPr>
        <w:t xml:space="preserve"> מה זה מחוסר</w:t>
      </w:r>
      <w:r w:rsidR="00F67BA1">
        <w:rPr>
          <w:rFonts w:hint="cs"/>
          <w:rtl/>
        </w:rPr>
        <w:t>?</w:t>
      </w:r>
      <w:r>
        <w:rPr>
          <w:rtl/>
        </w:rPr>
        <w:t xml:space="preserve"> טובה</w:t>
      </w:r>
      <w:r w:rsidR="00F67BA1">
        <w:rPr>
          <w:rFonts w:hint="cs"/>
          <w:rtl/>
        </w:rPr>
        <w:t xml:space="preserve"> - </w:t>
      </w:r>
      <w:r>
        <w:rPr>
          <w:rtl/>
        </w:rPr>
        <w:t>זו תורה</w:t>
      </w:r>
      <w:r w:rsidR="00121028">
        <w:rPr>
          <w:rFonts w:hint="cs"/>
          <w:rtl/>
        </w:rPr>
        <w:t>,</w:t>
      </w:r>
      <w:r>
        <w:rPr>
          <w:rtl/>
        </w:rPr>
        <w:t xml:space="preserve"> דכתיב</w:t>
      </w:r>
      <w:r w:rsidR="00121028">
        <w:rPr>
          <w:rFonts w:hint="cs"/>
          <w:rtl/>
        </w:rPr>
        <w:t>:</w:t>
      </w:r>
      <w:r>
        <w:rPr>
          <w:rtl/>
        </w:rPr>
        <w:t xml:space="preserve"> </w:t>
      </w:r>
      <w:r w:rsidR="00121028">
        <w:rPr>
          <w:rFonts w:hint="cs"/>
          <w:rtl/>
        </w:rPr>
        <w:t>"</w:t>
      </w:r>
      <w:r>
        <w:rPr>
          <w:rtl/>
        </w:rPr>
        <w:t>כי לקח טוב</w:t>
      </w:r>
      <w:r w:rsidR="00121028">
        <w:rPr>
          <w:rFonts w:hint="cs"/>
          <w:rtl/>
        </w:rPr>
        <w:t xml:space="preserve"> נתתי לכם</w:t>
      </w:r>
      <w:r>
        <w:rPr>
          <w:rtl/>
        </w:rPr>
        <w:t xml:space="preserve"> וגו' (משלי ד ב).</w:t>
      </w:r>
      <w:r w:rsidR="00F67BA1">
        <w:rPr>
          <w:rStyle w:val="a5"/>
          <w:rtl/>
        </w:rPr>
        <w:footnoteReference w:id="5"/>
      </w:r>
      <w:r>
        <w:rPr>
          <w:rtl/>
        </w:rPr>
        <w:t xml:space="preserve"> ר' חנינא בן אחי ר' יהושע אומר</w:t>
      </w:r>
      <w:r w:rsidR="00121028">
        <w:rPr>
          <w:rFonts w:hint="cs"/>
          <w:rtl/>
        </w:rPr>
        <w:t>:</w:t>
      </w:r>
      <w:r>
        <w:rPr>
          <w:rtl/>
        </w:rPr>
        <w:t xml:space="preserve"> הרי הוא אומר </w:t>
      </w:r>
      <w:r w:rsidR="00121028">
        <w:rPr>
          <w:rFonts w:hint="cs"/>
          <w:rtl/>
        </w:rPr>
        <w:t>"</w:t>
      </w:r>
      <w:r>
        <w:rPr>
          <w:rtl/>
        </w:rPr>
        <w:t>כי שם ה' אקרא הבו גודל לאלהינו</w:t>
      </w:r>
      <w:r w:rsidR="00121028">
        <w:rPr>
          <w:rFonts w:hint="cs"/>
          <w:rtl/>
        </w:rPr>
        <w:t>"</w:t>
      </w:r>
      <w:r>
        <w:rPr>
          <w:rtl/>
        </w:rPr>
        <w:t xml:space="preserve">, כי שם השם אקרא </w:t>
      </w:r>
      <w:r w:rsidR="00825BC1">
        <w:rPr>
          <w:rFonts w:hint="cs"/>
          <w:rtl/>
        </w:rPr>
        <w:t xml:space="preserve">- </w:t>
      </w:r>
      <w:r>
        <w:rPr>
          <w:rtl/>
        </w:rPr>
        <w:t>זה המברך</w:t>
      </w:r>
      <w:r w:rsidR="00825BC1">
        <w:rPr>
          <w:rFonts w:hint="cs"/>
          <w:rtl/>
        </w:rPr>
        <w:t xml:space="preserve">. </w:t>
      </w:r>
      <w:r>
        <w:rPr>
          <w:rtl/>
        </w:rPr>
        <w:t xml:space="preserve">הבו גודל לאלהינו </w:t>
      </w:r>
      <w:r w:rsidR="00825BC1">
        <w:rPr>
          <w:rFonts w:hint="cs"/>
          <w:rtl/>
        </w:rPr>
        <w:t xml:space="preserve">- </w:t>
      </w:r>
      <w:r>
        <w:rPr>
          <w:rtl/>
        </w:rPr>
        <w:t>אלו העונים אחריו</w:t>
      </w:r>
      <w:r w:rsidR="00825BC1">
        <w:rPr>
          <w:rFonts w:hint="cs"/>
          <w:rtl/>
        </w:rPr>
        <w:t>.</w:t>
      </w:r>
      <w:r>
        <w:rPr>
          <w:rtl/>
        </w:rPr>
        <w:t xml:space="preserve"> ומה הן עונים אחריו</w:t>
      </w:r>
      <w:r w:rsidR="00825BC1">
        <w:rPr>
          <w:rFonts w:hint="cs"/>
          <w:rtl/>
        </w:rPr>
        <w:t>?</w:t>
      </w:r>
      <w:r>
        <w:rPr>
          <w:rtl/>
        </w:rPr>
        <w:t xml:space="preserve"> ברוך יי המבורך לעולם</w:t>
      </w:r>
      <w:r w:rsidR="00825BC1">
        <w:rPr>
          <w:rFonts w:hint="cs"/>
          <w:rtl/>
        </w:rPr>
        <w:t>.</w:t>
      </w:r>
      <w:r>
        <w:rPr>
          <w:rtl/>
        </w:rPr>
        <w:t xml:space="preserve"> וכשהוא קורא בשמו יהו עונין אחריו</w:t>
      </w:r>
      <w:r w:rsidR="00121028">
        <w:rPr>
          <w:rFonts w:hint="cs"/>
          <w:rtl/>
        </w:rPr>
        <w:t>: "</w:t>
      </w:r>
      <w:r>
        <w:rPr>
          <w:rtl/>
        </w:rPr>
        <w:t>ברוך שם כבוד מלכותו לעולם ועד</w:t>
      </w:r>
      <w:r w:rsidR="00121028">
        <w:rPr>
          <w:rFonts w:hint="cs"/>
          <w:rtl/>
        </w:rPr>
        <w:t>"</w:t>
      </w:r>
      <w:r>
        <w:rPr>
          <w:rtl/>
        </w:rPr>
        <w:t>.</w:t>
      </w:r>
    </w:p>
    <w:p w:rsidR="00824805" w:rsidRDefault="00824805" w:rsidP="00824805">
      <w:pPr>
        <w:pStyle w:val="ab"/>
        <w:rPr>
          <w:rtl/>
        </w:rPr>
      </w:pPr>
      <w:r>
        <w:rPr>
          <w:rtl/>
        </w:rPr>
        <w:t xml:space="preserve">מסכת ברכות דף לה עמוד א </w:t>
      </w:r>
    </w:p>
    <w:p w:rsidR="00824805" w:rsidRDefault="0059342E" w:rsidP="0059342E">
      <w:pPr>
        <w:pStyle w:val="ac"/>
        <w:rPr>
          <w:rFonts w:hint="cs"/>
          <w:rtl/>
        </w:rPr>
      </w:pPr>
      <w:r>
        <w:rPr>
          <w:rtl/>
        </w:rPr>
        <w:t xml:space="preserve">ברכה מנא ליה? ואי נמי יליף גזרה שוה - אשכחן לאחריו, לפניו מנין! </w:t>
      </w:r>
      <w:r w:rsidR="00824805">
        <w:rPr>
          <w:rtl/>
        </w:rPr>
        <w:t>סברא הוא: אסור לו לאדם שיהנה מן העולם הזה בלא ברכה.</w:t>
      </w:r>
      <w:r w:rsidR="006D5FD6">
        <w:rPr>
          <w:rStyle w:val="a5"/>
          <w:rtl/>
        </w:rPr>
        <w:footnoteReference w:id="6"/>
      </w:r>
    </w:p>
    <w:p w:rsidR="00EC16AC" w:rsidRDefault="00EC16AC" w:rsidP="00F84E99">
      <w:pPr>
        <w:pStyle w:val="ab"/>
        <w:rPr>
          <w:rtl/>
        </w:rPr>
      </w:pPr>
      <w:r>
        <w:rPr>
          <w:rtl/>
        </w:rPr>
        <w:lastRenderedPageBreak/>
        <w:t xml:space="preserve">מסכת ברכות דף מה עמוד א </w:t>
      </w:r>
    </w:p>
    <w:p w:rsidR="00EC16AC" w:rsidRDefault="00EC16AC" w:rsidP="00F84E99">
      <w:pPr>
        <w:pStyle w:val="ac"/>
        <w:rPr>
          <w:rtl/>
        </w:rPr>
      </w:pPr>
      <w:r>
        <w:rPr>
          <w:rtl/>
        </w:rPr>
        <w:t>משנה</w:t>
      </w:r>
      <w:r w:rsidR="00F84E99">
        <w:rPr>
          <w:rFonts w:hint="cs"/>
          <w:rtl/>
        </w:rPr>
        <w:t xml:space="preserve">. </w:t>
      </w:r>
      <w:r>
        <w:rPr>
          <w:rtl/>
        </w:rPr>
        <w:t>שלשה שאכלו כאחת חייבין לזמן</w:t>
      </w:r>
      <w:r w:rsidR="00395763">
        <w:rPr>
          <w:rFonts w:hint="cs"/>
          <w:rtl/>
        </w:rPr>
        <w:t xml:space="preserve"> ...</w:t>
      </w:r>
    </w:p>
    <w:p w:rsidR="00E03B90" w:rsidRDefault="00EC16AC" w:rsidP="004E5172">
      <w:pPr>
        <w:pStyle w:val="ac"/>
        <w:rPr>
          <w:rFonts w:hint="cs"/>
          <w:rtl/>
        </w:rPr>
      </w:pPr>
      <w:r>
        <w:rPr>
          <w:rtl/>
        </w:rPr>
        <w:t>גמרא. מנא הני מילי? אמר רב אסי: דאמר קרא</w:t>
      </w:r>
      <w:r w:rsidR="004E5172">
        <w:rPr>
          <w:rFonts w:hint="cs"/>
          <w:rtl/>
        </w:rPr>
        <w:t>: "</w:t>
      </w:r>
      <w:r>
        <w:rPr>
          <w:rtl/>
        </w:rPr>
        <w:t>גדלו לה' אתי ונרוממה שמו יחדו</w:t>
      </w:r>
      <w:r w:rsidR="004E5172">
        <w:rPr>
          <w:rFonts w:hint="cs"/>
          <w:rtl/>
        </w:rPr>
        <w:t>" (ת</w:t>
      </w:r>
      <w:r w:rsidR="004E5172">
        <w:rPr>
          <w:rtl/>
        </w:rPr>
        <w:t>הלים לד</w:t>
      </w:r>
      <w:r w:rsidR="004E5172">
        <w:rPr>
          <w:rFonts w:hint="cs"/>
          <w:rtl/>
        </w:rPr>
        <w:t xml:space="preserve"> ד)</w:t>
      </w:r>
      <w:r>
        <w:rPr>
          <w:rtl/>
        </w:rPr>
        <w:t xml:space="preserve">. רבי אבהו אמר מהכא: </w:t>
      </w:r>
      <w:r w:rsidR="004E5172">
        <w:rPr>
          <w:rFonts w:hint="cs"/>
          <w:rtl/>
        </w:rPr>
        <w:t>"</w:t>
      </w:r>
      <w:r>
        <w:rPr>
          <w:rtl/>
        </w:rPr>
        <w:t>כי שם ה' אקרא הבו גודל לאלהינו</w:t>
      </w:r>
      <w:r w:rsidR="004E5172">
        <w:rPr>
          <w:rFonts w:hint="cs"/>
          <w:rtl/>
        </w:rPr>
        <w:t>" (</w:t>
      </w:r>
      <w:r w:rsidR="004E5172">
        <w:rPr>
          <w:rtl/>
        </w:rPr>
        <w:t>דברים לב</w:t>
      </w:r>
      <w:r w:rsidR="004E5172">
        <w:rPr>
          <w:rFonts w:hint="cs"/>
          <w:rtl/>
        </w:rPr>
        <w:t xml:space="preserve"> ג)</w:t>
      </w:r>
      <w:r>
        <w:rPr>
          <w:rtl/>
        </w:rPr>
        <w:t>.</w:t>
      </w:r>
      <w:r w:rsidR="004E5172">
        <w:rPr>
          <w:rStyle w:val="a5"/>
          <w:rtl/>
        </w:rPr>
        <w:footnoteReference w:id="7"/>
      </w:r>
    </w:p>
    <w:p w:rsidR="00395763" w:rsidRDefault="00395763" w:rsidP="00B61664">
      <w:pPr>
        <w:pStyle w:val="ab"/>
        <w:rPr>
          <w:rtl/>
        </w:rPr>
      </w:pPr>
      <w:r>
        <w:rPr>
          <w:rtl/>
        </w:rPr>
        <w:t>מסכת יומא דף לו ע</w:t>
      </w:r>
      <w:r w:rsidR="00B61664">
        <w:rPr>
          <w:rFonts w:hint="cs"/>
          <w:rtl/>
        </w:rPr>
        <w:t>"</w:t>
      </w:r>
      <w:r>
        <w:rPr>
          <w:rtl/>
        </w:rPr>
        <w:t>ב</w:t>
      </w:r>
      <w:r w:rsidR="00B61664">
        <w:rPr>
          <w:rFonts w:hint="cs"/>
          <w:rtl/>
        </w:rPr>
        <w:t>, לז ע"א</w:t>
      </w:r>
      <w:r>
        <w:rPr>
          <w:rStyle w:val="a5"/>
          <w:rtl/>
        </w:rPr>
        <w:footnoteReference w:id="8"/>
      </w:r>
      <w:r>
        <w:rPr>
          <w:rtl/>
        </w:rPr>
        <w:t xml:space="preserve"> </w:t>
      </w:r>
    </w:p>
    <w:p w:rsidR="00FD7784" w:rsidRDefault="00395763" w:rsidP="002B130D">
      <w:pPr>
        <w:pStyle w:val="ac"/>
        <w:rPr>
          <w:rFonts w:hint="cs"/>
          <w:rtl/>
        </w:rPr>
      </w:pPr>
      <w:r>
        <w:rPr>
          <w:rtl/>
        </w:rPr>
        <w:t xml:space="preserve">תנו רבנן: </w:t>
      </w:r>
      <w:r w:rsidR="00121028">
        <w:rPr>
          <w:rFonts w:hint="cs"/>
          <w:rtl/>
        </w:rPr>
        <w:t>"</w:t>
      </w:r>
      <w:r>
        <w:rPr>
          <w:rtl/>
        </w:rPr>
        <w:t>וכפר</w:t>
      </w:r>
      <w:r w:rsidR="00121028">
        <w:rPr>
          <w:rFonts w:hint="cs"/>
          <w:rtl/>
        </w:rPr>
        <w:t>"</w:t>
      </w:r>
      <w:r>
        <w:rPr>
          <w:rtl/>
        </w:rPr>
        <w:t xml:space="preserve"> - בכפרת דברים הכתוב מדבר</w:t>
      </w:r>
      <w:r w:rsidR="00B61664">
        <w:rPr>
          <w:rStyle w:val="a5"/>
          <w:rtl/>
        </w:rPr>
        <w:footnoteReference w:id="9"/>
      </w:r>
      <w:r>
        <w:rPr>
          <w:rFonts w:hint="cs"/>
          <w:rtl/>
        </w:rPr>
        <w:t xml:space="preserve"> ... </w:t>
      </w:r>
      <w:r>
        <w:rPr>
          <w:rtl/>
        </w:rPr>
        <w:t>ומנין שב</w:t>
      </w:r>
      <w:r>
        <w:rPr>
          <w:rFonts w:hint="cs"/>
          <w:rtl/>
        </w:rPr>
        <w:t>"</w:t>
      </w:r>
      <w:r>
        <w:rPr>
          <w:rtl/>
        </w:rPr>
        <w:t>אנא</w:t>
      </w:r>
      <w:r>
        <w:rPr>
          <w:rFonts w:hint="cs"/>
          <w:rtl/>
        </w:rPr>
        <w:t>"</w:t>
      </w:r>
      <w:r>
        <w:rPr>
          <w:rtl/>
        </w:rPr>
        <w:t xml:space="preserve">? נאמר כאן </w:t>
      </w:r>
      <w:r w:rsidR="002B130D">
        <w:rPr>
          <w:rFonts w:hint="cs"/>
          <w:rtl/>
        </w:rPr>
        <w:t>"</w:t>
      </w:r>
      <w:r>
        <w:rPr>
          <w:rtl/>
        </w:rPr>
        <w:t>כפרה</w:t>
      </w:r>
      <w:r w:rsidR="00887CBD">
        <w:rPr>
          <w:rFonts w:hint="cs"/>
          <w:rtl/>
        </w:rPr>
        <w:t>"</w:t>
      </w:r>
      <w:r>
        <w:rPr>
          <w:rtl/>
        </w:rPr>
        <w:t xml:space="preserve"> ונאמר להלן בחורב </w:t>
      </w:r>
      <w:r w:rsidR="00887CBD">
        <w:rPr>
          <w:rFonts w:hint="cs"/>
          <w:rtl/>
        </w:rPr>
        <w:t>"</w:t>
      </w:r>
      <w:r>
        <w:rPr>
          <w:rtl/>
        </w:rPr>
        <w:t>כפרה</w:t>
      </w:r>
      <w:r w:rsidR="00887CBD">
        <w:rPr>
          <w:rFonts w:hint="cs"/>
          <w:rtl/>
        </w:rPr>
        <w:t>"</w:t>
      </w:r>
      <w:r w:rsidR="008B4678">
        <w:rPr>
          <w:rFonts w:hint="cs"/>
          <w:rtl/>
        </w:rPr>
        <w:t>.</w:t>
      </w:r>
      <w:r w:rsidR="00887CBD">
        <w:rPr>
          <w:rStyle w:val="a5"/>
          <w:rtl/>
        </w:rPr>
        <w:footnoteReference w:id="10"/>
      </w:r>
      <w:r>
        <w:rPr>
          <w:rtl/>
        </w:rPr>
        <w:t xml:space="preserve"> מה להלן ב</w:t>
      </w:r>
      <w:r w:rsidR="0059196F">
        <w:rPr>
          <w:rFonts w:hint="cs"/>
          <w:rtl/>
        </w:rPr>
        <w:t>"</w:t>
      </w:r>
      <w:r>
        <w:rPr>
          <w:rtl/>
        </w:rPr>
        <w:t>אנא</w:t>
      </w:r>
      <w:r w:rsidR="0059196F">
        <w:rPr>
          <w:rFonts w:hint="cs"/>
          <w:rtl/>
        </w:rPr>
        <w:t>"</w:t>
      </w:r>
      <w:r w:rsidR="008B4678">
        <w:rPr>
          <w:rFonts w:hint="cs"/>
          <w:rtl/>
        </w:rPr>
        <w:t>,</w:t>
      </w:r>
      <w:r w:rsidR="0059196F">
        <w:rPr>
          <w:rStyle w:val="a5"/>
          <w:rtl/>
        </w:rPr>
        <w:footnoteReference w:id="11"/>
      </w:r>
      <w:r>
        <w:rPr>
          <w:rtl/>
        </w:rPr>
        <w:t xml:space="preserve"> אף כאן ב</w:t>
      </w:r>
      <w:r w:rsidR="0059196F">
        <w:rPr>
          <w:rFonts w:hint="cs"/>
          <w:rtl/>
        </w:rPr>
        <w:t>"</w:t>
      </w:r>
      <w:r>
        <w:rPr>
          <w:rtl/>
        </w:rPr>
        <w:t>אנא</w:t>
      </w:r>
      <w:r w:rsidR="0059196F">
        <w:rPr>
          <w:rFonts w:hint="cs"/>
          <w:rtl/>
        </w:rPr>
        <w:t>"</w:t>
      </w:r>
      <w:r>
        <w:rPr>
          <w:rtl/>
        </w:rPr>
        <w:t>.</w:t>
      </w:r>
      <w:r w:rsidR="0059196F">
        <w:rPr>
          <w:rStyle w:val="a5"/>
          <w:rtl/>
        </w:rPr>
        <w:footnoteReference w:id="12"/>
      </w:r>
      <w:r>
        <w:rPr>
          <w:rtl/>
        </w:rPr>
        <w:t xml:space="preserve"> ומנין שבשם?</w:t>
      </w:r>
      <w:r w:rsidR="0059196F">
        <w:rPr>
          <w:rStyle w:val="a5"/>
          <w:rtl/>
        </w:rPr>
        <w:footnoteReference w:id="13"/>
      </w:r>
      <w:r>
        <w:rPr>
          <w:rtl/>
        </w:rPr>
        <w:t xml:space="preserve"> נאמר כאן כ</w:t>
      </w:r>
      <w:r w:rsidR="003403B6">
        <w:rPr>
          <w:rtl/>
        </w:rPr>
        <w:t>ַּ</w:t>
      </w:r>
      <w:r>
        <w:rPr>
          <w:rtl/>
        </w:rPr>
        <w:t>פ</w:t>
      </w:r>
      <w:r w:rsidR="003403B6">
        <w:rPr>
          <w:rtl/>
        </w:rPr>
        <w:t>ָּ</w:t>
      </w:r>
      <w:r>
        <w:rPr>
          <w:rtl/>
        </w:rPr>
        <w:t>ר</w:t>
      </w:r>
      <w:r w:rsidR="003403B6">
        <w:rPr>
          <w:rtl/>
        </w:rPr>
        <w:t>ָ</w:t>
      </w:r>
      <w:r>
        <w:rPr>
          <w:rtl/>
        </w:rPr>
        <w:t>ה ונאמרה בעגלה ערופה כ</w:t>
      </w:r>
      <w:r w:rsidR="003403B6">
        <w:rPr>
          <w:rtl/>
        </w:rPr>
        <w:t>ַּ</w:t>
      </w:r>
      <w:r>
        <w:rPr>
          <w:rtl/>
        </w:rPr>
        <w:t>פ</w:t>
      </w:r>
      <w:r w:rsidR="003403B6">
        <w:rPr>
          <w:rtl/>
        </w:rPr>
        <w:t>ָּ</w:t>
      </w:r>
      <w:r>
        <w:rPr>
          <w:rtl/>
        </w:rPr>
        <w:t>ר</w:t>
      </w:r>
      <w:r w:rsidR="003403B6">
        <w:rPr>
          <w:rtl/>
        </w:rPr>
        <w:t>ָ</w:t>
      </w:r>
      <w:r>
        <w:rPr>
          <w:rtl/>
        </w:rPr>
        <w:t>ה, מה להלן בשם אף כאן בשם</w:t>
      </w:r>
      <w:r>
        <w:rPr>
          <w:rFonts w:hint="cs"/>
          <w:rtl/>
        </w:rPr>
        <w:t xml:space="preserve"> </w:t>
      </w:r>
      <w:r w:rsidR="003403B6">
        <w:rPr>
          <w:rStyle w:val="a5"/>
          <w:rtl/>
        </w:rPr>
        <w:footnoteReference w:id="14"/>
      </w:r>
      <w:r>
        <w:rPr>
          <w:rFonts w:hint="cs"/>
          <w:rtl/>
        </w:rPr>
        <w:t>...</w:t>
      </w:r>
      <w:r>
        <w:rPr>
          <w:rtl/>
        </w:rPr>
        <w:t xml:space="preserve"> </w:t>
      </w:r>
    </w:p>
    <w:p w:rsidR="002B130D" w:rsidRDefault="00395763" w:rsidP="002B130D">
      <w:pPr>
        <w:pStyle w:val="ac"/>
        <w:rPr>
          <w:rFonts w:hint="cs"/>
          <w:rtl/>
        </w:rPr>
      </w:pPr>
      <w:r>
        <w:rPr>
          <w:rtl/>
        </w:rPr>
        <w:t>והן עונין אחריו.</w:t>
      </w:r>
      <w:r w:rsidR="002B130D">
        <w:rPr>
          <w:rStyle w:val="a5"/>
          <w:rtl/>
        </w:rPr>
        <w:footnoteReference w:id="15"/>
      </w:r>
      <w:r>
        <w:rPr>
          <w:rtl/>
        </w:rPr>
        <w:t xml:space="preserve"> תניא, רבי אומר: </w:t>
      </w:r>
      <w:r w:rsidR="002B130D">
        <w:rPr>
          <w:rFonts w:hint="cs"/>
          <w:rtl/>
        </w:rPr>
        <w:t>"</w:t>
      </w:r>
      <w:r>
        <w:rPr>
          <w:rtl/>
        </w:rPr>
        <w:t>כי שם ה' אקרא הבו ג</w:t>
      </w:r>
      <w:r w:rsidR="002B130D">
        <w:rPr>
          <w:rFonts w:hint="cs"/>
          <w:rtl/>
        </w:rPr>
        <w:t>ו</w:t>
      </w:r>
      <w:r>
        <w:rPr>
          <w:rtl/>
        </w:rPr>
        <w:t>דל לאלהינו</w:t>
      </w:r>
      <w:r w:rsidR="002B130D">
        <w:rPr>
          <w:rFonts w:hint="cs"/>
          <w:rtl/>
        </w:rPr>
        <w:t>" (</w:t>
      </w:r>
      <w:r w:rsidR="002B130D">
        <w:rPr>
          <w:rtl/>
        </w:rPr>
        <w:t>דברים לב</w:t>
      </w:r>
      <w:r w:rsidR="002B130D">
        <w:rPr>
          <w:rFonts w:hint="cs"/>
          <w:rtl/>
        </w:rPr>
        <w:t xml:space="preserve"> ג)</w:t>
      </w:r>
      <w:r>
        <w:rPr>
          <w:rtl/>
        </w:rPr>
        <w:t>. אמר להם משה לישראל: בשעה שאני מזכיר שמו של הקדוש ברוך הוא</w:t>
      </w:r>
      <w:r w:rsidR="002B130D">
        <w:rPr>
          <w:rFonts w:hint="cs"/>
          <w:rtl/>
        </w:rPr>
        <w:t>,</w:t>
      </w:r>
      <w:r>
        <w:rPr>
          <w:rtl/>
        </w:rPr>
        <w:t xml:space="preserve"> אתם הבו ג</w:t>
      </w:r>
      <w:r>
        <w:rPr>
          <w:rFonts w:hint="cs"/>
          <w:rtl/>
        </w:rPr>
        <w:t>ו</w:t>
      </w:r>
      <w:r>
        <w:rPr>
          <w:rtl/>
        </w:rPr>
        <w:t>דל.</w:t>
      </w:r>
      <w:r w:rsidR="00FD7784">
        <w:rPr>
          <w:rStyle w:val="a5"/>
          <w:rtl/>
        </w:rPr>
        <w:footnoteReference w:id="16"/>
      </w:r>
      <w:r>
        <w:rPr>
          <w:rtl/>
        </w:rPr>
        <w:t xml:space="preserve"> </w:t>
      </w:r>
    </w:p>
    <w:p w:rsidR="00395763" w:rsidRDefault="00395763" w:rsidP="002B130D">
      <w:pPr>
        <w:pStyle w:val="ac"/>
        <w:rPr>
          <w:rFonts w:hint="cs"/>
          <w:rtl/>
        </w:rPr>
      </w:pPr>
      <w:r>
        <w:rPr>
          <w:rtl/>
        </w:rPr>
        <w:t xml:space="preserve">חנניה בן אחי רבי יהושע אומר: </w:t>
      </w:r>
      <w:r w:rsidR="002B130D">
        <w:rPr>
          <w:rFonts w:hint="cs"/>
          <w:rtl/>
        </w:rPr>
        <w:t>"</w:t>
      </w:r>
      <w:r>
        <w:rPr>
          <w:rtl/>
        </w:rPr>
        <w:t>זכר צדיק לברכה</w:t>
      </w:r>
      <w:r w:rsidR="002B130D">
        <w:rPr>
          <w:rFonts w:hint="cs"/>
          <w:rtl/>
        </w:rPr>
        <w:t>" (</w:t>
      </w:r>
      <w:r w:rsidR="002B130D">
        <w:rPr>
          <w:rtl/>
        </w:rPr>
        <w:t>משלי י</w:t>
      </w:r>
      <w:r w:rsidR="002B130D">
        <w:rPr>
          <w:rFonts w:hint="cs"/>
          <w:rtl/>
        </w:rPr>
        <w:t xml:space="preserve"> ז)</w:t>
      </w:r>
      <w:r>
        <w:rPr>
          <w:rtl/>
        </w:rPr>
        <w:t>, אמר להם נביא לישראל: בשעה שאני מזכיר צדיק עולמים - אתם תנו ברכה.</w:t>
      </w:r>
      <w:r w:rsidR="00A92B69">
        <w:rPr>
          <w:rStyle w:val="a5"/>
          <w:rtl/>
        </w:rPr>
        <w:footnoteReference w:id="17"/>
      </w:r>
    </w:p>
    <w:p w:rsidR="002A3FD4" w:rsidRDefault="002A3FD4" w:rsidP="00F905C9">
      <w:pPr>
        <w:pStyle w:val="ab"/>
        <w:rPr>
          <w:rtl/>
        </w:rPr>
      </w:pPr>
      <w:r>
        <w:rPr>
          <w:rtl/>
        </w:rPr>
        <w:t xml:space="preserve">ספרי דברים פרשת האזינו פיסקא שו </w:t>
      </w:r>
    </w:p>
    <w:p w:rsidR="002A3FD4" w:rsidRDefault="00F905C9" w:rsidP="00F905C9">
      <w:pPr>
        <w:pStyle w:val="ac"/>
        <w:rPr>
          <w:rFonts w:hint="cs"/>
          <w:rtl/>
        </w:rPr>
      </w:pPr>
      <w:r>
        <w:rPr>
          <w:rFonts w:hint="cs"/>
          <w:rtl/>
        </w:rPr>
        <w:t>"</w:t>
      </w:r>
      <w:r w:rsidR="002A3FD4">
        <w:rPr>
          <w:rtl/>
        </w:rPr>
        <w:t>כי שם ה' אקרא</w:t>
      </w:r>
      <w:r>
        <w:rPr>
          <w:rFonts w:hint="cs"/>
          <w:rtl/>
        </w:rPr>
        <w:t>"</w:t>
      </w:r>
      <w:r w:rsidR="002A3FD4">
        <w:rPr>
          <w:rtl/>
        </w:rPr>
        <w:t>, מצינו שלא הזכיר משה שמו של הקדוש ברוך הוא אלא לאחר עשרים ואחד דבר</w:t>
      </w:r>
      <w:r w:rsidR="00B3311A">
        <w:rPr>
          <w:rFonts w:hint="cs"/>
          <w:rtl/>
        </w:rPr>
        <w:t>.</w:t>
      </w:r>
      <w:r w:rsidR="00B3311A">
        <w:rPr>
          <w:rStyle w:val="a5"/>
          <w:rtl/>
        </w:rPr>
        <w:footnoteReference w:id="18"/>
      </w:r>
      <w:r w:rsidR="002A3FD4">
        <w:rPr>
          <w:rtl/>
        </w:rPr>
        <w:t xml:space="preserve"> ממי למד</w:t>
      </w:r>
      <w:r>
        <w:rPr>
          <w:rFonts w:hint="cs"/>
          <w:rtl/>
        </w:rPr>
        <w:t>?</w:t>
      </w:r>
      <w:r w:rsidR="002A3FD4">
        <w:rPr>
          <w:rtl/>
        </w:rPr>
        <w:t xml:space="preserve"> ממלאכי השרת</w:t>
      </w:r>
      <w:r>
        <w:rPr>
          <w:rFonts w:hint="cs"/>
          <w:rtl/>
        </w:rPr>
        <w:t>,</w:t>
      </w:r>
      <w:r w:rsidR="002A3FD4">
        <w:rPr>
          <w:rtl/>
        </w:rPr>
        <w:t xml:space="preserve"> שאין מלאכי השרת מזכירים את השם</w:t>
      </w:r>
      <w:r>
        <w:rPr>
          <w:rFonts w:hint="cs"/>
          <w:rtl/>
        </w:rPr>
        <w:t>,</w:t>
      </w:r>
      <w:r w:rsidR="002A3FD4">
        <w:rPr>
          <w:rtl/>
        </w:rPr>
        <w:t xml:space="preserve"> אלא לאחר שלש קדושות</w:t>
      </w:r>
      <w:r>
        <w:rPr>
          <w:rFonts w:hint="cs"/>
          <w:rtl/>
        </w:rPr>
        <w:t>,</w:t>
      </w:r>
      <w:r w:rsidR="002A3FD4">
        <w:rPr>
          <w:rtl/>
        </w:rPr>
        <w:t xml:space="preserve"> שנאמר</w:t>
      </w:r>
      <w:r>
        <w:rPr>
          <w:rFonts w:hint="cs"/>
          <w:rtl/>
        </w:rPr>
        <w:t>:</w:t>
      </w:r>
      <w:r w:rsidR="002A3FD4">
        <w:rPr>
          <w:rtl/>
        </w:rPr>
        <w:t xml:space="preserve"> </w:t>
      </w:r>
      <w:r>
        <w:rPr>
          <w:rFonts w:hint="cs"/>
          <w:rtl/>
        </w:rPr>
        <w:t>"</w:t>
      </w:r>
      <w:r w:rsidR="002A3FD4">
        <w:rPr>
          <w:rtl/>
        </w:rPr>
        <w:t>וקרא זה אל זה ואמר קדוש קדוש קדוש ה' צבאות</w:t>
      </w:r>
      <w:r>
        <w:rPr>
          <w:rFonts w:hint="cs"/>
          <w:rtl/>
        </w:rPr>
        <w:t>" (</w:t>
      </w:r>
      <w:r>
        <w:rPr>
          <w:rtl/>
        </w:rPr>
        <w:t>ישעיה ו ג</w:t>
      </w:r>
      <w:r>
        <w:rPr>
          <w:rFonts w:hint="cs"/>
          <w:rtl/>
        </w:rPr>
        <w:t xml:space="preserve">) - </w:t>
      </w:r>
      <w:r w:rsidR="002A3FD4">
        <w:rPr>
          <w:rtl/>
        </w:rPr>
        <w:t>אמר משה</w:t>
      </w:r>
      <w:r>
        <w:rPr>
          <w:rFonts w:hint="cs"/>
          <w:rtl/>
        </w:rPr>
        <w:t>:</w:t>
      </w:r>
      <w:r w:rsidR="002A3FD4">
        <w:rPr>
          <w:rtl/>
        </w:rPr>
        <w:t xml:space="preserve"> דיי שאהיה בפחות משבעה כמלאכי השרת</w:t>
      </w:r>
      <w:r>
        <w:rPr>
          <w:rFonts w:hint="cs"/>
          <w:rtl/>
        </w:rPr>
        <w:t>.</w:t>
      </w:r>
      <w:r>
        <w:rPr>
          <w:rStyle w:val="a5"/>
          <w:rtl/>
        </w:rPr>
        <w:footnoteReference w:id="19"/>
      </w:r>
      <w:r w:rsidR="002A3FD4">
        <w:rPr>
          <w:rtl/>
        </w:rPr>
        <w:t xml:space="preserve"> והרי דברים קל וחומר ומה משה שהוא חכם חכמים וגדול שבגדולים ואבי הנביאים לא הזכיר שמו של מקום אלא לאחר עשרים ואחד דבר המזכיר שמו של מקום בחנם על אחת כמה וכמה.</w:t>
      </w:r>
    </w:p>
    <w:p w:rsidR="00947A2F" w:rsidRDefault="00F905C9" w:rsidP="0059342E">
      <w:pPr>
        <w:pStyle w:val="ac"/>
        <w:rPr>
          <w:rFonts w:hint="cs"/>
          <w:rtl/>
        </w:rPr>
      </w:pPr>
      <w:r>
        <w:rPr>
          <w:rFonts w:hint="cs"/>
          <w:rtl/>
        </w:rPr>
        <w:t>"</w:t>
      </w:r>
      <w:r>
        <w:rPr>
          <w:rtl/>
        </w:rPr>
        <w:t>כי שם ה' אקרא</w:t>
      </w:r>
      <w:r>
        <w:rPr>
          <w:rFonts w:hint="cs"/>
          <w:rtl/>
        </w:rPr>
        <w:t>"</w:t>
      </w:r>
      <w:r>
        <w:rPr>
          <w:rtl/>
        </w:rPr>
        <w:t>, רבי יוסי אומר</w:t>
      </w:r>
      <w:r>
        <w:rPr>
          <w:rFonts w:hint="cs"/>
          <w:rtl/>
        </w:rPr>
        <w:t>:</w:t>
      </w:r>
      <w:r>
        <w:rPr>
          <w:rtl/>
        </w:rPr>
        <w:t xml:space="preserve"> מנין לעומדים בבית הכנסת ואומרים ברכו את ה' המבורך</w:t>
      </w:r>
      <w:r w:rsidR="0059342E">
        <w:rPr>
          <w:rFonts w:hint="cs"/>
          <w:rtl/>
        </w:rPr>
        <w:t>\</w:t>
      </w:r>
      <w:r>
        <w:rPr>
          <w:rtl/>
        </w:rPr>
        <w:t xml:space="preserve"> שעונים אחרים ברוך ה' המבורך לעולם ועד</w:t>
      </w:r>
      <w:r w:rsidR="0059342E">
        <w:rPr>
          <w:rFonts w:hint="cs"/>
          <w:rtl/>
        </w:rPr>
        <w:t>,</w:t>
      </w:r>
      <w:r>
        <w:rPr>
          <w:rtl/>
        </w:rPr>
        <w:t xml:space="preserve"> שנאמר</w:t>
      </w:r>
      <w:r w:rsidR="0059342E">
        <w:rPr>
          <w:rFonts w:hint="cs"/>
          <w:rtl/>
        </w:rPr>
        <w:t>:</w:t>
      </w:r>
      <w:r>
        <w:rPr>
          <w:rtl/>
        </w:rPr>
        <w:t xml:space="preserve"> </w:t>
      </w:r>
      <w:r w:rsidR="0059342E">
        <w:rPr>
          <w:rFonts w:hint="cs"/>
          <w:rtl/>
        </w:rPr>
        <w:t>"</w:t>
      </w:r>
      <w:r>
        <w:rPr>
          <w:rtl/>
        </w:rPr>
        <w:t xml:space="preserve">כי שם ה' אקרא הבו </w:t>
      </w:r>
      <w:r w:rsidR="00C0170B">
        <w:rPr>
          <w:rtl/>
        </w:rPr>
        <w:t>גודל</w:t>
      </w:r>
      <w:r>
        <w:rPr>
          <w:rtl/>
        </w:rPr>
        <w:t xml:space="preserve"> לאל</w:t>
      </w:r>
      <w:r w:rsidR="0010776F">
        <w:rPr>
          <w:rFonts w:hint="cs"/>
          <w:rtl/>
        </w:rPr>
        <w:t>ו</w:t>
      </w:r>
      <w:r>
        <w:rPr>
          <w:rtl/>
        </w:rPr>
        <w:t>הינו</w:t>
      </w:r>
      <w:r w:rsidR="0059342E">
        <w:rPr>
          <w:rFonts w:hint="cs"/>
          <w:rtl/>
        </w:rPr>
        <w:t>".</w:t>
      </w:r>
      <w:r>
        <w:rPr>
          <w:rtl/>
        </w:rPr>
        <w:t xml:space="preserve"> אמר לו רבי נהוריי</w:t>
      </w:r>
      <w:r w:rsidR="00825BC1">
        <w:rPr>
          <w:rFonts w:hint="cs"/>
          <w:rtl/>
        </w:rPr>
        <w:t>:</w:t>
      </w:r>
      <w:r>
        <w:rPr>
          <w:rtl/>
        </w:rPr>
        <w:t xml:space="preserve"> השמים</w:t>
      </w:r>
      <w:r w:rsidR="00825BC1">
        <w:rPr>
          <w:rFonts w:hint="cs"/>
          <w:rtl/>
        </w:rPr>
        <w:t>!</w:t>
      </w:r>
      <w:r w:rsidR="00825BC1">
        <w:rPr>
          <w:rStyle w:val="a5"/>
          <w:rtl/>
        </w:rPr>
        <w:footnoteReference w:id="20"/>
      </w:r>
      <w:r>
        <w:rPr>
          <w:rtl/>
        </w:rPr>
        <w:t xml:space="preserve"> דרך ארץ היא גוליירים מתגרים במלחמה וגבורים נוצחים.</w:t>
      </w:r>
      <w:r w:rsidR="00AA32A6">
        <w:rPr>
          <w:rStyle w:val="a5"/>
          <w:rtl/>
        </w:rPr>
        <w:footnoteReference w:id="21"/>
      </w:r>
      <w:r>
        <w:rPr>
          <w:rtl/>
        </w:rPr>
        <w:t xml:space="preserve"> </w:t>
      </w:r>
    </w:p>
    <w:p w:rsidR="00F905C9" w:rsidRDefault="00F905C9" w:rsidP="006D5FD6">
      <w:pPr>
        <w:pStyle w:val="ac"/>
        <w:rPr>
          <w:rFonts w:hint="cs"/>
          <w:rtl/>
        </w:rPr>
      </w:pPr>
      <w:r>
        <w:rPr>
          <w:rtl/>
        </w:rPr>
        <w:t>ומנין שאין מזמנים אלא בשל</w:t>
      </w:r>
      <w:r w:rsidR="00F67BA1">
        <w:rPr>
          <w:rFonts w:hint="cs"/>
          <w:rtl/>
        </w:rPr>
        <w:t>ו</w:t>
      </w:r>
      <w:r>
        <w:rPr>
          <w:rtl/>
        </w:rPr>
        <w:t>שה</w:t>
      </w:r>
      <w:r w:rsidR="00947A2F">
        <w:rPr>
          <w:rFonts w:hint="cs"/>
          <w:rtl/>
        </w:rPr>
        <w:t>?</w:t>
      </w:r>
      <w:r>
        <w:rPr>
          <w:rtl/>
        </w:rPr>
        <w:t xml:space="preserve"> שנאמר</w:t>
      </w:r>
      <w:r w:rsidR="00F67BA1">
        <w:rPr>
          <w:rFonts w:hint="cs"/>
          <w:rtl/>
        </w:rPr>
        <w:t>:</w:t>
      </w:r>
      <w:r>
        <w:rPr>
          <w:rtl/>
        </w:rPr>
        <w:t xml:space="preserve"> </w:t>
      </w:r>
      <w:r w:rsidR="00F67BA1">
        <w:rPr>
          <w:rFonts w:hint="cs"/>
          <w:rtl/>
        </w:rPr>
        <w:t>"</w:t>
      </w:r>
      <w:r>
        <w:rPr>
          <w:rtl/>
        </w:rPr>
        <w:t>כי שם ה' אקרא הבו ג</w:t>
      </w:r>
      <w:r w:rsidR="00F67BA1">
        <w:rPr>
          <w:rFonts w:hint="cs"/>
          <w:rtl/>
        </w:rPr>
        <w:t>ו</w:t>
      </w:r>
      <w:r>
        <w:rPr>
          <w:rtl/>
        </w:rPr>
        <w:t>דל לאל</w:t>
      </w:r>
      <w:r w:rsidR="0010776F">
        <w:rPr>
          <w:rFonts w:hint="cs"/>
          <w:rtl/>
        </w:rPr>
        <w:t>ו</w:t>
      </w:r>
      <w:r>
        <w:rPr>
          <w:rtl/>
        </w:rPr>
        <w:t>הינו</w:t>
      </w:r>
      <w:r w:rsidR="00F67BA1">
        <w:rPr>
          <w:rFonts w:hint="cs"/>
          <w:rtl/>
        </w:rPr>
        <w:t>"</w:t>
      </w:r>
      <w:r>
        <w:rPr>
          <w:rtl/>
        </w:rPr>
        <w:t>. ומנין שעונים אמן אחר המברך</w:t>
      </w:r>
      <w:r w:rsidR="0059342E">
        <w:rPr>
          <w:rFonts w:hint="cs"/>
          <w:rtl/>
        </w:rPr>
        <w:t>,</w:t>
      </w:r>
      <w:r>
        <w:rPr>
          <w:rtl/>
        </w:rPr>
        <w:t xml:space="preserve"> שנאמר</w:t>
      </w:r>
      <w:r w:rsidR="0059342E">
        <w:rPr>
          <w:rFonts w:hint="cs"/>
          <w:rtl/>
        </w:rPr>
        <w:t>:</w:t>
      </w:r>
      <w:r>
        <w:rPr>
          <w:rtl/>
        </w:rPr>
        <w:t xml:space="preserve"> </w:t>
      </w:r>
      <w:r w:rsidR="0059342E">
        <w:rPr>
          <w:rFonts w:hint="cs"/>
          <w:rtl/>
        </w:rPr>
        <w:t>"</w:t>
      </w:r>
      <w:r>
        <w:rPr>
          <w:rtl/>
        </w:rPr>
        <w:t xml:space="preserve">הבו </w:t>
      </w:r>
      <w:r w:rsidR="00C0170B">
        <w:rPr>
          <w:rtl/>
        </w:rPr>
        <w:t>גודל</w:t>
      </w:r>
      <w:r>
        <w:rPr>
          <w:rtl/>
        </w:rPr>
        <w:t xml:space="preserve"> לאל</w:t>
      </w:r>
      <w:r w:rsidR="0010776F">
        <w:rPr>
          <w:rFonts w:hint="cs"/>
          <w:rtl/>
        </w:rPr>
        <w:t>ו</w:t>
      </w:r>
      <w:r>
        <w:rPr>
          <w:rtl/>
        </w:rPr>
        <w:t>הינו</w:t>
      </w:r>
      <w:r w:rsidR="0059342E">
        <w:rPr>
          <w:rFonts w:hint="cs"/>
          <w:rtl/>
        </w:rPr>
        <w:t>"</w:t>
      </w:r>
      <w:r>
        <w:rPr>
          <w:rtl/>
        </w:rPr>
        <w:t>. ומנין שאומרים</w:t>
      </w:r>
      <w:r w:rsidR="0059342E">
        <w:rPr>
          <w:rFonts w:hint="cs"/>
          <w:rtl/>
        </w:rPr>
        <w:t>:</w:t>
      </w:r>
      <w:r>
        <w:rPr>
          <w:rtl/>
        </w:rPr>
        <w:t xml:space="preserve"> </w:t>
      </w:r>
      <w:r w:rsidR="0059342E">
        <w:rPr>
          <w:rFonts w:hint="cs"/>
          <w:rtl/>
        </w:rPr>
        <w:t>"</w:t>
      </w:r>
      <w:r>
        <w:rPr>
          <w:rtl/>
        </w:rPr>
        <w:t>ברוך שם כבוד מלכותו לעולם ועד</w:t>
      </w:r>
      <w:r w:rsidR="006D5FD6">
        <w:rPr>
          <w:rFonts w:hint="cs"/>
          <w:rtl/>
        </w:rPr>
        <w:t>"?</w:t>
      </w:r>
      <w:r>
        <w:rPr>
          <w:rtl/>
        </w:rPr>
        <w:t xml:space="preserve"> שנאמר</w:t>
      </w:r>
      <w:r w:rsidR="006D5FD6">
        <w:rPr>
          <w:rFonts w:hint="cs"/>
          <w:rtl/>
        </w:rPr>
        <w:t>:</w:t>
      </w:r>
      <w:r>
        <w:rPr>
          <w:rtl/>
        </w:rPr>
        <w:t xml:space="preserve"> </w:t>
      </w:r>
      <w:r w:rsidR="006D5FD6">
        <w:rPr>
          <w:rFonts w:hint="cs"/>
          <w:rtl/>
        </w:rPr>
        <w:t>"</w:t>
      </w:r>
      <w:r>
        <w:rPr>
          <w:rtl/>
        </w:rPr>
        <w:t>כי שם ה' אקרא</w:t>
      </w:r>
      <w:r w:rsidR="006D5FD6">
        <w:rPr>
          <w:rFonts w:hint="cs"/>
          <w:rtl/>
        </w:rPr>
        <w:t>".</w:t>
      </w:r>
      <w:r>
        <w:rPr>
          <w:rtl/>
        </w:rPr>
        <w:t xml:space="preserve"> ומנין לאומרים יהא שמו הגדול מבורך</w:t>
      </w:r>
      <w:r w:rsidR="006D5FD6">
        <w:rPr>
          <w:rFonts w:hint="cs"/>
          <w:rtl/>
        </w:rPr>
        <w:t>,</w:t>
      </w:r>
      <w:r>
        <w:rPr>
          <w:rtl/>
        </w:rPr>
        <w:t xml:space="preserve"> שעונים אחריהם לעולם ולעולמי עולמים</w:t>
      </w:r>
      <w:r w:rsidR="006D5FD6">
        <w:rPr>
          <w:rFonts w:hint="cs"/>
          <w:rtl/>
        </w:rPr>
        <w:t>?</w:t>
      </w:r>
      <w:r>
        <w:rPr>
          <w:rtl/>
        </w:rPr>
        <w:t xml:space="preserve"> שנאמר</w:t>
      </w:r>
      <w:r w:rsidR="000A7CBE">
        <w:rPr>
          <w:rFonts w:hint="cs"/>
          <w:rtl/>
        </w:rPr>
        <w:t>:</w:t>
      </w:r>
      <w:r>
        <w:rPr>
          <w:rtl/>
        </w:rPr>
        <w:t xml:space="preserve"> </w:t>
      </w:r>
      <w:r w:rsidR="000A7CBE">
        <w:rPr>
          <w:rFonts w:hint="cs"/>
          <w:rtl/>
        </w:rPr>
        <w:t>"</w:t>
      </w:r>
      <w:r>
        <w:rPr>
          <w:rtl/>
        </w:rPr>
        <w:t xml:space="preserve">הבו </w:t>
      </w:r>
      <w:r w:rsidR="00C0170B">
        <w:rPr>
          <w:rtl/>
        </w:rPr>
        <w:t>גודל</w:t>
      </w:r>
      <w:r>
        <w:rPr>
          <w:rtl/>
        </w:rPr>
        <w:t xml:space="preserve"> לאל</w:t>
      </w:r>
      <w:r w:rsidR="0010776F">
        <w:rPr>
          <w:rFonts w:hint="cs"/>
          <w:rtl/>
        </w:rPr>
        <w:t>ו</w:t>
      </w:r>
      <w:r>
        <w:rPr>
          <w:rtl/>
        </w:rPr>
        <w:t>הינו</w:t>
      </w:r>
      <w:r w:rsidR="000A7CBE">
        <w:rPr>
          <w:rFonts w:hint="cs"/>
          <w:rtl/>
        </w:rPr>
        <w:t>"</w:t>
      </w:r>
      <w:r>
        <w:rPr>
          <w:rtl/>
        </w:rPr>
        <w:t>.</w:t>
      </w:r>
    </w:p>
    <w:p w:rsidR="00B10FFD" w:rsidRDefault="00B10FFD" w:rsidP="005D2829">
      <w:pPr>
        <w:pStyle w:val="ad"/>
        <w:spacing w:before="240" w:line="300" w:lineRule="atLeast"/>
        <w:rPr>
          <w:rFonts w:hint="cs"/>
          <w:rtl/>
        </w:rPr>
      </w:pPr>
      <w:r>
        <w:rPr>
          <w:rFonts w:hint="cs"/>
          <w:rtl/>
        </w:rPr>
        <w:t xml:space="preserve">שבת שלום </w:t>
      </w:r>
    </w:p>
    <w:p w:rsidR="00944DD3" w:rsidRPr="00DC4CB3" w:rsidRDefault="00944DD3">
      <w:pPr>
        <w:pStyle w:val="ad"/>
        <w:spacing w:line="300" w:lineRule="atLeast"/>
        <w:rPr>
          <w:rFonts w:hint="cs"/>
          <w:rtl/>
        </w:rPr>
      </w:pPr>
      <w:r w:rsidRPr="00DC4CB3">
        <w:rPr>
          <w:rtl/>
        </w:rPr>
        <w:t>מחלקי המים</w:t>
      </w:r>
    </w:p>
    <w:sectPr w:rsidR="00944DD3" w:rsidRPr="00DC4CB3" w:rsidSect="00C0170B">
      <w:headerReference w:type="default" r:id="rId7"/>
      <w:footerReference w:type="default" r:id="rId8"/>
      <w:headerReference w:type="first" r:id="rId9"/>
      <w:endnotePr>
        <w:numFmt w:val="lowerLetter"/>
      </w:endnotePr>
      <w:pgSz w:w="11907" w:h="16840" w:code="9"/>
      <w:pgMar w:top="1474" w:right="1361" w:bottom="1361" w:left="1361" w:header="720" w:footer="567" w:gutter="0"/>
      <w:cols w:space="720"/>
      <w:bidi/>
      <w:rtlGutter/>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7975" w:rsidRDefault="00B17975">
      <w:r>
        <w:separator/>
      </w:r>
    </w:p>
  </w:endnote>
  <w:endnote w:type="continuationSeparator" w:id="0">
    <w:p w:rsidR="00B17975" w:rsidRDefault="00B179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F9C" w:rsidRPr="00F8747C" w:rsidRDefault="002C6F9C" w:rsidP="0042181B">
    <w:pPr>
      <w:pStyle w:val="a8"/>
      <w:jc w:val="right"/>
      <w:rPr>
        <w:rFonts w:hint="cs"/>
      </w:rPr>
    </w:pPr>
    <w:r w:rsidRPr="00F8747C">
      <w:rPr>
        <w:rStyle w:val="af"/>
        <w:rFonts w:hint="cs"/>
        <w:rtl/>
      </w:rPr>
      <w:t xml:space="preserve">עמ' </w:t>
    </w:r>
    <w:r w:rsidRPr="00F8747C">
      <w:rPr>
        <w:rStyle w:val="af"/>
      </w:rPr>
      <w:fldChar w:fldCharType="begin"/>
    </w:r>
    <w:r w:rsidRPr="00F8747C">
      <w:rPr>
        <w:rStyle w:val="af"/>
      </w:rPr>
      <w:instrText xml:space="preserve"> PAGE </w:instrText>
    </w:r>
    <w:r w:rsidRPr="00F8747C">
      <w:rPr>
        <w:rStyle w:val="af"/>
      </w:rPr>
      <w:fldChar w:fldCharType="separate"/>
    </w:r>
    <w:r w:rsidR="006F2A18">
      <w:rPr>
        <w:rStyle w:val="af"/>
        <w:noProof/>
        <w:rtl/>
      </w:rPr>
      <w:t>1</w:t>
    </w:r>
    <w:r w:rsidRPr="00F8747C">
      <w:rPr>
        <w:rStyle w:val="af"/>
      </w:rPr>
      <w:fldChar w:fldCharType="end"/>
    </w:r>
    <w:r w:rsidRPr="00F8747C">
      <w:rPr>
        <w:rStyle w:val="af"/>
        <w:rFonts w:hint="cs"/>
        <w:rtl/>
      </w:rPr>
      <w:t xml:space="preserve"> מתוך </w:t>
    </w:r>
    <w:r w:rsidRPr="00F8747C">
      <w:rPr>
        <w:rStyle w:val="af"/>
      </w:rPr>
      <w:fldChar w:fldCharType="begin"/>
    </w:r>
    <w:r w:rsidRPr="00F8747C">
      <w:rPr>
        <w:rStyle w:val="af"/>
      </w:rPr>
      <w:instrText xml:space="preserve"> NUMPAGES </w:instrText>
    </w:r>
    <w:r w:rsidRPr="00F8747C">
      <w:rPr>
        <w:rStyle w:val="af"/>
      </w:rPr>
      <w:fldChar w:fldCharType="separate"/>
    </w:r>
    <w:r w:rsidR="006F2A18">
      <w:rPr>
        <w:rStyle w:val="af"/>
        <w:noProof/>
        <w:rtl/>
      </w:rPr>
      <w:t>3</w:t>
    </w:r>
    <w:r w:rsidRPr="00F8747C">
      <w:rPr>
        <w:rStyle w:val="af"/>
      </w:rPr>
      <w:fldChar w:fldCharType="end"/>
    </w:r>
  </w:p>
  <w:p w:rsidR="002C6F9C" w:rsidRDefault="002C6F9C">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7975" w:rsidRDefault="00B17975">
      <w:pPr>
        <w:rPr>
          <w:lang w:eastAsia="en-US"/>
        </w:rPr>
      </w:pPr>
      <w:r>
        <w:rPr>
          <w:rFonts w:cs="Miriam"/>
        </w:rPr>
        <w:separator/>
      </w:r>
    </w:p>
  </w:footnote>
  <w:footnote w:type="continuationSeparator" w:id="0">
    <w:p w:rsidR="00B17975" w:rsidRDefault="00B17975">
      <w:r>
        <w:continuationSeparator/>
      </w:r>
    </w:p>
  </w:footnote>
  <w:footnote w:id="1">
    <w:p w:rsidR="002C6F9C" w:rsidRDefault="002C6F9C" w:rsidP="00E03B90">
      <w:pPr>
        <w:pStyle w:val="a3"/>
        <w:rPr>
          <w:rFonts w:hint="cs"/>
          <w:rtl/>
        </w:rPr>
      </w:pPr>
      <w:r>
        <w:rPr>
          <w:rStyle w:val="a5"/>
        </w:rPr>
        <w:footnoteRef/>
      </w:r>
      <w:r>
        <w:rPr>
          <w:rtl/>
        </w:rPr>
        <w:t xml:space="preserve"> </w:t>
      </w:r>
      <w:r>
        <w:rPr>
          <w:rFonts w:hint="cs"/>
          <w:rtl/>
        </w:rPr>
        <w:t xml:space="preserve">נקוט בידינו הכלל: </w:t>
      </w:r>
      <w:r>
        <w:t>"</w:t>
      </w:r>
      <w:r>
        <w:rPr>
          <w:rtl/>
        </w:rPr>
        <w:t>אין לך דבר כתוב בנביאים וכתובים</w:t>
      </w:r>
      <w:r>
        <w:rPr>
          <w:rFonts w:hint="cs"/>
          <w:rtl/>
        </w:rPr>
        <w:t>,</w:t>
      </w:r>
      <w:r>
        <w:rPr>
          <w:rtl/>
        </w:rPr>
        <w:t xml:space="preserve"> שלא רמזו משה בתורה</w:t>
      </w:r>
      <w:r>
        <w:rPr>
          <w:rFonts w:hint="cs"/>
          <w:rtl/>
        </w:rPr>
        <w:t>" (</w:t>
      </w:r>
      <w:r>
        <w:rPr>
          <w:rtl/>
        </w:rPr>
        <w:t>במדבר רבה י</w:t>
      </w:r>
      <w:r>
        <w:rPr>
          <w:rFonts w:hint="cs"/>
          <w:rtl/>
        </w:rPr>
        <w:t xml:space="preserve"> ו). ואולי גם ההפך, אין לך דבר בתורה, שלא מצא ביטויו והמשכו בדברי הנביאים ובכתובים. במקרה זה, הפסוק המתבקש, כפי שנראה גם בחלק נכבד מהמדרשים שלהלן הוא מתהלים לד ד: "</w:t>
      </w:r>
      <w:r>
        <w:rPr>
          <w:rtl/>
        </w:rPr>
        <w:t>גַּדְּלוּ לַ</w:t>
      </w:r>
      <w:r>
        <w:rPr>
          <w:rFonts w:hint="cs"/>
          <w:rtl/>
        </w:rPr>
        <w:t>ה'</w:t>
      </w:r>
      <w:r>
        <w:rPr>
          <w:rtl/>
        </w:rPr>
        <w:t xml:space="preserve"> אִתִּי וּנְרוֹמְמָה שְׁמוֹ יַחְדָּו</w:t>
      </w:r>
      <w:r>
        <w:rPr>
          <w:rFonts w:hint="cs"/>
          <w:rtl/>
        </w:rPr>
        <w:t>".</w:t>
      </w:r>
    </w:p>
  </w:footnote>
  <w:footnote w:id="2">
    <w:p w:rsidR="002C6F9C" w:rsidRDefault="002C6F9C">
      <w:pPr>
        <w:pStyle w:val="a3"/>
        <w:rPr>
          <w:rFonts w:hint="cs"/>
          <w:rtl/>
        </w:rPr>
      </w:pPr>
      <w:r>
        <w:rPr>
          <w:rStyle w:val="a5"/>
        </w:rPr>
        <w:footnoteRef/>
      </w:r>
      <w:r>
        <w:rPr>
          <w:rtl/>
        </w:rPr>
        <w:t xml:space="preserve"> </w:t>
      </w:r>
      <w:r>
        <w:rPr>
          <w:rFonts w:hint="cs"/>
          <w:rtl/>
        </w:rPr>
        <w:t xml:space="preserve">ראה דברינו </w:t>
      </w:r>
      <w:hyperlink r:id="rId1" w:history="1">
        <w:r w:rsidRPr="00C0170B">
          <w:rPr>
            <w:rStyle w:val="Hyperlink"/>
            <w:rFonts w:hint="cs"/>
            <w:rtl/>
          </w:rPr>
          <w:t>ואכלת ושבעת</w:t>
        </w:r>
      </w:hyperlink>
      <w:r>
        <w:rPr>
          <w:rFonts w:hint="cs"/>
          <w:rtl/>
        </w:rPr>
        <w:t xml:space="preserve"> וברכת בפרשת עקב.</w:t>
      </w:r>
    </w:p>
  </w:footnote>
  <w:footnote w:id="3">
    <w:p w:rsidR="002C6F9C" w:rsidRDefault="002C6F9C">
      <w:pPr>
        <w:pStyle w:val="a3"/>
        <w:rPr>
          <w:rFonts w:hint="cs"/>
          <w:rtl/>
        </w:rPr>
      </w:pPr>
      <w:r>
        <w:rPr>
          <w:rStyle w:val="a5"/>
        </w:rPr>
        <w:footnoteRef/>
      </w:r>
      <w:r>
        <w:rPr>
          <w:rtl/>
        </w:rPr>
        <w:t xml:space="preserve"> </w:t>
      </w:r>
      <w:r>
        <w:rPr>
          <w:rFonts w:hint="cs"/>
          <w:rtl/>
        </w:rPr>
        <w:t>קל וחומר דו-צדדי זה ניתן כמובן לסתירה לוגית פשוטה</w:t>
      </w:r>
      <w:r w:rsidR="0010776F">
        <w:rPr>
          <w:rFonts w:hint="cs"/>
          <w:rtl/>
        </w:rPr>
        <w:t>,</w:t>
      </w:r>
      <w:r>
        <w:rPr>
          <w:rFonts w:hint="cs"/>
          <w:rtl/>
        </w:rPr>
        <w:t xml:space="preserve"> כפי שאכן הגמרא עושה שם ונשארת ב"תיובתא", היינו קושיה שאין לה מענה. ראה לשון הירושלמי ב</w:t>
      </w:r>
      <w:r>
        <w:rPr>
          <w:rtl/>
        </w:rPr>
        <w:t xml:space="preserve">מסכת ברכות פרק ז </w:t>
      </w:r>
      <w:r>
        <w:rPr>
          <w:rFonts w:hint="cs"/>
          <w:rtl/>
        </w:rPr>
        <w:t>הלכה א (וכן הוא במגילה ד א) שעושה היקש פשוט בלי קל וחומר: "</w:t>
      </w:r>
      <w:r>
        <w:rPr>
          <w:rtl/>
        </w:rPr>
        <w:t>כתוב בתורה ברכה לפניה ואין כתוב בתורה ברכה לאחריה</w:t>
      </w:r>
      <w:r>
        <w:rPr>
          <w:rFonts w:hint="cs"/>
          <w:rtl/>
        </w:rPr>
        <w:t>.</w:t>
      </w:r>
      <w:r>
        <w:rPr>
          <w:rtl/>
        </w:rPr>
        <w:t xml:space="preserve"> מה כתיב בה לפניה</w:t>
      </w:r>
      <w:r>
        <w:rPr>
          <w:rFonts w:hint="cs"/>
          <w:rtl/>
        </w:rPr>
        <w:t>?</w:t>
      </w:r>
      <w:r>
        <w:rPr>
          <w:rtl/>
        </w:rPr>
        <w:t xml:space="preserve"> כי שם ה' אקרא הבו גודל לאלהינו [שם לב ג] כתיב במזון ברכה לאחריו ואין כתיב לפניו מה כתיב לאחריו ואכלת ושבעת וברכת. ומניין ליתן את האמור בזה בזה ואת האמור בזה בזה</w:t>
      </w:r>
      <w:r>
        <w:rPr>
          <w:rFonts w:hint="cs"/>
          <w:rtl/>
        </w:rPr>
        <w:t xml:space="preserve">?" והירושלמי מוצא שם בסיס לשוני בפסוקים לגזירה שווה. כך או כך, נראה שלמרות שההשוואה הזו נדחית בלוגיקה של קל וחומר, היא כן מתקבלת כמושכל פשוט. לומדים אהדדי מברכות התורה לברכת המזון </w:t>
      </w:r>
      <w:r>
        <w:rPr>
          <w:rtl/>
        </w:rPr>
        <w:t>–</w:t>
      </w:r>
      <w:r>
        <w:rPr>
          <w:rFonts w:hint="cs"/>
          <w:rtl/>
        </w:rPr>
        <w:t xml:space="preserve"> ברכה לפניה ואחריה - בחומר וברוח. ומה שחשוב לעניינינו הוא שהפסוק שלנו משמש אסמכתא לברכת התורה לפני קריאתה או לימודה בקל וחומר מהרוח לחומר! אם ברוח </w:t>
      </w:r>
      <w:r>
        <w:rPr>
          <w:rtl/>
        </w:rPr>
        <w:t>–</w:t>
      </w:r>
      <w:r>
        <w:rPr>
          <w:rFonts w:hint="cs"/>
          <w:rtl/>
        </w:rPr>
        <w:t xml:space="preserve"> בלימוד תורה מברכים לפני העיסוק בה, קל וחומר שבענייני חומר וגשם, יש לברך לפני הנאת האכילה.</w:t>
      </w:r>
    </w:p>
  </w:footnote>
  <w:footnote w:id="4">
    <w:p w:rsidR="002C6F9C" w:rsidRDefault="002C6F9C" w:rsidP="0010776F">
      <w:pPr>
        <w:pStyle w:val="a3"/>
        <w:rPr>
          <w:rFonts w:hint="cs"/>
          <w:rtl/>
        </w:rPr>
      </w:pPr>
      <w:r>
        <w:rPr>
          <w:rStyle w:val="a5"/>
        </w:rPr>
        <w:footnoteRef/>
      </w:r>
      <w:r>
        <w:rPr>
          <w:rtl/>
        </w:rPr>
        <w:t xml:space="preserve"> </w:t>
      </w:r>
      <w:r>
        <w:rPr>
          <w:rFonts w:hint="cs"/>
          <w:rtl/>
          <w:lang w:eastAsia="en-US"/>
        </w:rPr>
        <w:t>כאן, ברור למדרש שברכת המזון יש ברכה לפניה ולאחריה, כנראה מלימוד מוקדם יותר ושאיננו קשור ללימוד תורה. ראה ברייתא בגמרא</w:t>
      </w:r>
      <w:r>
        <w:rPr>
          <w:rtl/>
          <w:lang w:eastAsia="en-US"/>
        </w:rPr>
        <w:t xml:space="preserve"> ברכות מח ע</w:t>
      </w:r>
      <w:r>
        <w:rPr>
          <w:rFonts w:hint="cs"/>
          <w:rtl/>
          <w:lang w:eastAsia="en-US"/>
        </w:rPr>
        <w:t>"</w:t>
      </w:r>
      <w:r>
        <w:rPr>
          <w:rtl/>
          <w:lang w:eastAsia="en-US"/>
        </w:rPr>
        <w:t>ב</w:t>
      </w:r>
      <w:r>
        <w:rPr>
          <w:rFonts w:hint="cs"/>
          <w:rtl/>
          <w:lang w:eastAsia="en-US"/>
        </w:rPr>
        <w:t>: "</w:t>
      </w:r>
      <w:r>
        <w:rPr>
          <w:rtl/>
          <w:lang w:eastAsia="en-US"/>
        </w:rPr>
        <w:t>תנו רבנן: מנין לברכת המזון מן התורה? שנאמר: ואכלת ושבעת וברכת</w:t>
      </w:r>
      <w:r>
        <w:rPr>
          <w:rFonts w:hint="cs"/>
          <w:rtl/>
          <w:lang w:eastAsia="en-US"/>
        </w:rPr>
        <w:t xml:space="preserve"> (</w:t>
      </w:r>
      <w:r>
        <w:rPr>
          <w:rtl/>
          <w:lang w:eastAsia="en-US"/>
        </w:rPr>
        <w:t>דברים ח</w:t>
      </w:r>
      <w:r>
        <w:rPr>
          <w:rFonts w:hint="cs"/>
          <w:rtl/>
          <w:lang w:eastAsia="en-US"/>
        </w:rPr>
        <w:t xml:space="preserve"> י) </w:t>
      </w:r>
      <w:r>
        <w:rPr>
          <w:rtl/>
          <w:lang w:eastAsia="en-US"/>
        </w:rPr>
        <w:t>- זו ברכת הזן, את ה' אלהיך - זו ברכת הז</w:t>
      </w:r>
      <w:r>
        <w:rPr>
          <w:rFonts w:hint="cs"/>
          <w:rtl/>
          <w:lang w:eastAsia="en-US"/>
        </w:rPr>
        <w:t>י</w:t>
      </w:r>
      <w:r>
        <w:rPr>
          <w:rtl/>
          <w:lang w:eastAsia="en-US"/>
        </w:rPr>
        <w:t>מון, על הארץ - זו ברכת הארץ, הטובה - זו בונה ירושלים,</w:t>
      </w:r>
      <w:r>
        <w:rPr>
          <w:rFonts w:hint="cs"/>
          <w:rtl/>
          <w:lang w:eastAsia="en-US"/>
        </w:rPr>
        <w:t xml:space="preserve"> ... </w:t>
      </w:r>
      <w:r>
        <w:rPr>
          <w:rtl/>
          <w:lang w:eastAsia="en-US"/>
        </w:rPr>
        <w:t>אשר נתן לך - זו הטוב והמטיב. אין לי אלא לאחריו, לפניו מנין? אמרת קל וחומר, כשהוא שָׂבֵעַ מברך - כשהוא רָעֵב לא כל שכן?</w:t>
      </w:r>
      <w:r>
        <w:rPr>
          <w:rFonts w:hint="cs"/>
          <w:rtl/>
        </w:rPr>
        <w:t xml:space="preserve">". קל וחומר פנימי בתוך דיני ברכת המזון. וראה גם </w:t>
      </w:r>
      <w:r>
        <w:rPr>
          <w:rtl/>
          <w:lang w:eastAsia="en-US"/>
        </w:rPr>
        <w:t xml:space="preserve">תוספתא מסכת ברכות (ליברמן) פרק ו </w:t>
      </w:r>
      <w:r>
        <w:rPr>
          <w:rFonts w:hint="cs"/>
          <w:rtl/>
          <w:lang w:eastAsia="en-US"/>
        </w:rPr>
        <w:t>הלכה א: "</w:t>
      </w:r>
      <w:r>
        <w:rPr>
          <w:rtl/>
          <w:lang w:eastAsia="en-US"/>
        </w:rPr>
        <w:t>ברכת הזימון מן התורה שנ</w:t>
      </w:r>
      <w:r>
        <w:rPr>
          <w:rFonts w:hint="cs"/>
          <w:rtl/>
          <w:lang w:eastAsia="en-US"/>
        </w:rPr>
        <w:t xml:space="preserve">אמר: </w:t>
      </w:r>
      <w:r>
        <w:rPr>
          <w:rtl/>
          <w:lang w:eastAsia="en-US"/>
        </w:rPr>
        <w:t>ואכלת ושבעת</w:t>
      </w:r>
      <w:r>
        <w:rPr>
          <w:rFonts w:hint="cs"/>
          <w:rtl/>
          <w:lang w:eastAsia="en-US"/>
        </w:rPr>
        <w:t xml:space="preserve"> -</w:t>
      </w:r>
      <w:r>
        <w:rPr>
          <w:rtl/>
          <w:lang w:eastAsia="en-US"/>
        </w:rPr>
        <w:t xml:space="preserve"> וברכת זו ברכת הזימון</w:t>
      </w:r>
      <w:r>
        <w:rPr>
          <w:rFonts w:hint="cs"/>
          <w:rtl/>
          <w:lang w:eastAsia="en-US"/>
        </w:rPr>
        <w:t>.</w:t>
      </w:r>
      <w:r>
        <w:rPr>
          <w:rtl/>
          <w:lang w:eastAsia="en-US"/>
        </w:rPr>
        <w:t xml:space="preserve"> את ה' אלהיך זו ברכה ראש</w:t>
      </w:r>
      <w:r>
        <w:rPr>
          <w:rFonts w:hint="cs"/>
          <w:rtl/>
          <w:lang w:eastAsia="en-US"/>
        </w:rPr>
        <w:t>ו</w:t>
      </w:r>
      <w:r>
        <w:rPr>
          <w:rtl/>
          <w:lang w:eastAsia="en-US"/>
        </w:rPr>
        <w:t>נה</w:t>
      </w:r>
      <w:r>
        <w:rPr>
          <w:rFonts w:hint="cs"/>
          <w:rtl/>
          <w:lang w:eastAsia="en-US"/>
        </w:rPr>
        <w:t>.</w:t>
      </w:r>
      <w:r>
        <w:rPr>
          <w:rtl/>
          <w:lang w:eastAsia="en-US"/>
        </w:rPr>
        <w:t xml:space="preserve"> על הארץ זו ברכת הארץ</w:t>
      </w:r>
      <w:r>
        <w:rPr>
          <w:rFonts w:hint="cs"/>
          <w:rtl/>
          <w:lang w:eastAsia="en-US"/>
        </w:rPr>
        <w:t>.</w:t>
      </w:r>
      <w:r>
        <w:rPr>
          <w:rtl/>
          <w:lang w:eastAsia="en-US"/>
        </w:rPr>
        <w:t xml:space="preserve"> הטובה זו ירושל</w:t>
      </w:r>
      <w:r>
        <w:rPr>
          <w:rFonts w:hint="cs"/>
          <w:rtl/>
          <w:lang w:eastAsia="en-US"/>
        </w:rPr>
        <w:t>י</w:t>
      </w:r>
      <w:r>
        <w:rPr>
          <w:rtl/>
          <w:lang w:eastAsia="en-US"/>
        </w:rPr>
        <w:t xml:space="preserve">ם </w:t>
      </w:r>
      <w:r>
        <w:rPr>
          <w:rFonts w:hint="cs"/>
          <w:rtl/>
          <w:lang w:eastAsia="en-US"/>
        </w:rPr>
        <w:t xml:space="preserve">... </w:t>
      </w:r>
      <w:r>
        <w:rPr>
          <w:rtl/>
          <w:lang w:eastAsia="en-US"/>
        </w:rPr>
        <w:t>אשר נתן לך ה' זו הטוב והמטיב</w:t>
      </w:r>
      <w:r>
        <w:rPr>
          <w:rFonts w:hint="cs"/>
          <w:rtl/>
          <w:lang w:eastAsia="en-US"/>
        </w:rPr>
        <w:t>.</w:t>
      </w:r>
      <w:r>
        <w:rPr>
          <w:rtl/>
          <w:lang w:eastAsia="en-US"/>
        </w:rPr>
        <w:t xml:space="preserve"> מניין שכשם שאתה מברך לאחריו כך מברך לפניו</w:t>
      </w:r>
      <w:r>
        <w:rPr>
          <w:rFonts w:hint="cs"/>
          <w:rtl/>
          <w:lang w:eastAsia="en-US"/>
        </w:rPr>
        <w:t xml:space="preserve">? תלמוד לומר: </w:t>
      </w:r>
      <w:r>
        <w:rPr>
          <w:rtl/>
          <w:lang w:eastAsia="en-US"/>
        </w:rPr>
        <w:t>אשר נתן לך</w:t>
      </w:r>
      <w:r>
        <w:rPr>
          <w:rFonts w:hint="cs"/>
          <w:rtl/>
          <w:lang w:eastAsia="en-US"/>
        </w:rPr>
        <w:t xml:space="preserve"> -</w:t>
      </w:r>
      <w:r>
        <w:rPr>
          <w:rtl/>
          <w:lang w:eastAsia="en-US"/>
        </w:rPr>
        <w:t xml:space="preserve"> משעה שנתן לך</w:t>
      </w:r>
      <w:r>
        <w:rPr>
          <w:rFonts w:hint="cs"/>
          <w:rtl/>
          <w:lang w:eastAsia="en-US"/>
        </w:rPr>
        <w:t xml:space="preserve">". </w:t>
      </w:r>
      <w:r w:rsidR="0010776F">
        <w:rPr>
          <w:rFonts w:hint="cs"/>
          <w:rtl/>
        </w:rPr>
        <w:t xml:space="preserve">וכבר הרחבנו לדון על </w:t>
      </w:r>
      <w:hyperlink r:id="rId2" w:history="1">
        <w:r w:rsidR="0010776F" w:rsidRPr="00F217B4">
          <w:rPr>
            <w:rStyle w:val="Hyperlink"/>
            <w:rFonts w:hint="cs"/>
            <w:rtl/>
          </w:rPr>
          <w:t>ברכת המזון</w:t>
        </w:r>
      </w:hyperlink>
      <w:r w:rsidR="0010776F">
        <w:rPr>
          <w:rFonts w:hint="cs"/>
          <w:rtl/>
        </w:rPr>
        <w:t xml:space="preserve"> בדברינו בפרשת מסעי.</w:t>
      </w:r>
    </w:p>
  </w:footnote>
  <w:footnote w:id="5">
    <w:p w:rsidR="002C6F9C" w:rsidRDefault="002C6F9C" w:rsidP="00F67BA1">
      <w:pPr>
        <w:pStyle w:val="a3"/>
        <w:rPr>
          <w:rFonts w:hint="cs"/>
          <w:rtl/>
        </w:rPr>
      </w:pPr>
      <w:r>
        <w:rPr>
          <w:rStyle w:val="a5"/>
        </w:rPr>
        <w:footnoteRef/>
      </w:r>
      <w:r>
        <w:rPr>
          <w:rtl/>
        </w:rPr>
        <w:t xml:space="preserve"> </w:t>
      </w:r>
      <w:r>
        <w:rPr>
          <w:rFonts w:hint="cs"/>
          <w:rtl/>
        </w:rPr>
        <w:t>שכתוב "ואכלת ושבעת וברכת ... על הארץ הטובה וכו' ". והוא שואל מה היא "הטובה"? ותשובתו: זו התורה. ומכאן בפשיטא שאם על המזון, על החומר יש ברכה לפניו ואחריו, קל וחומר (קל ורוח?) על התורה שהיא הדבר הרוחני, היא מטרת האכילה והשתייה.</w:t>
      </w:r>
    </w:p>
  </w:footnote>
  <w:footnote w:id="6">
    <w:p w:rsidR="006D5FD6" w:rsidRDefault="006D5FD6">
      <w:pPr>
        <w:pStyle w:val="a3"/>
        <w:rPr>
          <w:rFonts w:hint="cs"/>
          <w:rtl/>
        </w:rPr>
      </w:pPr>
      <w:r>
        <w:rPr>
          <w:rStyle w:val="a5"/>
        </w:rPr>
        <w:footnoteRef/>
      </w:r>
      <w:r>
        <w:rPr>
          <w:rtl/>
        </w:rPr>
        <w:t xml:space="preserve"> </w:t>
      </w:r>
      <w:r>
        <w:rPr>
          <w:rFonts w:hint="cs"/>
          <w:rtl/>
        </w:rPr>
        <w:t>גם בסוגיה שם יש דיון לגבי מקור ברכה ראשונה בברכות הנהנין, גם שם מוצעות דעות ודרשות שונות כולל הדעה שכבר ראינו: "</w:t>
      </w:r>
      <w:r>
        <w:rPr>
          <w:rtl/>
        </w:rPr>
        <w:t>בקל וחומר: כשהוא שבע מברך - כשהוא רעב לא כל שכן</w:t>
      </w:r>
      <w:r>
        <w:rPr>
          <w:rFonts w:hint="cs"/>
          <w:rtl/>
        </w:rPr>
        <w:t>?!"</w:t>
      </w:r>
      <w:r>
        <w:rPr>
          <w:rtl/>
        </w:rPr>
        <w:t>.</w:t>
      </w:r>
      <w:r>
        <w:rPr>
          <w:rFonts w:hint="cs"/>
          <w:rtl/>
        </w:rPr>
        <w:t xml:space="preserve"> אבל בסופה של הסוגיה הלימוד הוא מסברא, מאותם לימודים יחסית נדירים בתלמוד, שהמקור הוא היגיון הלכתי-מוסרי פשוט: "אסור לאדם שיהנה מהעולם הזה בלא ברכה". ואם יותר לנו לומר סברא משלנו, נראה שבאופן דומה אפשר לומר גם על לימוד התורה: אסור לאדם ללמוד תורה בלא הודאה והכרה מה מקורה, מאיפה ניתנה ומה תוקפה. שאם לא כן, אין זה אלא לימוד אקדמאי גרידא, ללא מחויבות וזיקה אישית. ראה בבא מציעא פה ע"ב שהארץ אבדה "על שלא ברכו בתורה תחילה". ופירוש רש"י שם: "כשהיו עוסקים בתורה, לא היו מברכים לפניה ... וכיון דלא מברכי </w:t>
      </w:r>
      <w:r>
        <w:rPr>
          <w:rtl/>
        </w:rPr>
        <w:t>–</w:t>
      </w:r>
      <w:r>
        <w:rPr>
          <w:rFonts w:hint="cs"/>
          <w:rtl/>
        </w:rPr>
        <w:t xml:space="preserve"> גליא דעתייהו שאינה מתנה חשובה להם". וראה עוד בעיונים שטיינזלץ שם שמביא בשם מהר"ל שחוסר ברכה פירושו שהתורה מנותקת מנותן התורה והיא נעשית כלימוד חילוני של סתם". אבל חז"ל לא הציעו סברא זו, או לא הסתפקו בה, וייסדו את ברכת התורה על הפסוק שלנו: "</w:t>
      </w:r>
      <w:r>
        <w:rPr>
          <w:rtl/>
        </w:rPr>
        <w:t>מנין לברכת התורה לפניה מן התורה - שנאמר: כי שם ה' אקרא הבו ג</w:t>
      </w:r>
      <w:r>
        <w:rPr>
          <w:rFonts w:hint="cs"/>
          <w:rtl/>
        </w:rPr>
        <w:t>ו</w:t>
      </w:r>
      <w:r>
        <w:rPr>
          <w:rtl/>
        </w:rPr>
        <w:t>דל לאלהינו</w:t>
      </w:r>
      <w:r>
        <w:rPr>
          <w:rFonts w:hint="cs"/>
          <w:rtl/>
        </w:rPr>
        <w:t xml:space="preserve"> (</w:t>
      </w:r>
      <w:r>
        <w:rPr>
          <w:rtl/>
        </w:rPr>
        <w:t>דברים לב</w:t>
      </w:r>
      <w:r>
        <w:rPr>
          <w:rFonts w:hint="cs"/>
          <w:rtl/>
        </w:rPr>
        <w:t xml:space="preserve"> ג)".</w:t>
      </w:r>
    </w:p>
  </w:footnote>
  <w:footnote w:id="7">
    <w:p w:rsidR="002C6F9C" w:rsidRDefault="002C6F9C">
      <w:pPr>
        <w:pStyle w:val="a3"/>
        <w:rPr>
          <w:rFonts w:hint="cs"/>
          <w:rtl/>
        </w:rPr>
      </w:pPr>
      <w:r>
        <w:rPr>
          <w:rStyle w:val="a5"/>
        </w:rPr>
        <w:footnoteRef/>
      </w:r>
      <w:r>
        <w:rPr>
          <w:rtl/>
        </w:rPr>
        <w:t xml:space="preserve"> </w:t>
      </w:r>
      <w:r>
        <w:rPr>
          <w:rFonts w:hint="cs"/>
          <w:rtl/>
        </w:rPr>
        <w:t>מעניין שרב אסי מעדיף את הפסוק מתהלים על פני זה שבתורה והגמרא אף מקדימה דבריו לאלה של ר' אבהו. ראה במדרש הלכה ספרי בפרשתנו, סימן שו שהוא כשיטת ר' אבהו: "</w:t>
      </w:r>
      <w:r>
        <w:rPr>
          <w:rtl/>
        </w:rPr>
        <w:t>ומנין שאין מזמנים אלא בשלשה</w:t>
      </w:r>
      <w:r>
        <w:rPr>
          <w:rFonts w:hint="cs"/>
          <w:rtl/>
        </w:rPr>
        <w:t>?</w:t>
      </w:r>
      <w:r>
        <w:rPr>
          <w:rtl/>
        </w:rPr>
        <w:t xml:space="preserve"> שנאמר</w:t>
      </w:r>
      <w:r>
        <w:rPr>
          <w:rFonts w:hint="cs"/>
          <w:rtl/>
        </w:rPr>
        <w:t>:</w:t>
      </w:r>
      <w:r>
        <w:rPr>
          <w:rtl/>
        </w:rPr>
        <w:t xml:space="preserve"> כי שם ה' אקרא הבו ג</w:t>
      </w:r>
      <w:r>
        <w:rPr>
          <w:rFonts w:hint="cs"/>
          <w:rtl/>
        </w:rPr>
        <w:t>ו</w:t>
      </w:r>
      <w:r>
        <w:rPr>
          <w:rtl/>
        </w:rPr>
        <w:t>דל לאלהינו. ומנין שעונים אמן אחר המברך</w:t>
      </w:r>
      <w:r>
        <w:rPr>
          <w:rFonts w:hint="cs"/>
          <w:rtl/>
        </w:rPr>
        <w:t>?</w:t>
      </w:r>
      <w:r>
        <w:rPr>
          <w:rtl/>
        </w:rPr>
        <w:t xml:space="preserve"> שנאמר הבו ג</w:t>
      </w:r>
      <w:r>
        <w:rPr>
          <w:rFonts w:hint="cs"/>
          <w:rtl/>
        </w:rPr>
        <w:t>ו</w:t>
      </w:r>
      <w:r>
        <w:rPr>
          <w:rtl/>
        </w:rPr>
        <w:t>דל לאלהינו</w:t>
      </w:r>
      <w:r>
        <w:rPr>
          <w:rFonts w:hint="cs"/>
          <w:rtl/>
        </w:rPr>
        <w:t>"</w:t>
      </w:r>
      <w:r>
        <w:rPr>
          <w:rtl/>
        </w:rPr>
        <w:t>.</w:t>
      </w:r>
      <w:r>
        <w:rPr>
          <w:rFonts w:hint="cs"/>
          <w:rtl/>
        </w:rPr>
        <w:t xml:space="preserve"> הכל מהפסוק בפרשתנו. האם נשכח מדרש ההלכה עד שרב אסי צריך למצוא פסוק מתהלים ובא ר' אבהו ומזכיר את מדרש ההלכה? ועכ"פ, שים שהמספר שלושה לזימון נובע מפשט הפסוקים (הן זה שבתורה והן זה שמתהלים). הקורא, קורא לשניים אחרים, ומכאן שלושה לזימון.</w:t>
      </w:r>
    </w:p>
  </w:footnote>
  <w:footnote w:id="8">
    <w:p w:rsidR="002C6F9C" w:rsidRDefault="002C6F9C" w:rsidP="00F217B4">
      <w:pPr>
        <w:pStyle w:val="a3"/>
        <w:rPr>
          <w:rFonts w:hint="cs"/>
        </w:rPr>
      </w:pPr>
      <w:r>
        <w:rPr>
          <w:rStyle w:val="a5"/>
        </w:rPr>
        <w:footnoteRef/>
      </w:r>
      <w:r>
        <w:rPr>
          <w:rtl/>
        </w:rPr>
        <w:t xml:space="preserve"> </w:t>
      </w:r>
      <w:r>
        <w:rPr>
          <w:rFonts w:hint="cs"/>
          <w:rtl/>
        </w:rPr>
        <w:t>קטע הגמרא שלהלן מתייחס למשנה ב</w:t>
      </w:r>
      <w:r>
        <w:rPr>
          <w:rtl/>
        </w:rPr>
        <w:t>מסכת יומא פרק ג</w:t>
      </w:r>
      <w:r>
        <w:rPr>
          <w:rFonts w:hint="cs"/>
          <w:rtl/>
        </w:rPr>
        <w:t xml:space="preserve"> משנה ח (בגמרא דף לה עמוד ב), מסדר העבודה ביום הכיפורים: "</w:t>
      </w:r>
      <w:r>
        <w:rPr>
          <w:rtl/>
        </w:rPr>
        <w:t xml:space="preserve">בא לו אצל פרו </w:t>
      </w:r>
      <w:r>
        <w:rPr>
          <w:rFonts w:hint="cs"/>
          <w:rtl/>
        </w:rPr>
        <w:t xml:space="preserve">... </w:t>
      </w:r>
      <w:r>
        <w:rPr>
          <w:rtl/>
        </w:rPr>
        <w:t>וסומך שתי ידיו עליו ומתודה</w:t>
      </w:r>
      <w:r>
        <w:rPr>
          <w:rFonts w:hint="cs"/>
          <w:rtl/>
        </w:rPr>
        <w:t>.</w:t>
      </w:r>
      <w:r>
        <w:rPr>
          <w:rtl/>
        </w:rPr>
        <w:t xml:space="preserve"> וכך היה אומר</w:t>
      </w:r>
      <w:r>
        <w:rPr>
          <w:rFonts w:hint="cs"/>
          <w:rtl/>
        </w:rPr>
        <w:t>:</w:t>
      </w:r>
      <w:r>
        <w:rPr>
          <w:rtl/>
        </w:rPr>
        <w:t xml:space="preserve"> אנא השם</w:t>
      </w:r>
      <w:r>
        <w:rPr>
          <w:rFonts w:hint="cs"/>
          <w:rtl/>
        </w:rPr>
        <w:t>!</w:t>
      </w:r>
      <w:r>
        <w:rPr>
          <w:rtl/>
        </w:rPr>
        <w:t xml:space="preserve"> עויתי פשעתי חטאתי לפניך אני וביתי</w:t>
      </w:r>
      <w:r>
        <w:rPr>
          <w:rFonts w:hint="cs"/>
          <w:rtl/>
        </w:rPr>
        <w:t>.</w:t>
      </w:r>
      <w:r>
        <w:rPr>
          <w:rtl/>
        </w:rPr>
        <w:t xml:space="preserve"> אנא השם כפר נא לעונות ולפשעים ולחטאים שעויתי ושפשעתי ושחטאתי לפניך אני וביתי </w:t>
      </w:r>
      <w:r>
        <w:rPr>
          <w:rFonts w:hint="cs"/>
          <w:rtl/>
        </w:rPr>
        <w:t xml:space="preserve">... </w:t>
      </w:r>
      <w:r>
        <w:rPr>
          <w:rtl/>
        </w:rPr>
        <w:t>והן עונין אחריו ברוך שם כבוד מלכותו לעולם ועד</w:t>
      </w:r>
      <w:r>
        <w:rPr>
          <w:rFonts w:hint="cs"/>
          <w:rtl/>
        </w:rPr>
        <w:t xml:space="preserve">". </w:t>
      </w:r>
    </w:p>
  </w:footnote>
  <w:footnote w:id="9">
    <w:p w:rsidR="002C6F9C" w:rsidRDefault="002C6F9C" w:rsidP="00B61664">
      <w:pPr>
        <w:pStyle w:val="a3"/>
        <w:rPr>
          <w:rFonts w:hint="cs"/>
          <w:rtl/>
        </w:rPr>
      </w:pPr>
      <w:r>
        <w:rPr>
          <w:rStyle w:val="a5"/>
        </w:rPr>
        <w:footnoteRef/>
      </w:r>
      <w:r>
        <w:rPr>
          <w:rtl/>
        </w:rPr>
        <w:t xml:space="preserve"> </w:t>
      </w:r>
      <w:r>
        <w:rPr>
          <w:rFonts w:hint="cs"/>
          <w:rtl/>
        </w:rPr>
        <w:t>שעיקר הכפרה הוא הווידוי ולא מעשה השחיטה וההקרבה. והלימוד הוא דווקא מהשעיר לעזאזל שאינו נשחט, כדברי הגמרא שם בהמשך הסוגיה: "</w:t>
      </w:r>
      <w:r>
        <w:rPr>
          <w:rtl/>
        </w:rPr>
        <w:t>מה כפרה האמורה בשעיר - דברים, אף כפרה האמורה בפר – דברים</w:t>
      </w:r>
      <w:r>
        <w:rPr>
          <w:rFonts w:hint="cs"/>
          <w:rtl/>
        </w:rPr>
        <w:t>"</w:t>
      </w:r>
      <w:r>
        <w:rPr>
          <w:rtl/>
        </w:rPr>
        <w:t>.</w:t>
      </w:r>
      <w:r>
        <w:rPr>
          <w:rFonts w:hint="cs"/>
          <w:rtl/>
        </w:rPr>
        <w:t xml:space="preserve"> וגם קרבנות שנשחטו בסדר העבודה, לקח זמן מרגע הווידוי עד לשחיטה. אמנם מהמשך הסוגיה שם, בדף מ עמוד ב, משמע שזה עצמו מחלוקת תנאים שר' יהודה סבור "</w:t>
      </w:r>
      <w:r>
        <w:rPr>
          <w:rtl/>
        </w:rPr>
        <w:t>בכפרת דמים הכתוב מדבר</w:t>
      </w:r>
      <w:r>
        <w:rPr>
          <w:rFonts w:hint="cs"/>
          <w:rtl/>
        </w:rPr>
        <w:t>" ו</w:t>
      </w:r>
      <w:r>
        <w:rPr>
          <w:rtl/>
        </w:rPr>
        <w:t xml:space="preserve">רבי שמעון </w:t>
      </w:r>
      <w:r>
        <w:rPr>
          <w:rFonts w:hint="cs"/>
          <w:rtl/>
        </w:rPr>
        <w:t>הוא בעל השיטה "</w:t>
      </w:r>
      <w:r>
        <w:rPr>
          <w:rtl/>
        </w:rPr>
        <w:t>בכפרת דברים הכתוב מדבר</w:t>
      </w:r>
      <w:r>
        <w:rPr>
          <w:rFonts w:hint="cs"/>
          <w:rtl/>
        </w:rPr>
        <w:t>"</w:t>
      </w:r>
      <w:r>
        <w:rPr>
          <w:rtl/>
        </w:rPr>
        <w:t>.</w:t>
      </w:r>
      <w:r>
        <w:rPr>
          <w:rFonts w:hint="cs"/>
          <w:rtl/>
        </w:rPr>
        <w:t xml:space="preserve"> וראיתי בראשונים (בעל הלכות גדולות ומרדכי) שמשתמשי</w:t>
      </w:r>
      <w:r>
        <w:rPr>
          <w:rFonts w:hint="eastAsia"/>
          <w:rtl/>
        </w:rPr>
        <w:t>ם</w:t>
      </w:r>
      <w:r>
        <w:rPr>
          <w:rFonts w:hint="cs"/>
          <w:rtl/>
        </w:rPr>
        <w:t xml:space="preserve"> בביטוי "הרצאת דברים" כנגד "הרצאת דמים". </w:t>
      </w:r>
    </w:p>
  </w:footnote>
  <w:footnote w:id="10">
    <w:p w:rsidR="002C6F9C" w:rsidRDefault="002C6F9C" w:rsidP="00FD7784">
      <w:pPr>
        <w:pStyle w:val="a3"/>
        <w:rPr>
          <w:rFonts w:hint="cs"/>
          <w:rtl/>
        </w:rPr>
      </w:pPr>
      <w:r>
        <w:rPr>
          <w:rStyle w:val="a5"/>
        </w:rPr>
        <w:footnoteRef/>
      </w:r>
      <w:r>
        <w:rPr>
          <w:rtl/>
        </w:rPr>
        <w:t xml:space="preserve"> </w:t>
      </w:r>
      <w:r>
        <w:rPr>
          <w:rFonts w:hint="cs"/>
          <w:rtl/>
        </w:rPr>
        <w:t>במעשה העגל כשמשה אומר לעם: "</w:t>
      </w:r>
      <w:r>
        <w:rPr>
          <w:rtl/>
        </w:rPr>
        <w:t xml:space="preserve">אַתֶּם חֲטָאתֶם חֲטָאָה גְדֹלָה וְעַתָּה אֶעֱלֶה אֶל </w:t>
      </w:r>
      <w:r>
        <w:rPr>
          <w:rFonts w:hint="cs"/>
          <w:rtl/>
        </w:rPr>
        <w:t>ה'</w:t>
      </w:r>
      <w:r>
        <w:rPr>
          <w:rtl/>
        </w:rPr>
        <w:t xml:space="preserve"> אוּלַי אֲכַפְּרָה בְּעַד חַטַּאתְכֶם</w:t>
      </w:r>
      <w:r>
        <w:rPr>
          <w:rFonts w:hint="cs"/>
          <w:rtl/>
        </w:rPr>
        <w:t xml:space="preserve">" (שמות לב ל). כפרה ב"אולי", אבל לדרשה של הגמרא שמחפשת קשר לחטא העגל זה מספיק. ובאמת, אין כפרה מלאה על חטא העגל כפי שעולה מקריאת פרקים לב לג בספר שמות וכבר אמרו במדרש </w:t>
      </w:r>
      <w:r>
        <w:rPr>
          <w:rtl/>
        </w:rPr>
        <w:t xml:space="preserve">שמות רבה מג </w:t>
      </w:r>
      <w:r>
        <w:rPr>
          <w:rFonts w:hint="cs"/>
          <w:rtl/>
        </w:rPr>
        <w:t>ב: "</w:t>
      </w:r>
      <w:r>
        <w:rPr>
          <w:rtl/>
        </w:rPr>
        <w:t>אין דור ודור שאינו נוטל אוקיא ממעשה העגל</w:t>
      </w:r>
      <w:r>
        <w:rPr>
          <w:rFonts w:hint="cs"/>
          <w:rtl/>
        </w:rPr>
        <w:t>" ולא בכדי אנחנו מזכירים את "סלחתי כדברך" של חטא המרגלים דווקא.</w:t>
      </w:r>
      <w:r w:rsidR="00F217B4">
        <w:rPr>
          <w:rFonts w:hint="cs"/>
          <w:rtl/>
        </w:rPr>
        <w:t xml:space="preserve"> ראה דברינו </w:t>
      </w:r>
      <w:hyperlink r:id="rId3" w:history="1">
        <w:r w:rsidR="00F217B4" w:rsidRPr="00F217B4">
          <w:rPr>
            <w:rStyle w:val="Hyperlink"/>
            <w:rFonts w:hint="cs"/>
            <w:rtl/>
          </w:rPr>
          <w:t>סלחתי כדברך ואולם</w:t>
        </w:r>
      </w:hyperlink>
      <w:r w:rsidR="00F217B4">
        <w:rPr>
          <w:rFonts w:hint="cs"/>
          <w:rtl/>
        </w:rPr>
        <w:t xml:space="preserve"> בפרשת שלח לך.</w:t>
      </w:r>
      <w:r>
        <w:rPr>
          <w:rFonts w:hint="cs"/>
          <w:rtl/>
        </w:rPr>
        <w:t xml:space="preserve"> </w:t>
      </w:r>
    </w:p>
  </w:footnote>
  <w:footnote w:id="11">
    <w:p w:rsidR="002C6F9C" w:rsidRDefault="002C6F9C" w:rsidP="0059196F">
      <w:pPr>
        <w:pStyle w:val="a3"/>
        <w:rPr>
          <w:rFonts w:hint="cs"/>
          <w:rtl/>
        </w:rPr>
      </w:pPr>
      <w:r>
        <w:rPr>
          <w:rStyle w:val="a5"/>
        </w:rPr>
        <w:footnoteRef/>
      </w:r>
      <w:r>
        <w:rPr>
          <w:rtl/>
        </w:rPr>
        <w:t xml:space="preserve"> </w:t>
      </w:r>
      <w:r>
        <w:rPr>
          <w:rFonts w:hint="cs"/>
          <w:rtl/>
        </w:rPr>
        <w:t>שמשה התפלל בחטא העגל: "</w:t>
      </w:r>
      <w:r>
        <w:rPr>
          <w:rtl/>
        </w:rPr>
        <w:t>אָנָּא חָטָא הָעָם הַזֶּה חֲטָאָה גְדֹלָה</w:t>
      </w:r>
      <w:r>
        <w:rPr>
          <w:rFonts w:hint="cs"/>
          <w:rtl/>
        </w:rPr>
        <w:t>" (שמות לב לא).</w:t>
      </w:r>
    </w:p>
  </w:footnote>
  <w:footnote w:id="12">
    <w:p w:rsidR="002C6F9C" w:rsidRDefault="002C6F9C" w:rsidP="005E096E">
      <w:pPr>
        <w:pStyle w:val="a3"/>
        <w:rPr>
          <w:rFonts w:hint="cs"/>
        </w:rPr>
      </w:pPr>
      <w:r>
        <w:rPr>
          <w:rStyle w:val="a5"/>
        </w:rPr>
        <w:footnoteRef/>
      </w:r>
      <w:r>
        <w:rPr>
          <w:rtl/>
        </w:rPr>
        <w:t xml:space="preserve"> </w:t>
      </w:r>
      <w:r>
        <w:rPr>
          <w:rFonts w:hint="cs"/>
          <w:rtl/>
        </w:rPr>
        <w:t xml:space="preserve">שהכהן הגדול אומר במקדש ביום הכיפורים בווידוי: "אנא השם" או "אנא בשם", תלוי בסוג הקרבן ובנוסח המשנה מול התוספתא. ולהבדל בין אנא השם בתחילה ואנא בשם בהמשך, לשיטת המשנה, ראה </w:t>
      </w:r>
      <w:r>
        <w:rPr>
          <w:rtl/>
        </w:rPr>
        <w:t>ירושלמי יומא פרק ג</w:t>
      </w:r>
      <w:r>
        <w:rPr>
          <w:rFonts w:hint="cs"/>
          <w:rtl/>
        </w:rPr>
        <w:t xml:space="preserve"> הלכה ז והסבר </w:t>
      </w:r>
      <w:r>
        <w:rPr>
          <w:rtl/>
        </w:rPr>
        <w:t>תורה תמימה הערות ויקרא פרק טז הערה צה</w:t>
      </w:r>
      <w:r>
        <w:rPr>
          <w:rFonts w:hint="cs"/>
          <w:rtl/>
        </w:rPr>
        <w:t xml:space="preserve"> ולא נאריך בנושא זה ששייך ליום הכיפורים אחר כותלנו. העיקר הוא הקריאה בשם ה' כפי שאומר הפסוק שלנו: "כי שם ה' אקרא" ואז אתם: "הבו גודל לאלוהינו" שזה הנושא אליו אנו חותרים.</w:t>
      </w:r>
      <w:r>
        <w:rPr>
          <w:rtl/>
        </w:rPr>
        <w:t xml:space="preserve"> </w:t>
      </w:r>
      <w:r>
        <w:rPr>
          <w:rFonts w:hint="cs"/>
          <w:rtl/>
        </w:rPr>
        <w:t xml:space="preserve"> </w:t>
      </w:r>
    </w:p>
  </w:footnote>
  <w:footnote w:id="13">
    <w:p w:rsidR="002C6F9C" w:rsidRDefault="002C6F9C" w:rsidP="005E096E">
      <w:pPr>
        <w:pStyle w:val="a3"/>
        <w:rPr>
          <w:rFonts w:hint="cs"/>
        </w:rPr>
      </w:pPr>
      <w:r>
        <w:rPr>
          <w:rStyle w:val="a5"/>
        </w:rPr>
        <w:footnoteRef/>
      </w:r>
      <w:r>
        <w:rPr>
          <w:rtl/>
        </w:rPr>
        <w:t xml:space="preserve"> </w:t>
      </w:r>
      <w:r>
        <w:rPr>
          <w:rFonts w:hint="cs"/>
          <w:rtl/>
        </w:rPr>
        <w:t>מניין שהכהן הגדול היה אומר את השם המפורש בווידוי, הן של השעיר והן של הפר?</w:t>
      </w:r>
    </w:p>
  </w:footnote>
  <w:footnote w:id="14">
    <w:p w:rsidR="002C6F9C" w:rsidRDefault="002C6F9C" w:rsidP="002037C9">
      <w:pPr>
        <w:pStyle w:val="a3"/>
        <w:rPr>
          <w:rFonts w:hint="cs"/>
        </w:rPr>
      </w:pPr>
      <w:r>
        <w:rPr>
          <w:rStyle w:val="a5"/>
        </w:rPr>
        <w:footnoteRef/>
      </w:r>
      <w:r>
        <w:rPr>
          <w:rtl/>
        </w:rPr>
        <w:t xml:space="preserve"> </w:t>
      </w:r>
      <w:r>
        <w:rPr>
          <w:rFonts w:hint="cs"/>
          <w:rtl/>
        </w:rPr>
        <w:t>עניין ההשוואה עם עגלה ערופה צריך עיון ולא ירדנו עד סופו. עפ"י הצעתו של שלמה נאה, בעגלה ערופה יש נוסח ווידוי ברור הכולל כפרה ואף פדיון, ככתוב בדברים כא ז-ח : "</w:t>
      </w:r>
      <w:r>
        <w:rPr>
          <w:rtl/>
        </w:rPr>
        <w:t>וְעָנוּ וְאָמְרוּ יָדֵינוּ לֹא שפכה שָׁפְכוּ אֶת הַדָּם הַזֶּה וְעֵינֵינוּ לֹא רָאוּ:</w:t>
      </w:r>
      <w:r>
        <w:rPr>
          <w:rFonts w:hint="cs"/>
          <w:rtl/>
        </w:rPr>
        <w:t xml:space="preserve"> </w:t>
      </w:r>
      <w:r>
        <w:rPr>
          <w:rtl/>
        </w:rPr>
        <w:t xml:space="preserve">כַּפֵּר לְעַמְּךָ יִשְׂרָאֵל אֲשֶׁר פָּדִיתָ </w:t>
      </w:r>
      <w:r>
        <w:rPr>
          <w:rFonts w:hint="cs"/>
          <w:rtl/>
        </w:rPr>
        <w:t>ה' ", ומשום שנוסח זה בלשון הקודש נאמר (סוטה פרק ט משנה א), פשיטא לחז"ל ש"אשר פדית ה' ", הוא השם המפורש (יו"ד ה"א וא"ו ה"א או השם שנזכר בגמרא קידושין דף עא ע"א?). לעומת זאת, בכל סדר עבודת יום הכיפורים בויקרא פרק טז, אין נוסח של ווידוי רק כתוב: "והתוודה עליו" ואין אנו יודעים מה אמר. באים חכמים ומנסחים את נוסח הווידוי של כהן גדול במילים: "אנא השם". את "אנא" לקחו מתפילת משה בהר חורב אחרי מעשה העגל ואילו את הזכרת השם לקחו מעגלה ערופה, כאשר השורש "כ</w:t>
      </w:r>
      <w:r>
        <w:rPr>
          <w:rFonts w:hint="eastAsia"/>
          <w:rtl/>
        </w:rPr>
        <w:t>ִּ</w:t>
      </w:r>
      <w:r>
        <w:rPr>
          <w:rFonts w:hint="cs"/>
          <w:rtl/>
        </w:rPr>
        <w:t>פ</w:t>
      </w:r>
      <w:r>
        <w:rPr>
          <w:rFonts w:hint="eastAsia"/>
          <w:rtl/>
        </w:rPr>
        <w:t>ֵּ</w:t>
      </w:r>
      <w:r>
        <w:rPr>
          <w:rFonts w:hint="cs"/>
          <w:rtl/>
        </w:rPr>
        <w:t>ר" משמש קשר. ומכאן הנוסח: "אנא בשם" או "אנא השם". ובכך גם הדגישו חז"ל את כפרת הדברים מול כפרת הדמים והעמידו את הווידוי (שחסר כאמור בסדר העבודה שבפרשת אחרי מות) במרכז. אך כל זה תשלום מאוחר ליום הכיפורים שאחר כותלנו ואנו רוצים לחזור לפסוק שלנו בפרשת האזינו.</w:t>
      </w:r>
    </w:p>
  </w:footnote>
  <w:footnote w:id="15">
    <w:p w:rsidR="002C6F9C" w:rsidRDefault="002C6F9C" w:rsidP="00FD7784">
      <w:pPr>
        <w:pStyle w:val="a3"/>
        <w:rPr>
          <w:rFonts w:hint="cs"/>
          <w:rtl/>
        </w:rPr>
      </w:pPr>
      <w:r>
        <w:rPr>
          <w:rStyle w:val="a5"/>
        </w:rPr>
        <w:footnoteRef/>
      </w:r>
      <w:r>
        <w:rPr>
          <w:rtl/>
        </w:rPr>
        <w:t xml:space="preserve"> </w:t>
      </w:r>
      <w:r>
        <w:rPr>
          <w:rFonts w:hint="cs"/>
          <w:rtl/>
        </w:rPr>
        <w:t>כאן חוזרת הגמרא למשנה (</w:t>
      </w:r>
      <w:r>
        <w:rPr>
          <w:rtl/>
        </w:rPr>
        <w:t xml:space="preserve">יומא פרק ג </w:t>
      </w:r>
      <w:r>
        <w:rPr>
          <w:rFonts w:hint="cs"/>
          <w:rtl/>
        </w:rPr>
        <w:t>משנה ח) שהיא הבסיס לכל הדיון שלנו: "</w:t>
      </w:r>
      <w:r>
        <w:rPr>
          <w:rtl/>
        </w:rPr>
        <w:t xml:space="preserve">בא לו אצל פרו </w:t>
      </w:r>
      <w:r>
        <w:rPr>
          <w:rFonts w:hint="cs"/>
          <w:rtl/>
        </w:rPr>
        <w:t>...</w:t>
      </w:r>
      <w:r>
        <w:rPr>
          <w:rtl/>
        </w:rPr>
        <w:t xml:space="preserve"> וסומך שתי ידיו עליו ומתודה</w:t>
      </w:r>
      <w:r>
        <w:rPr>
          <w:rFonts w:hint="cs"/>
          <w:rtl/>
        </w:rPr>
        <w:t>.</w:t>
      </w:r>
      <w:r>
        <w:rPr>
          <w:rtl/>
        </w:rPr>
        <w:t xml:space="preserve"> וכך היה אומר</w:t>
      </w:r>
      <w:r>
        <w:rPr>
          <w:rFonts w:hint="cs"/>
          <w:rtl/>
        </w:rPr>
        <w:t>:</w:t>
      </w:r>
      <w:r>
        <w:rPr>
          <w:rtl/>
        </w:rPr>
        <w:t xml:space="preserve"> אנא השם עויתי פשעתי חטאתי לפניך אני וביתי</w:t>
      </w:r>
      <w:r>
        <w:rPr>
          <w:rFonts w:hint="cs"/>
          <w:rtl/>
        </w:rPr>
        <w:t>.</w:t>
      </w:r>
      <w:r>
        <w:rPr>
          <w:rtl/>
        </w:rPr>
        <w:t xml:space="preserve"> אנא השם כפר נא לעונות ולפשעים ולחטאים שעויתי ושפשעתי ושחטאתי לפניך אני וביתי ככתוב בתורת משה עבדך (ויקרא ט"ז) כי ביום הזה יכפר עליכם וגו' [ט] והן עונין אחריו ברוך שם כבוד מלכותו לעולם ועד</w:t>
      </w:r>
      <w:r>
        <w:rPr>
          <w:rFonts w:hint="cs"/>
          <w:rtl/>
        </w:rPr>
        <w:t>". העם היה עונה אחרי הזכרת השם המפורש.</w:t>
      </w:r>
    </w:p>
  </w:footnote>
  <w:footnote w:id="16">
    <w:p w:rsidR="002C6F9C" w:rsidRDefault="002C6F9C" w:rsidP="00A92B69">
      <w:pPr>
        <w:pStyle w:val="a3"/>
        <w:rPr>
          <w:rFonts w:hint="cs"/>
          <w:rtl/>
        </w:rPr>
      </w:pPr>
      <w:r>
        <w:rPr>
          <w:rStyle w:val="a5"/>
        </w:rPr>
        <w:footnoteRef/>
      </w:r>
      <w:r>
        <w:rPr>
          <w:rtl/>
        </w:rPr>
        <w:t xml:space="preserve"> </w:t>
      </w:r>
      <w:r>
        <w:rPr>
          <w:rFonts w:hint="cs"/>
          <w:rtl/>
        </w:rPr>
        <w:t>לנקודה זו חתרנו וסליחה אם נסחפנו והארכנו בקטע הקודם, כנראה בהשפעת יום הכיפורים אחר כותלנו. למשמע השם המפורש אפשר היה לחשוב שהעם יישאר בדומיה, כפסוק: "</w:t>
      </w:r>
      <w:r>
        <w:rPr>
          <w:rtl/>
        </w:rPr>
        <w:t>לְךָ דֻמִיָּה תְהִלָּה אֱלֹהִים</w:t>
      </w:r>
      <w:r>
        <w:rPr>
          <w:rFonts w:hint="cs"/>
          <w:rtl/>
        </w:rPr>
        <w:t xml:space="preserve"> וכו' " (</w:t>
      </w:r>
      <w:r>
        <w:rPr>
          <w:rtl/>
        </w:rPr>
        <w:t>תהלים סה</w:t>
      </w:r>
      <w:r>
        <w:rPr>
          <w:rFonts w:hint="cs"/>
          <w:rtl/>
        </w:rPr>
        <w:t xml:space="preserve"> ב).</w:t>
      </w:r>
      <w:r>
        <w:rPr>
          <w:rtl/>
        </w:rPr>
        <w:t xml:space="preserve"> </w:t>
      </w:r>
      <w:r>
        <w:rPr>
          <w:rFonts w:hint="cs"/>
          <w:rtl/>
        </w:rPr>
        <w:t>ולא היא: מי ששומע את השם המפורש, גם שם אדנות בימינו, עונה ומגיב ולא נשאל באלם. "כי שם ה' אקרא" אומר משה. אתם אל תישאר</w:t>
      </w:r>
      <w:r>
        <w:rPr>
          <w:rFonts w:hint="eastAsia"/>
          <w:rtl/>
        </w:rPr>
        <w:t>ו</w:t>
      </w:r>
      <w:r>
        <w:rPr>
          <w:rFonts w:hint="cs"/>
          <w:rtl/>
        </w:rPr>
        <w:t xml:space="preserve"> דוממים, אלא "הבו גודל לאלהינו". כאן זה במילים: "ברוך שם כבוד מלכותו לעולם ועד", שהוא מטבע שטבעו חכמים, ובמקומות אחרים, לשון אחרת. </w:t>
      </w:r>
    </w:p>
  </w:footnote>
  <w:footnote w:id="17">
    <w:p w:rsidR="002C6F9C" w:rsidRDefault="002C6F9C" w:rsidP="00A92B69">
      <w:pPr>
        <w:pStyle w:val="a3"/>
        <w:rPr>
          <w:rFonts w:hint="cs"/>
        </w:rPr>
      </w:pPr>
      <w:r>
        <w:rPr>
          <w:rStyle w:val="a5"/>
        </w:rPr>
        <w:footnoteRef/>
      </w:r>
      <w:r>
        <w:rPr>
          <w:rtl/>
        </w:rPr>
        <w:t xml:space="preserve"> </w:t>
      </w:r>
      <w:r>
        <w:rPr>
          <w:rFonts w:hint="cs"/>
          <w:rtl/>
        </w:rPr>
        <w:t>זה אולי נושא אחר, אבל מצביע שגם את הפסוק : "זכר צדיק לברכה", צריך לקרוא באופן שכשמישהו מזכיר אדם צדיק, השומע (הקהל) צריך לומר: "לברכה", כמו שאומרים "לחיים" או "ברשות שמים" וכו'. ולא ראיתי מי שנוהג כך.</w:t>
      </w:r>
    </w:p>
  </w:footnote>
  <w:footnote w:id="18">
    <w:p w:rsidR="002C6F9C" w:rsidRDefault="002C6F9C" w:rsidP="00F905C9">
      <w:pPr>
        <w:pStyle w:val="a3"/>
        <w:rPr>
          <w:rFonts w:hint="cs"/>
        </w:rPr>
      </w:pPr>
      <w:r>
        <w:rPr>
          <w:rStyle w:val="a5"/>
        </w:rPr>
        <w:footnoteRef/>
      </w:r>
      <w:r>
        <w:rPr>
          <w:rtl/>
        </w:rPr>
        <w:t xml:space="preserve"> </w:t>
      </w:r>
      <w:r>
        <w:rPr>
          <w:rFonts w:hint="cs"/>
          <w:rtl/>
        </w:rPr>
        <w:t>אחרי עשרים ואחת מילים מתחילת השירה. ומ</w:t>
      </w:r>
      <w:r>
        <w:rPr>
          <w:rtl/>
        </w:rPr>
        <w:t xml:space="preserve">דרש תנאים לדברים לב </w:t>
      </w:r>
      <w:r>
        <w:rPr>
          <w:rFonts w:hint="cs"/>
          <w:rtl/>
        </w:rPr>
        <w:t>ג גם מונה את מספר האותיות: "</w:t>
      </w:r>
      <w:r>
        <w:rPr>
          <w:rtl/>
        </w:rPr>
        <w:t>כי שם ה' אקרא</w:t>
      </w:r>
      <w:r>
        <w:rPr>
          <w:rFonts w:hint="cs"/>
          <w:rtl/>
        </w:rPr>
        <w:t>,</w:t>
      </w:r>
      <w:r>
        <w:rPr>
          <w:rtl/>
        </w:rPr>
        <w:t xml:space="preserve"> מלמד שלא רצה משה להזכיר שמו שלהקב"ה אלא לאחר עשרים ואחד דבר שהן שמונים וחמש אותיות</w:t>
      </w:r>
      <w:r>
        <w:rPr>
          <w:rFonts w:hint="cs"/>
          <w:rtl/>
        </w:rPr>
        <w:t xml:space="preserve">". </w:t>
      </w:r>
      <w:r>
        <w:rPr>
          <w:rtl/>
        </w:rPr>
        <w:t xml:space="preserve"> </w:t>
      </w:r>
    </w:p>
  </w:footnote>
  <w:footnote w:id="19">
    <w:p w:rsidR="002C6F9C" w:rsidRDefault="002C6F9C" w:rsidP="0010776F">
      <w:pPr>
        <w:pStyle w:val="a3"/>
        <w:rPr>
          <w:rFonts w:hint="cs"/>
        </w:rPr>
      </w:pPr>
      <w:r>
        <w:rPr>
          <w:rStyle w:val="a5"/>
        </w:rPr>
        <w:footnoteRef/>
      </w:r>
      <w:r>
        <w:rPr>
          <w:rtl/>
        </w:rPr>
        <w:t xml:space="preserve"> </w:t>
      </w:r>
      <w:r>
        <w:rPr>
          <w:rFonts w:hint="cs"/>
          <w:rtl/>
        </w:rPr>
        <w:t>שלוש כפול שבע הם עשרים ואחד.</w:t>
      </w:r>
      <w:r w:rsidRPr="00F905C9">
        <w:rPr>
          <w:rFonts w:hint="cs"/>
          <w:rtl/>
        </w:rPr>
        <w:t xml:space="preserve"> </w:t>
      </w:r>
      <w:r>
        <w:rPr>
          <w:rFonts w:hint="cs"/>
          <w:rtl/>
        </w:rPr>
        <w:t>ראה פירוש פינקלשטיין לספרי שמביא בשם ספר חסידים שבגלל מדרש זה, לפי מנהג אשכנז, יש בקדושה של שחרית מ"נקדש את שמך בעולם" עד שם ה' בקדוש, קדוש, קדוש, עשרים ואחת אותיות. ובקדושה של מוסף מ"נעריצך ונקדישך" עד שם ה' בקדוש, קדוש, קדוש, גם כ"א מילים ופ"ה אותיות. השארנו ל</w:t>
      </w:r>
      <w:r w:rsidR="0010776F">
        <w:rPr>
          <w:rFonts w:hint="cs"/>
          <w:rtl/>
        </w:rPr>
        <w:t>דול</w:t>
      </w:r>
      <w:r>
        <w:rPr>
          <w:rFonts w:hint="cs"/>
          <w:rtl/>
        </w:rPr>
        <w:t>י המים לבדוק זאת.</w:t>
      </w:r>
    </w:p>
  </w:footnote>
  <w:footnote w:id="20">
    <w:p w:rsidR="002C6F9C" w:rsidRDefault="002C6F9C" w:rsidP="00F67BA1">
      <w:pPr>
        <w:pStyle w:val="a3"/>
        <w:rPr>
          <w:rFonts w:hint="cs"/>
        </w:rPr>
      </w:pPr>
      <w:r>
        <w:rPr>
          <w:rStyle w:val="a5"/>
        </w:rPr>
        <w:footnoteRef/>
      </w:r>
      <w:r>
        <w:rPr>
          <w:rtl/>
        </w:rPr>
        <w:t xml:space="preserve"> </w:t>
      </w:r>
      <w:r>
        <w:rPr>
          <w:rFonts w:hint="cs"/>
          <w:rtl/>
        </w:rPr>
        <w:t xml:space="preserve">לשון שבועה. ראה </w:t>
      </w:r>
      <w:r>
        <w:rPr>
          <w:rtl/>
        </w:rPr>
        <w:t xml:space="preserve">משנה </w:t>
      </w:r>
      <w:r>
        <w:rPr>
          <w:rFonts w:hint="cs"/>
          <w:rtl/>
        </w:rPr>
        <w:t xml:space="preserve">סוף </w:t>
      </w:r>
      <w:r>
        <w:rPr>
          <w:rtl/>
        </w:rPr>
        <w:t>מסכת נדרים</w:t>
      </w:r>
      <w:r>
        <w:rPr>
          <w:rFonts w:hint="cs"/>
          <w:rtl/>
        </w:rPr>
        <w:t>: "</w:t>
      </w:r>
      <w:r>
        <w:rPr>
          <w:rtl/>
        </w:rPr>
        <w:t>שמים ביני לבינך</w:t>
      </w:r>
      <w:r>
        <w:rPr>
          <w:rFonts w:hint="cs"/>
          <w:rtl/>
        </w:rPr>
        <w:t xml:space="preserve">", </w:t>
      </w:r>
      <w:r>
        <w:rPr>
          <w:rtl/>
        </w:rPr>
        <w:t>אבות דרבי נתן נוסח א פרק לח</w:t>
      </w:r>
      <w:r>
        <w:rPr>
          <w:rFonts w:hint="cs"/>
          <w:rtl/>
        </w:rPr>
        <w:t>: "</w:t>
      </w:r>
      <w:r>
        <w:rPr>
          <w:rtl/>
        </w:rPr>
        <w:t xml:space="preserve"> אמר לו</w:t>
      </w:r>
      <w:r>
        <w:rPr>
          <w:rFonts w:hint="cs"/>
          <w:rtl/>
        </w:rPr>
        <w:t>:</w:t>
      </w:r>
      <w:r>
        <w:rPr>
          <w:rtl/>
        </w:rPr>
        <w:t xml:space="preserve"> השמים אם עשיתי כן</w:t>
      </w:r>
      <w:r>
        <w:rPr>
          <w:rFonts w:hint="cs"/>
          <w:rtl/>
        </w:rPr>
        <w:t xml:space="preserve">". </w:t>
      </w:r>
      <w:r w:rsidRPr="00F67BA1">
        <w:rPr>
          <w:rtl/>
        </w:rPr>
        <w:t>מסכת תענית יח ע</w:t>
      </w:r>
      <w:r>
        <w:rPr>
          <w:rFonts w:hint="cs"/>
          <w:rtl/>
        </w:rPr>
        <w:t>"א: "</w:t>
      </w:r>
      <w:r w:rsidRPr="00F67BA1">
        <w:rPr>
          <w:rtl/>
        </w:rPr>
        <w:t>אמרו: אי שמים! לא אחים אנחנו, לא בני אב אחד אנחנו, לא בני אם אחת אנחנו?</w:t>
      </w:r>
      <w:r>
        <w:rPr>
          <w:rFonts w:hint="cs"/>
          <w:rtl/>
        </w:rPr>
        <w:t>"</w:t>
      </w:r>
      <w:r w:rsidRPr="00F67BA1">
        <w:rPr>
          <w:rtl/>
        </w:rPr>
        <w:t xml:space="preserve"> </w:t>
      </w:r>
      <w:r>
        <w:rPr>
          <w:rFonts w:hint="cs"/>
          <w:rtl/>
        </w:rPr>
        <w:t>וב</w:t>
      </w:r>
      <w:r>
        <w:rPr>
          <w:rtl/>
        </w:rPr>
        <w:t xml:space="preserve">קהלת רבה א </w:t>
      </w:r>
      <w:r>
        <w:rPr>
          <w:rFonts w:hint="cs"/>
          <w:rtl/>
        </w:rPr>
        <w:t>ג: "</w:t>
      </w:r>
      <w:r>
        <w:rPr>
          <w:rtl/>
        </w:rPr>
        <w:t>אמר לו</w:t>
      </w:r>
      <w:r>
        <w:rPr>
          <w:rFonts w:hint="cs"/>
          <w:rtl/>
        </w:rPr>
        <w:t>:</w:t>
      </w:r>
      <w:r>
        <w:rPr>
          <w:rtl/>
        </w:rPr>
        <w:t xml:space="preserve"> הן השמים</w:t>
      </w:r>
      <w:r>
        <w:rPr>
          <w:rFonts w:hint="cs"/>
          <w:rtl/>
        </w:rPr>
        <w:t xml:space="preserve"> הזכרתני וכו' ", שהוא כמו: אני מעיד עלי שמים וארץ, וזה בדיוק מה שמשה עושה בפרשת האזינו. ראה מדרש </w:t>
      </w:r>
      <w:r>
        <w:rPr>
          <w:rtl/>
        </w:rPr>
        <w:t xml:space="preserve">ספרי </w:t>
      </w:r>
      <w:r>
        <w:rPr>
          <w:rFonts w:hint="cs"/>
          <w:rtl/>
        </w:rPr>
        <w:t>סימן שו בו אנו עומדים: "</w:t>
      </w:r>
      <w:r>
        <w:rPr>
          <w:rtl/>
        </w:rPr>
        <w:t>משה העיד בהם בישראל שני עדים שהם קיימים לעולם ולעולמי עולמים</w:t>
      </w:r>
      <w:r>
        <w:rPr>
          <w:rFonts w:hint="cs"/>
          <w:rtl/>
        </w:rPr>
        <w:t>,</w:t>
      </w:r>
      <w:r>
        <w:rPr>
          <w:rtl/>
        </w:rPr>
        <w:t xml:space="preserve"> שנאמר</w:t>
      </w:r>
      <w:r>
        <w:rPr>
          <w:rFonts w:hint="cs"/>
          <w:rtl/>
        </w:rPr>
        <w:t xml:space="preserve">: </w:t>
      </w:r>
      <w:r>
        <w:rPr>
          <w:rtl/>
        </w:rPr>
        <w:t>העידותי בכם היום את השמים ואת הארץ</w:t>
      </w:r>
      <w:r>
        <w:rPr>
          <w:rFonts w:hint="cs"/>
          <w:rtl/>
        </w:rPr>
        <w:t xml:space="preserve"> (</w:t>
      </w:r>
      <w:r>
        <w:rPr>
          <w:rtl/>
        </w:rPr>
        <w:t>דברים ל יט</w:t>
      </w:r>
      <w:r>
        <w:rPr>
          <w:rFonts w:hint="cs"/>
          <w:rtl/>
        </w:rPr>
        <w:t xml:space="preserve">)". </w:t>
      </w:r>
    </w:p>
  </w:footnote>
  <w:footnote w:id="21">
    <w:p w:rsidR="002C6F9C" w:rsidRDefault="002C6F9C" w:rsidP="00947A2F">
      <w:pPr>
        <w:pStyle w:val="a3"/>
        <w:rPr>
          <w:rFonts w:hint="cs"/>
          <w:rtl/>
        </w:rPr>
      </w:pPr>
      <w:r>
        <w:rPr>
          <w:rStyle w:val="a5"/>
        </w:rPr>
        <w:footnoteRef/>
      </w:r>
      <w:r>
        <w:rPr>
          <w:rtl/>
        </w:rPr>
        <w:t xml:space="preserve"> </w:t>
      </w:r>
      <w:r>
        <w:rPr>
          <w:rFonts w:hint="cs"/>
          <w:rtl/>
        </w:rPr>
        <w:t>ראה מאמר זה גם בגמרא ברכות נג ע"ב, בדיון מי יותר חשוב המברך או העונה אמן: "</w:t>
      </w:r>
      <w:r>
        <w:rPr>
          <w:rtl/>
        </w:rPr>
        <w:t>רבי יוסי אומר: גדול העונה אמן יותר מן המברך! אמר ליה רבי נהוראי: השמים! כן הוא; תדע, שהרי גוליירין יורדין ומתגרין [במלחמה] וגבורים יורדין ומנצחין</w:t>
      </w:r>
      <w:r>
        <w:rPr>
          <w:rFonts w:hint="cs"/>
          <w:rtl/>
        </w:rPr>
        <w:t>"</w:t>
      </w:r>
      <w:r>
        <w:rPr>
          <w:rtl/>
        </w:rPr>
        <w:t>.</w:t>
      </w:r>
      <w:r>
        <w:rPr>
          <w:rFonts w:hint="cs"/>
          <w:rtl/>
        </w:rPr>
        <w:t xml:space="preserve"> הגלדיאטורים היו עושים את תחילת המלחמה (וסופגים את המכות הקשות) ואח"כ היו באים החיילים "הגיבורים" וקוטפים את פירות הניצחון. כך, מי שעונה אמן, זוכה ליותר מאשר המברך.</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F9C" w:rsidRPr="00496FF0" w:rsidRDefault="002C6F9C" w:rsidP="00C0170B">
    <w:pPr>
      <w:pStyle w:val="1"/>
      <w:tabs>
        <w:tab w:val="clear" w:pos="9469"/>
        <w:tab w:val="right" w:pos="9185"/>
      </w:tabs>
      <w:rPr>
        <w:rFonts w:hint="cs"/>
        <w:rtl/>
      </w:rPr>
    </w:pPr>
    <w:r>
      <w:rPr>
        <w:rFonts w:hint="cs"/>
        <w:rtl/>
      </w:rPr>
      <w:t>פרשת</w:t>
    </w:r>
    <w:r>
      <w:rPr>
        <w:rFonts w:hint="cs"/>
        <w:rtl/>
        <w:lang w:eastAsia="en-US"/>
      </w:rPr>
      <w:t xml:space="preserve"> האזינו</w:t>
    </w:r>
    <w:r>
      <w:rPr>
        <w:rtl/>
        <w:lang w:eastAsia="en-US"/>
      </w:rPr>
      <w:tab/>
    </w:r>
    <w:r>
      <w:rPr>
        <w:rFonts w:hint="cs"/>
        <w:rtl/>
        <w:lang w:eastAsia="en-US"/>
      </w:rPr>
      <w:t>תשע"ג</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6F9C" w:rsidRDefault="002C6F9C">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Pr>
        <w:szCs w:val="22"/>
        <w:rtl/>
        <w:lang w:eastAsia="en-US"/>
      </w:rPr>
      <w:t>פרשת האזינו</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6F2A18">
      <w:rPr>
        <w:noProof/>
        <w:szCs w:val="22"/>
        <w:rtl/>
        <w:lang w:eastAsia="en-US"/>
      </w:rPr>
      <w:t>‏תשע"ו</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7063"/>
    <w:rsid w:val="00064732"/>
    <w:rsid w:val="00084F82"/>
    <w:rsid w:val="000A48C2"/>
    <w:rsid w:val="000A7CBE"/>
    <w:rsid w:val="000C6BA2"/>
    <w:rsid w:val="000D5CDD"/>
    <w:rsid w:val="0010776F"/>
    <w:rsid w:val="00121028"/>
    <w:rsid w:val="001501B4"/>
    <w:rsid w:val="00150A21"/>
    <w:rsid w:val="0016323F"/>
    <w:rsid w:val="001971A7"/>
    <w:rsid w:val="001A6815"/>
    <w:rsid w:val="002037C9"/>
    <w:rsid w:val="00206077"/>
    <w:rsid w:val="00215280"/>
    <w:rsid w:val="00247293"/>
    <w:rsid w:val="002A3FD4"/>
    <w:rsid w:val="002B130D"/>
    <w:rsid w:val="002C6F9C"/>
    <w:rsid w:val="002F0FDC"/>
    <w:rsid w:val="00312C97"/>
    <w:rsid w:val="00335AC0"/>
    <w:rsid w:val="0033766B"/>
    <w:rsid w:val="003403B6"/>
    <w:rsid w:val="0034061D"/>
    <w:rsid w:val="00375C07"/>
    <w:rsid w:val="00395763"/>
    <w:rsid w:val="0042181B"/>
    <w:rsid w:val="00427F33"/>
    <w:rsid w:val="0049419A"/>
    <w:rsid w:val="00496FF0"/>
    <w:rsid w:val="004E0E8A"/>
    <w:rsid w:val="004E5172"/>
    <w:rsid w:val="005454BC"/>
    <w:rsid w:val="005556F6"/>
    <w:rsid w:val="0056017E"/>
    <w:rsid w:val="0059196F"/>
    <w:rsid w:val="0059342E"/>
    <w:rsid w:val="005D2829"/>
    <w:rsid w:val="005E096E"/>
    <w:rsid w:val="006226AF"/>
    <w:rsid w:val="0067244A"/>
    <w:rsid w:val="006C47B4"/>
    <w:rsid w:val="006D5FD6"/>
    <w:rsid w:val="006F2A18"/>
    <w:rsid w:val="00703433"/>
    <w:rsid w:val="007106A7"/>
    <w:rsid w:val="00724B24"/>
    <w:rsid w:val="0077427E"/>
    <w:rsid w:val="00787063"/>
    <w:rsid w:val="00796874"/>
    <w:rsid w:val="007E5F57"/>
    <w:rsid w:val="007F199A"/>
    <w:rsid w:val="00824805"/>
    <w:rsid w:val="00825BC1"/>
    <w:rsid w:val="00834662"/>
    <w:rsid w:val="00880C68"/>
    <w:rsid w:val="00887CBD"/>
    <w:rsid w:val="008B4678"/>
    <w:rsid w:val="008B4C39"/>
    <w:rsid w:val="008C7189"/>
    <w:rsid w:val="008D495F"/>
    <w:rsid w:val="008E1124"/>
    <w:rsid w:val="008F3667"/>
    <w:rsid w:val="0091005F"/>
    <w:rsid w:val="00926F6E"/>
    <w:rsid w:val="00935141"/>
    <w:rsid w:val="00944DD3"/>
    <w:rsid w:val="00946E32"/>
    <w:rsid w:val="00947A2F"/>
    <w:rsid w:val="00985BAC"/>
    <w:rsid w:val="009938DE"/>
    <w:rsid w:val="009A1BA5"/>
    <w:rsid w:val="009D10DC"/>
    <w:rsid w:val="00A43AFB"/>
    <w:rsid w:val="00A92B69"/>
    <w:rsid w:val="00AA32A6"/>
    <w:rsid w:val="00AE1F6A"/>
    <w:rsid w:val="00AE5C52"/>
    <w:rsid w:val="00AF3832"/>
    <w:rsid w:val="00B10FFD"/>
    <w:rsid w:val="00B17975"/>
    <w:rsid w:val="00B32572"/>
    <w:rsid w:val="00B3311A"/>
    <w:rsid w:val="00B560A1"/>
    <w:rsid w:val="00B61664"/>
    <w:rsid w:val="00B76B67"/>
    <w:rsid w:val="00BB2DC0"/>
    <w:rsid w:val="00BB6277"/>
    <w:rsid w:val="00BD22CC"/>
    <w:rsid w:val="00BD3020"/>
    <w:rsid w:val="00C0170B"/>
    <w:rsid w:val="00C06358"/>
    <w:rsid w:val="00C2164C"/>
    <w:rsid w:val="00C42C10"/>
    <w:rsid w:val="00C90222"/>
    <w:rsid w:val="00CA0333"/>
    <w:rsid w:val="00CD00F7"/>
    <w:rsid w:val="00CD4978"/>
    <w:rsid w:val="00D01777"/>
    <w:rsid w:val="00D058D6"/>
    <w:rsid w:val="00D13F30"/>
    <w:rsid w:val="00D36C31"/>
    <w:rsid w:val="00D45617"/>
    <w:rsid w:val="00D6003A"/>
    <w:rsid w:val="00DA1437"/>
    <w:rsid w:val="00DC34FC"/>
    <w:rsid w:val="00DC4CB3"/>
    <w:rsid w:val="00DC5ECE"/>
    <w:rsid w:val="00DD79CD"/>
    <w:rsid w:val="00E03B90"/>
    <w:rsid w:val="00E71A94"/>
    <w:rsid w:val="00E72DC9"/>
    <w:rsid w:val="00E81F8B"/>
    <w:rsid w:val="00E93656"/>
    <w:rsid w:val="00EC16AC"/>
    <w:rsid w:val="00F217B4"/>
    <w:rsid w:val="00F27A30"/>
    <w:rsid w:val="00F523CF"/>
    <w:rsid w:val="00F67BA1"/>
    <w:rsid w:val="00F807BE"/>
    <w:rsid w:val="00F844B6"/>
    <w:rsid w:val="00F84E99"/>
    <w:rsid w:val="00F905C9"/>
    <w:rsid w:val="00F940B3"/>
    <w:rsid w:val="00FD7784"/>
    <w:rsid w:val="00FE495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47BDEEFD-C98B-4366-9BFE-26159B276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A18"/>
    <w:pPr>
      <w:bidi/>
    </w:pPr>
    <w:rPr>
      <w:rFonts w:cs="Narkisim"/>
      <w:sz w:val="22"/>
      <w:szCs w:val="22"/>
      <w:lang w:eastAsia="he-IL"/>
    </w:rPr>
  </w:style>
  <w:style w:type="paragraph" w:styleId="1">
    <w:name w:val="heading 1"/>
    <w:basedOn w:val="a"/>
    <w:next w:val="a"/>
    <w:link w:val="10"/>
    <w:qFormat/>
    <w:rsid w:val="006F2A18"/>
    <w:pPr>
      <w:keepNext/>
      <w:tabs>
        <w:tab w:val="right" w:pos="9469"/>
      </w:tabs>
      <w:jc w:val="both"/>
      <w:outlineLvl w:val="0"/>
    </w:pPr>
    <w:rPr>
      <w:rFonts w:cs="David"/>
      <w:b/>
      <w:bCs/>
      <w:szCs w:val="28"/>
    </w:rPr>
  </w:style>
  <w:style w:type="character" w:default="1" w:styleId="a0">
    <w:name w:val="Default Paragraph Font"/>
    <w:uiPriority w:val="1"/>
    <w:semiHidden/>
    <w:unhideWhenUsed/>
    <w:rsid w:val="006F2A18"/>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6F2A18"/>
  </w:style>
  <w:style w:type="paragraph" w:styleId="a3">
    <w:name w:val="footnote text"/>
    <w:basedOn w:val="a"/>
    <w:link w:val="a4"/>
    <w:rsid w:val="006F2A18"/>
    <w:pPr>
      <w:ind w:left="170" w:hanging="170"/>
      <w:jc w:val="both"/>
    </w:pPr>
    <w:rPr>
      <w:sz w:val="20"/>
      <w:szCs w:val="20"/>
    </w:rPr>
  </w:style>
  <w:style w:type="character" w:styleId="a5">
    <w:name w:val="footnote reference"/>
    <w:semiHidden/>
    <w:rsid w:val="006F2A18"/>
    <w:rPr>
      <w:vertAlign w:val="superscript"/>
    </w:rPr>
  </w:style>
  <w:style w:type="paragraph" w:styleId="a6">
    <w:name w:val="header"/>
    <w:basedOn w:val="a"/>
    <w:link w:val="a7"/>
    <w:rsid w:val="006F2A18"/>
    <w:pPr>
      <w:tabs>
        <w:tab w:val="center" w:pos="4153"/>
        <w:tab w:val="right" w:pos="8306"/>
      </w:tabs>
    </w:pPr>
  </w:style>
  <w:style w:type="paragraph" w:styleId="a8">
    <w:name w:val="footer"/>
    <w:basedOn w:val="a"/>
    <w:link w:val="a9"/>
    <w:rsid w:val="006F2A18"/>
    <w:pPr>
      <w:tabs>
        <w:tab w:val="center" w:pos="4153"/>
        <w:tab w:val="right" w:pos="8306"/>
      </w:tabs>
    </w:pPr>
  </w:style>
  <w:style w:type="paragraph" w:customStyle="1" w:styleId="aa">
    <w:name w:val="כותרת"/>
    <w:basedOn w:val="a"/>
    <w:rsid w:val="006F2A18"/>
    <w:pPr>
      <w:spacing w:before="240" w:line="320" w:lineRule="atLeast"/>
      <w:jc w:val="center"/>
    </w:pPr>
    <w:rPr>
      <w:rFonts w:cs="David"/>
      <w:b/>
      <w:bCs/>
      <w:spacing w:val="20"/>
      <w:szCs w:val="32"/>
    </w:rPr>
  </w:style>
  <w:style w:type="paragraph" w:customStyle="1" w:styleId="ab">
    <w:name w:val="כותרת קטע"/>
    <w:basedOn w:val="a"/>
    <w:rsid w:val="006F2A18"/>
    <w:pPr>
      <w:spacing w:before="240" w:line="300" w:lineRule="atLeast"/>
    </w:pPr>
    <w:rPr>
      <w:rFonts w:cs="Arial"/>
      <w:b/>
      <w:bCs/>
      <w:szCs w:val="24"/>
    </w:rPr>
  </w:style>
  <w:style w:type="paragraph" w:customStyle="1" w:styleId="ac">
    <w:name w:val="מקור"/>
    <w:basedOn w:val="a"/>
    <w:rsid w:val="006F2A18"/>
    <w:pPr>
      <w:spacing w:line="320" w:lineRule="atLeast"/>
      <w:jc w:val="both"/>
    </w:pPr>
    <w:rPr>
      <w:rFonts w:cs="David"/>
      <w:szCs w:val="24"/>
    </w:rPr>
  </w:style>
  <w:style w:type="paragraph" w:customStyle="1" w:styleId="ad">
    <w:name w:val="מחלקי המים"/>
    <w:basedOn w:val="a"/>
    <w:rsid w:val="006F2A18"/>
    <w:pPr>
      <w:spacing w:line="320" w:lineRule="atLeast"/>
      <w:jc w:val="both"/>
    </w:pPr>
    <w:rPr>
      <w:b/>
      <w:bCs/>
      <w:szCs w:val="24"/>
    </w:rPr>
  </w:style>
  <w:style w:type="paragraph" w:styleId="ae">
    <w:name w:val="Body Text"/>
    <w:basedOn w:val="a"/>
    <w:pPr>
      <w:spacing w:line="320" w:lineRule="atLeast"/>
    </w:pPr>
    <w:rPr>
      <w:rFonts w:cs="David"/>
      <w:szCs w:val="24"/>
    </w:rPr>
  </w:style>
  <w:style w:type="character" w:styleId="Hyperlink">
    <w:name w:val="Hyperlink"/>
    <w:rsid w:val="006F2A18"/>
    <w:rPr>
      <w:color w:val="0000FF"/>
      <w:u w:val="single"/>
    </w:rPr>
  </w:style>
  <w:style w:type="character" w:styleId="FollowedHyperlink">
    <w:name w:val="FollowedHyperlink"/>
    <w:rsid w:val="0067244A"/>
    <w:rPr>
      <w:color w:val="800080"/>
      <w:u w:val="single"/>
    </w:rPr>
  </w:style>
  <w:style w:type="character" w:styleId="af">
    <w:name w:val="page number"/>
    <w:basedOn w:val="a0"/>
    <w:rsid w:val="0042181B"/>
  </w:style>
  <w:style w:type="character" w:customStyle="1" w:styleId="a4">
    <w:name w:val="טקסט הערת שוליים תו"/>
    <w:link w:val="a3"/>
    <w:rsid w:val="006F2A18"/>
    <w:rPr>
      <w:rFonts w:cs="Narkisim"/>
      <w:lang w:eastAsia="he-IL"/>
    </w:rPr>
  </w:style>
  <w:style w:type="character" w:customStyle="1" w:styleId="10">
    <w:name w:val="כותרת 1 תו"/>
    <w:link w:val="1"/>
    <w:rsid w:val="006F2A18"/>
    <w:rPr>
      <w:rFonts w:cs="David"/>
      <w:b/>
      <w:bCs/>
      <w:sz w:val="22"/>
      <w:szCs w:val="28"/>
      <w:lang w:eastAsia="he-IL"/>
    </w:rPr>
  </w:style>
  <w:style w:type="character" w:customStyle="1" w:styleId="a7">
    <w:name w:val="כותרת עליונה תו"/>
    <w:link w:val="a6"/>
    <w:rsid w:val="006F2A18"/>
    <w:rPr>
      <w:rFonts w:cs="Narkisim"/>
      <w:sz w:val="22"/>
      <w:szCs w:val="22"/>
      <w:lang w:eastAsia="he-IL"/>
    </w:rPr>
  </w:style>
  <w:style w:type="character" w:customStyle="1" w:styleId="a9">
    <w:name w:val="כותרת תחתונה תו"/>
    <w:link w:val="a8"/>
    <w:rsid w:val="006F2A18"/>
    <w:rPr>
      <w:rFonts w:cs="Narkisim"/>
      <w:sz w:val="22"/>
      <w:szCs w:val="22"/>
      <w:lang w:eastAsia="he-IL"/>
    </w:rPr>
  </w:style>
  <w:style w:type="paragraph" w:styleId="af0">
    <w:name w:val="Balloon Text"/>
    <w:basedOn w:val="a"/>
    <w:link w:val="af1"/>
    <w:uiPriority w:val="99"/>
    <w:unhideWhenUsed/>
    <w:rsid w:val="006F2A18"/>
    <w:rPr>
      <w:rFonts w:ascii="Tahoma" w:hAnsi="Tahoma" w:cs="Tahoma"/>
      <w:sz w:val="16"/>
      <w:szCs w:val="16"/>
    </w:rPr>
  </w:style>
  <w:style w:type="character" w:customStyle="1" w:styleId="af1">
    <w:name w:val="טקסט בלונים תו"/>
    <w:link w:val="af0"/>
    <w:uiPriority w:val="99"/>
    <w:rsid w:val="006F2A18"/>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6070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1%D7%9C%D7%97%D7%AA%D7%99-%D7%9B%D7%93%D7%91%D7%A8%D7%9A-%D7%95%D7%90%D7%95%D7%9C%D7%9D" TargetMode="External"/><Relationship Id="rId2" Type="http://schemas.openxmlformats.org/officeDocument/2006/relationships/hyperlink" Target="http://www.mayim.org.il/?parasha=%D7%91%D7%A8%D7%9B%D7%AA-%D7%94%D7%9E%D7%96%D7%95%D7%9F1" TargetMode="External"/><Relationship Id="rId1" Type="http://schemas.openxmlformats.org/officeDocument/2006/relationships/hyperlink" Target="http://www.mayim.org.il/?parasha=%D7%95%D7%90%D7%9B%D7%9C%D7%AA-%D7%95%D7%A9%D7%91%D7%A2%D7%AA"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01F6F7-7A4D-40DE-89F9-B24CA38E3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3</Pages>
  <Words>530</Words>
  <Characters>2655</Characters>
  <Application>Microsoft Office Word</Application>
  <DocSecurity>4</DocSecurity>
  <Lines>22</Lines>
  <Paragraphs>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כמטר לקחי, כטל אמרתי</vt:lpstr>
      <vt:lpstr>כמטר לקחי, כטל אמרתי</vt:lpstr>
    </vt:vector>
  </TitlesOfParts>
  <Company>Microsoft</Company>
  <LinksUpToDate>false</LinksUpToDate>
  <CharactersWithSpaces>3179</CharactersWithSpaces>
  <SharedDoc>false</SharedDoc>
  <HLinks>
    <vt:vector size="18" baseType="variant">
      <vt:variant>
        <vt:i4>5832732</vt:i4>
      </vt:variant>
      <vt:variant>
        <vt:i4>6</vt:i4>
      </vt:variant>
      <vt:variant>
        <vt:i4>0</vt:i4>
      </vt:variant>
      <vt:variant>
        <vt:i4>5</vt:i4>
      </vt:variant>
      <vt:variant>
        <vt:lpwstr>http://www.mayim.org.il/?parasha=%D7%A1%D7%9C%D7%97%D7%AA%D7%99-%D7%9B%D7%93%D7%91%D7%A8%D7%9A-%D7%95%D7%90%D7%95%D7%9C%D7%9D</vt:lpwstr>
      </vt:variant>
      <vt:variant>
        <vt:lpwstr/>
      </vt:variant>
      <vt:variant>
        <vt:i4>5505037</vt:i4>
      </vt:variant>
      <vt:variant>
        <vt:i4>3</vt:i4>
      </vt:variant>
      <vt:variant>
        <vt:i4>0</vt:i4>
      </vt:variant>
      <vt:variant>
        <vt:i4>5</vt:i4>
      </vt:variant>
      <vt:variant>
        <vt:lpwstr>http://www.mayim.org.il/?parasha=%D7%91%D7%A8%D7%9B%D7%AA-%D7%94%D7%9E%D7%96%D7%95%D7%9F1</vt:lpwstr>
      </vt:variant>
      <vt:variant>
        <vt:lpwstr/>
      </vt:variant>
      <vt:variant>
        <vt:i4>8192123</vt:i4>
      </vt:variant>
      <vt:variant>
        <vt:i4>0</vt:i4>
      </vt:variant>
      <vt:variant>
        <vt:i4>0</vt:i4>
      </vt:variant>
      <vt:variant>
        <vt:i4>5</vt:i4>
      </vt:variant>
      <vt:variant>
        <vt:lpwstr>http://www.mayim.org.il/?parasha=%D7%95%D7%90%D7%9B%D7%9C%D7%AA-%D7%95%D7%A9%D7%91%D7%A2%D7%AA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כמטר לקחי, כטל אמרתי</dc:title>
  <dc:subject>האזינו, שבת שובה</dc:subject>
  <dc:creator>Asher Yuval</dc:creator>
  <cp:keywords/>
  <cp:lastModifiedBy>שמעון אפק</cp:lastModifiedBy>
  <cp:revision>2</cp:revision>
  <cp:lastPrinted>2009-09-24T09:23:00Z</cp:lastPrinted>
  <dcterms:created xsi:type="dcterms:W3CDTF">2016-09-04T06:49:00Z</dcterms:created>
  <dcterms:modified xsi:type="dcterms:W3CDTF">2016-09-04T06:49:00Z</dcterms:modified>
</cp:coreProperties>
</file>