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17" w:rsidRDefault="00D6469B" w:rsidP="009156D7">
      <w:pPr>
        <w:pStyle w:val="aa"/>
        <w:rPr>
          <w:rFonts w:hint="cs"/>
          <w:rtl/>
          <w:lang w:eastAsia="en-US"/>
        </w:rPr>
      </w:pPr>
      <w:bookmarkStart w:id="0" w:name="_GoBack"/>
      <w:bookmarkEnd w:id="0"/>
      <w:r>
        <w:rPr>
          <w:rFonts w:hint="cs"/>
          <w:rtl/>
        </w:rPr>
        <w:t>הנסתרות</w:t>
      </w:r>
      <w:r w:rsidR="005A392C">
        <w:rPr>
          <w:rFonts w:hint="cs"/>
          <w:rtl/>
        </w:rPr>
        <w:t xml:space="preserve"> והנגלות</w:t>
      </w:r>
    </w:p>
    <w:p w:rsidR="00D6469B" w:rsidRDefault="00D6469B" w:rsidP="00D6469B">
      <w:pPr>
        <w:autoSpaceDE w:val="0"/>
        <w:autoSpaceDN w:val="0"/>
        <w:adjustRightInd w:val="0"/>
        <w:spacing w:before="240"/>
        <w:jc w:val="both"/>
        <w:rPr>
          <w:rFonts w:cs="David" w:hint="cs"/>
          <w:b/>
          <w:bCs/>
          <w:szCs w:val="24"/>
          <w:rtl/>
          <w:lang w:eastAsia="en-US"/>
        </w:rPr>
      </w:pPr>
      <w:r w:rsidRPr="00D6469B">
        <w:rPr>
          <w:rFonts w:cs="David"/>
          <w:b/>
          <w:bCs/>
          <w:szCs w:val="24"/>
          <w:rtl/>
          <w:lang w:eastAsia="en-US"/>
        </w:rPr>
        <w:t>הַנִּסְתָּרֹת לַ</w:t>
      </w:r>
      <w:r>
        <w:rPr>
          <w:rFonts w:cs="David" w:hint="cs"/>
          <w:b/>
          <w:bCs/>
          <w:szCs w:val="24"/>
          <w:rtl/>
          <w:lang w:eastAsia="en-US"/>
        </w:rPr>
        <w:t>ה'</w:t>
      </w:r>
      <w:r w:rsidRPr="00D6469B">
        <w:rPr>
          <w:rFonts w:cs="David"/>
          <w:b/>
          <w:bCs/>
          <w:szCs w:val="24"/>
          <w:rtl/>
          <w:lang w:eastAsia="en-US"/>
        </w:rPr>
        <w:t xml:space="preserve"> אֱלֹהֵינוּ וְהַנִּגְלֹת לָנוּ וּלְבָנֵינוּ עַד עוֹלָם לַעֲשׂוֹת אֶת כָּל דִּבְרֵי הַתּוֹרָה הַזֹּאת</w:t>
      </w:r>
      <w:r w:rsidR="00A8763A">
        <w:rPr>
          <w:rFonts w:cs="David" w:hint="cs"/>
          <w:b/>
          <w:bCs/>
          <w:szCs w:val="24"/>
          <w:rtl/>
          <w:lang w:eastAsia="en-US"/>
        </w:rPr>
        <w:t>:</w:t>
      </w:r>
      <w:r>
        <w:rPr>
          <w:rFonts w:cs="David" w:hint="cs"/>
          <w:b/>
          <w:bCs/>
          <w:szCs w:val="24"/>
          <w:rtl/>
          <w:lang w:eastAsia="en-US"/>
        </w:rPr>
        <w:t xml:space="preserve"> </w:t>
      </w:r>
      <w:r w:rsidRPr="00B52C57">
        <w:rPr>
          <w:rFonts w:ascii="ResponsaTTF" w:hint="cs"/>
          <w:sz w:val="20"/>
          <w:szCs w:val="20"/>
          <w:rtl/>
          <w:lang w:eastAsia="en-US"/>
        </w:rPr>
        <w:t xml:space="preserve">(דברים כט </w:t>
      </w:r>
      <w:r>
        <w:rPr>
          <w:rFonts w:ascii="ResponsaTTF" w:hint="cs"/>
          <w:sz w:val="20"/>
          <w:szCs w:val="20"/>
          <w:rtl/>
          <w:lang w:eastAsia="en-US"/>
        </w:rPr>
        <w:t>כח</w:t>
      </w:r>
      <w:r w:rsidRPr="00B52C57">
        <w:rPr>
          <w:rFonts w:ascii="ResponsaTTF" w:hint="cs"/>
          <w:sz w:val="20"/>
          <w:szCs w:val="20"/>
          <w:rtl/>
          <w:lang w:eastAsia="en-US"/>
        </w:rPr>
        <w:t>).</w:t>
      </w:r>
    </w:p>
    <w:p w:rsidR="009156D7" w:rsidRDefault="009156D7" w:rsidP="009156D7">
      <w:pPr>
        <w:pStyle w:val="ab"/>
        <w:rPr>
          <w:rFonts w:hint="cs"/>
          <w:rtl/>
        </w:rPr>
      </w:pPr>
      <w:r>
        <w:rPr>
          <w:rtl/>
        </w:rPr>
        <w:t>רשב"ם דברים פרק כט כח</w:t>
      </w:r>
    </w:p>
    <w:p w:rsidR="009156D7" w:rsidRDefault="009156D7" w:rsidP="00E83C8D">
      <w:pPr>
        <w:pStyle w:val="ac"/>
        <w:rPr>
          <w:rFonts w:hint="cs"/>
          <w:rtl/>
        </w:rPr>
      </w:pPr>
      <w:r>
        <w:rPr>
          <w:rtl/>
        </w:rPr>
        <w:t>הנסתרות לי"י אלהינו - כבר פירשתיו אצל הארורים.</w:t>
      </w:r>
      <w:r w:rsidR="00E83C8D">
        <w:rPr>
          <w:rStyle w:val="a5"/>
          <w:rtl/>
        </w:rPr>
        <w:footnoteReference w:id="1"/>
      </w:r>
      <w:r>
        <w:rPr>
          <w:rtl/>
        </w:rPr>
        <w:t xml:space="preserve"> על הנסתרות היו הברכות והקללות, שאין הדבר ליענש ביד בית דין, אלא ביד </w:t>
      </w:r>
      <w:r w:rsidR="00B36D94">
        <w:rPr>
          <w:rtl/>
        </w:rPr>
        <w:t>הקב"ה</w:t>
      </w:r>
      <w:r>
        <w:rPr>
          <w:rtl/>
        </w:rPr>
        <w:t>:</w:t>
      </w:r>
      <w:r w:rsidR="00E83C8D" w:rsidRPr="00E83C8D">
        <w:rPr>
          <w:rtl/>
        </w:rPr>
        <w:t xml:space="preserve"> </w:t>
      </w:r>
      <w:r w:rsidR="00E83C8D">
        <w:rPr>
          <w:rtl/>
        </w:rPr>
        <w:t>לנו ולבנינו - לעשות דיני עונשין על פי עדים:</w:t>
      </w:r>
      <w:r w:rsidR="00C97D3C">
        <w:rPr>
          <w:rStyle w:val="a5"/>
          <w:rtl/>
        </w:rPr>
        <w:footnoteReference w:id="2"/>
      </w:r>
    </w:p>
    <w:p w:rsidR="00D6469B" w:rsidRDefault="00D6469B" w:rsidP="00D6469B">
      <w:pPr>
        <w:spacing w:before="240" w:line="300" w:lineRule="atLeast"/>
        <w:rPr>
          <w:rFonts w:cs="Arial"/>
          <w:b/>
          <w:bCs/>
          <w:szCs w:val="24"/>
          <w:rtl/>
        </w:rPr>
      </w:pPr>
      <w:r>
        <w:rPr>
          <w:rFonts w:cs="Arial"/>
          <w:b/>
          <w:bCs/>
          <w:szCs w:val="24"/>
          <w:rtl/>
        </w:rPr>
        <w:t>אבות דרבי נתן נוסח א פרק לד</w:t>
      </w:r>
    </w:p>
    <w:p w:rsidR="00D6469B" w:rsidRDefault="00D6469B" w:rsidP="00F42E56">
      <w:pPr>
        <w:spacing w:line="320" w:lineRule="atLeast"/>
        <w:jc w:val="both"/>
        <w:rPr>
          <w:rFonts w:cs="David"/>
          <w:szCs w:val="24"/>
          <w:rtl/>
        </w:rPr>
      </w:pPr>
      <w:r>
        <w:rPr>
          <w:rFonts w:cs="David"/>
          <w:szCs w:val="24"/>
          <w:rtl/>
        </w:rPr>
        <w:t xml:space="preserve">עשר נקודות בתורה ... כיוצא בו: "הנסתרות לה' </w:t>
      </w:r>
      <w:r w:rsidR="00E85516">
        <w:rPr>
          <w:rFonts w:cs="David"/>
          <w:szCs w:val="24"/>
          <w:rtl/>
        </w:rPr>
        <w:t>אלוהינו</w:t>
      </w:r>
      <w:r>
        <w:rPr>
          <w:rFonts w:cs="David"/>
          <w:szCs w:val="24"/>
          <w:rtl/>
        </w:rPr>
        <w:t xml:space="preserve"> והנגלות לנ"ו ולבני"נו עד עולם". נקוד על לנ"ו ולבני"נו ועל ע' שב</w:t>
      </w:r>
      <w:r>
        <w:rPr>
          <w:rFonts w:cs="David" w:hint="cs"/>
          <w:szCs w:val="24"/>
          <w:rtl/>
        </w:rPr>
        <w:t>"</w:t>
      </w:r>
      <w:r>
        <w:rPr>
          <w:rFonts w:cs="David"/>
          <w:szCs w:val="24"/>
          <w:rtl/>
        </w:rPr>
        <w:t>עד</w:t>
      </w:r>
      <w:r>
        <w:rPr>
          <w:rFonts w:cs="David" w:hint="cs"/>
          <w:szCs w:val="24"/>
          <w:rtl/>
        </w:rPr>
        <w:t>"</w:t>
      </w:r>
      <w:r>
        <w:rPr>
          <w:rFonts w:cs="David"/>
          <w:szCs w:val="24"/>
          <w:rtl/>
        </w:rPr>
        <w:t>. למה? אלא כך אמר עזרא: אם יב</w:t>
      </w:r>
      <w:r w:rsidR="00C97D3C">
        <w:rPr>
          <w:rFonts w:cs="David" w:hint="cs"/>
          <w:szCs w:val="24"/>
          <w:rtl/>
        </w:rPr>
        <w:t>ו</w:t>
      </w:r>
      <w:r>
        <w:rPr>
          <w:rFonts w:cs="David"/>
          <w:szCs w:val="24"/>
          <w:rtl/>
        </w:rPr>
        <w:t>א אליהו ויאמר לי: מפני מה כתבת? כך אומר אני לו: כבר נקדתי עליהן. ואם אומר [יאמר] לי: יפה כתבת, אעבור [אמחק] נקודה מעליהן.</w:t>
      </w:r>
      <w:r w:rsidR="00F42E56">
        <w:rPr>
          <w:rStyle w:val="a5"/>
          <w:rFonts w:cs="David"/>
          <w:szCs w:val="24"/>
          <w:rtl/>
        </w:rPr>
        <w:footnoteReference w:id="3"/>
      </w:r>
    </w:p>
    <w:p w:rsidR="00D6469B" w:rsidRDefault="00D6469B" w:rsidP="00D6469B">
      <w:pPr>
        <w:spacing w:before="240" w:line="300" w:lineRule="atLeast"/>
        <w:rPr>
          <w:rFonts w:cs="Arial"/>
          <w:b/>
          <w:bCs/>
          <w:szCs w:val="24"/>
          <w:rtl/>
        </w:rPr>
      </w:pPr>
      <w:r>
        <w:rPr>
          <w:rFonts w:cs="Arial"/>
          <w:b/>
          <w:bCs/>
          <w:szCs w:val="24"/>
          <w:rtl/>
        </w:rPr>
        <w:t>מסכת סנהדרין דף מג עמוד ב</w:t>
      </w:r>
    </w:p>
    <w:p w:rsidR="00D6469B" w:rsidRDefault="00D6469B" w:rsidP="00AC1831">
      <w:pPr>
        <w:spacing w:line="320" w:lineRule="atLeast"/>
        <w:jc w:val="both"/>
        <w:rPr>
          <w:rFonts w:cs="David"/>
          <w:szCs w:val="24"/>
          <w:rtl/>
        </w:rPr>
      </w:pPr>
      <w:r>
        <w:rPr>
          <w:rFonts w:cs="David"/>
          <w:szCs w:val="24"/>
          <w:rtl/>
        </w:rPr>
        <w:t>אמר רב אסי אמר רבי חנינא: מלמד שמעל עכן בשלשה חרמים: שנים בימי משה ואחד בימי יהושע, שנאמר</w:t>
      </w:r>
      <w:r w:rsidR="0038683D">
        <w:rPr>
          <w:rFonts w:cs="David" w:hint="cs"/>
          <w:szCs w:val="24"/>
          <w:rtl/>
        </w:rPr>
        <w:t>:</w:t>
      </w:r>
      <w:r>
        <w:rPr>
          <w:rFonts w:cs="David"/>
          <w:szCs w:val="24"/>
          <w:rtl/>
        </w:rPr>
        <w:t xml:space="preserve"> </w:t>
      </w:r>
      <w:r w:rsidR="0038683D">
        <w:rPr>
          <w:rFonts w:cs="David" w:hint="cs"/>
          <w:szCs w:val="24"/>
          <w:rtl/>
        </w:rPr>
        <w:t>"</w:t>
      </w:r>
      <w:r>
        <w:rPr>
          <w:rFonts w:cs="David"/>
          <w:szCs w:val="24"/>
          <w:rtl/>
        </w:rPr>
        <w:t>כזאת וכזאת עשיתי</w:t>
      </w:r>
      <w:r w:rsidR="0038683D">
        <w:rPr>
          <w:rFonts w:cs="David" w:hint="cs"/>
          <w:szCs w:val="24"/>
          <w:rtl/>
        </w:rPr>
        <w:t>"</w:t>
      </w:r>
      <w:r>
        <w:rPr>
          <w:rFonts w:cs="David"/>
          <w:szCs w:val="24"/>
          <w:rtl/>
        </w:rPr>
        <w:t xml:space="preserve"> ...  ועד השתא מאי טעמא לא איענוש? אמר רבי יוחנן משום רבי אלעזר ברבי שמעון: לפי שלא ענש על הנסתרות עד שעברו ישראל את הירדן. כתנאי: "הנסתרות לה' </w:t>
      </w:r>
      <w:r w:rsidR="00E85516">
        <w:rPr>
          <w:rFonts w:cs="David"/>
          <w:szCs w:val="24"/>
          <w:rtl/>
        </w:rPr>
        <w:t>אלוהינו</w:t>
      </w:r>
      <w:r>
        <w:rPr>
          <w:rFonts w:cs="David"/>
          <w:szCs w:val="24"/>
          <w:rtl/>
        </w:rPr>
        <w:t xml:space="preserve"> והנגלות לנו ולבנינו עד עולם" למה נקוד על לנו ולבנינו ועל עי"ן שבעד? מלמד שלא ענש על הנסתרות עד שעברו ישראל את הירדן, דברי רבי יהודה.</w:t>
      </w:r>
      <w:r w:rsidR="00AC1831">
        <w:rPr>
          <w:rStyle w:val="a5"/>
          <w:rFonts w:cs="David"/>
          <w:szCs w:val="24"/>
          <w:rtl/>
        </w:rPr>
        <w:footnoteReference w:id="4"/>
      </w:r>
      <w:r>
        <w:rPr>
          <w:rFonts w:cs="David"/>
          <w:szCs w:val="24"/>
          <w:rtl/>
        </w:rPr>
        <w:t xml:space="preserve"> אמר ליה רבי נחמיה: וכי ע</w:t>
      </w:r>
      <w:r w:rsidR="00E85516">
        <w:rPr>
          <w:rFonts w:cs="David"/>
          <w:szCs w:val="24"/>
          <w:rtl/>
        </w:rPr>
        <w:t>ָ</w:t>
      </w:r>
      <w:r>
        <w:rPr>
          <w:rFonts w:cs="David"/>
          <w:szCs w:val="24"/>
          <w:rtl/>
        </w:rPr>
        <w:t>נ</w:t>
      </w:r>
      <w:r w:rsidR="00E85516">
        <w:rPr>
          <w:rFonts w:cs="David"/>
          <w:szCs w:val="24"/>
          <w:rtl/>
        </w:rPr>
        <w:t>ַ</w:t>
      </w:r>
      <w:r>
        <w:rPr>
          <w:rFonts w:cs="David"/>
          <w:szCs w:val="24"/>
          <w:rtl/>
        </w:rPr>
        <w:t>ש</w:t>
      </w:r>
      <w:r w:rsidR="00E85516">
        <w:rPr>
          <w:rFonts w:cs="David"/>
          <w:szCs w:val="24"/>
          <w:rtl/>
        </w:rPr>
        <w:t>ׁ</w:t>
      </w:r>
      <w:r>
        <w:rPr>
          <w:rFonts w:cs="David"/>
          <w:szCs w:val="24"/>
          <w:rtl/>
        </w:rPr>
        <w:t xml:space="preserve"> על הנסתרות לעולם? והלא כבר נאמר "עד עולם". אלא, כשם שלא ענש על הנסתרות - כך לא ענש על עונשין שבגלוי עד שעברו ישראל את הירדן.</w:t>
      </w:r>
      <w:r w:rsidR="00AC1831">
        <w:rPr>
          <w:rStyle w:val="a5"/>
          <w:rFonts w:cs="David"/>
          <w:szCs w:val="24"/>
          <w:rtl/>
        </w:rPr>
        <w:footnoteReference w:id="5"/>
      </w:r>
    </w:p>
    <w:p w:rsidR="00D6469B" w:rsidRDefault="00D6469B" w:rsidP="00D6469B">
      <w:pPr>
        <w:spacing w:before="240" w:line="300" w:lineRule="atLeast"/>
        <w:rPr>
          <w:rFonts w:cs="Arial"/>
          <w:b/>
          <w:bCs/>
          <w:szCs w:val="24"/>
          <w:rtl/>
        </w:rPr>
      </w:pPr>
      <w:r>
        <w:rPr>
          <w:rFonts w:cs="Arial"/>
          <w:b/>
          <w:bCs/>
          <w:szCs w:val="24"/>
          <w:rtl/>
        </w:rPr>
        <w:t>ירושלמי מסכת סוטה פרק ז הלכה ה</w:t>
      </w:r>
    </w:p>
    <w:p w:rsidR="00D6469B" w:rsidRDefault="00D6469B" w:rsidP="00AC1831">
      <w:pPr>
        <w:spacing w:line="320" w:lineRule="atLeast"/>
        <w:jc w:val="both"/>
        <w:rPr>
          <w:rFonts w:cs="David"/>
          <w:szCs w:val="24"/>
          <w:rtl/>
        </w:rPr>
      </w:pPr>
      <w:r>
        <w:rPr>
          <w:rFonts w:cs="David"/>
          <w:szCs w:val="24"/>
          <w:rtl/>
        </w:rPr>
        <w:t>אמר רבי שמעון בן לקיש: בירדן קיבלו עליהן את הנסתרות. אמר להן יהושע: אם אין אתם מקבלין עליכם את הנסתרות</w:t>
      </w:r>
      <w:r w:rsidR="00C97D3C">
        <w:rPr>
          <w:rFonts w:cs="David" w:hint="cs"/>
          <w:szCs w:val="24"/>
          <w:rtl/>
        </w:rPr>
        <w:t>,</w:t>
      </w:r>
      <w:r>
        <w:rPr>
          <w:rFonts w:cs="David"/>
          <w:szCs w:val="24"/>
          <w:rtl/>
        </w:rPr>
        <w:t xml:space="preserve"> המים באין ושוטפין אתכם.</w:t>
      </w:r>
      <w:r>
        <w:rPr>
          <w:rStyle w:val="a5"/>
          <w:rFonts w:cs="David"/>
          <w:szCs w:val="24"/>
          <w:rtl/>
        </w:rPr>
        <w:footnoteReference w:id="6"/>
      </w:r>
      <w:r>
        <w:rPr>
          <w:rFonts w:cs="David"/>
          <w:szCs w:val="24"/>
          <w:rtl/>
        </w:rPr>
        <w:t xml:space="preserve"> אמר רבי </w:t>
      </w:r>
      <w:smartTag w:uri="urn:schemas-microsoft-com:office:smarttags" w:element="PersonName">
        <w:smartTagPr>
          <w:attr w:name="ProductID" w:val="סימון בר"/>
        </w:smartTagPr>
        <w:r>
          <w:rPr>
            <w:rFonts w:cs="David"/>
            <w:szCs w:val="24"/>
            <w:rtl/>
          </w:rPr>
          <w:t>סימון בר</w:t>
        </w:r>
      </w:smartTag>
      <w:r>
        <w:rPr>
          <w:rFonts w:cs="David"/>
          <w:szCs w:val="24"/>
          <w:rtl/>
        </w:rPr>
        <w:t xml:space="preserve"> זבדא: וי</w:t>
      </w:r>
      <w:r w:rsidR="00AC1831">
        <w:rPr>
          <w:rFonts w:cs="David"/>
          <w:szCs w:val="24"/>
          <w:rtl/>
        </w:rPr>
        <w:t>ָ</w:t>
      </w:r>
      <w:r>
        <w:rPr>
          <w:rFonts w:cs="David"/>
          <w:szCs w:val="24"/>
          <w:rtl/>
        </w:rPr>
        <w:t>או</w:t>
      </w:r>
      <w:r w:rsidR="00AC1831">
        <w:rPr>
          <w:rFonts w:cs="David"/>
          <w:szCs w:val="24"/>
          <w:rtl/>
        </w:rPr>
        <w:t>ּ</w:t>
      </w:r>
      <w:r>
        <w:rPr>
          <w:rFonts w:cs="David"/>
          <w:szCs w:val="24"/>
          <w:rtl/>
        </w:rPr>
        <w:t>ת,</w:t>
      </w:r>
      <w:r w:rsidR="00AC1831">
        <w:rPr>
          <w:rStyle w:val="a5"/>
          <w:rFonts w:cs="David"/>
          <w:szCs w:val="24"/>
          <w:rtl/>
        </w:rPr>
        <w:footnoteReference w:id="7"/>
      </w:r>
      <w:r>
        <w:rPr>
          <w:rFonts w:cs="David"/>
          <w:szCs w:val="24"/>
          <w:rtl/>
        </w:rPr>
        <w:t xml:space="preserve"> תדע לך שהוא כן</w:t>
      </w:r>
      <w:r w:rsidR="00F42E56">
        <w:rPr>
          <w:rFonts w:cs="David" w:hint="cs"/>
          <w:szCs w:val="24"/>
          <w:rtl/>
        </w:rPr>
        <w:t>,</w:t>
      </w:r>
      <w:r>
        <w:rPr>
          <w:rFonts w:cs="David"/>
          <w:szCs w:val="24"/>
          <w:rtl/>
        </w:rPr>
        <w:t xml:space="preserve"> שהרי עכן </w:t>
      </w:r>
      <w:r>
        <w:rPr>
          <w:rFonts w:cs="David"/>
          <w:szCs w:val="24"/>
          <w:rtl/>
        </w:rPr>
        <w:lastRenderedPageBreak/>
        <w:t>חטא ורובה של סנהדרין נפלה בעי. אמר רבי לוי: ביבנה הותרה הרצועה. יצתה בת קול ואמרה אין לכם עסק בנסתרות</w:t>
      </w:r>
      <w:r w:rsidR="00F42E56">
        <w:rPr>
          <w:rFonts w:cs="David" w:hint="cs"/>
          <w:szCs w:val="24"/>
          <w:rtl/>
        </w:rPr>
        <w:t>.</w:t>
      </w:r>
      <w:r w:rsidR="00AC1831">
        <w:rPr>
          <w:rStyle w:val="a5"/>
          <w:rFonts w:cs="David"/>
          <w:szCs w:val="24"/>
          <w:rtl/>
        </w:rPr>
        <w:footnoteReference w:id="8"/>
      </w:r>
    </w:p>
    <w:p w:rsidR="00D6469B" w:rsidRDefault="00D6469B" w:rsidP="00D6469B">
      <w:pPr>
        <w:spacing w:before="240" w:line="300" w:lineRule="atLeast"/>
        <w:rPr>
          <w:rFonts w:cs="Arial"/>
          <w:b/>
          <w:bCs/>
          <w:szCs w:val="24"/>
          <w:rtl/>
        </w:rPr>
      </w:pPr>
      <w:r>
        <w:rPr>
          <w:rFonts w:cs="Arial"/>
          <w:b/>
          <w:bCs/>
          <w:szCs w:val="24"/>
          <w:rtl/>
        </w:rPr>
        <w:t>מכילתא דרבי ישמעאל יתרו, פרשה ה</w:t>
      </w:r>
    </w:p>
    <w:p w:rsidR="00D6469B" w:rsidRDefault="00D6469B" w:rsidP="008C6A9E">
      <w:pPr>
        <w:spacing w:line="320" w:lineRule="atLeast"/>
        <w:jc w:val="both"/>
        <w:rPr>
          <w:rFonts w:cs="David" w:hint="cs"/>
          <w:szCs w:val="24"/>
          <w:rtl/>
        </w:rPr>
      </w:pPr>
      <w:r>
        <w:rPr>
          <w:rFonts w:cs="David"/>
          <w:szCs w:val="24"/>
          <w:rtl/>
        </w:rPr>
        <w:t>רבי אומר: להודיע שבחן של ישראל, שכשעמדו כולן על הר סיני לקבל התורה</w:t>
      </w:r>
      <w:r w:rsidR="009E1D6C">
        <w:rPr>
          <w:rFonts w:cs="David" w:hint="cs"/>
          <w:szCs w:val="24"/>
          <w:rtl/>
        </w:rPr>
        <w:t>,</w:t>
      </w:r>
      <w:r>
        <w:rPr>
          <w:rFonts w:cs="David"/>
          <w:szCs w:val="24"/>
          <w:rtl/>
        </w:rPr>
        <w:t xml:space="preserve"> השוו כולם לב אחד לקבל מלכות שמים בשמחה. ולא עוד, אלא שהיו ממשכנין עצמן זה על זה. ולא על הנגלות בלבד נגלה הקב"ה עליהם לכרות ברית עמהם, אלא אף על הסתרים. אמרו לו: על הגלויים אנו כורתים ברית עמך ולא על הסתרים. שלא יהא אחד ממנו חוטא בסתר, ויהא הצבור מתמשכן. שנאמר: "הנסתרות לה' </w:t>
      </w:r>
      <w:r w:rsidR="00E85516">
        <w:rPr>
          <w:rFonts w:cs="David"/>
          <w:szCs w:val="24"/>
          <w:rtl/>
        </w:rPr>
        <w:t>אלוהינו</w:t>
      </w:r>
      <w:r>
        <w:rPr>
          <w:rFonts w:cs="David"/>
          <w:szCs w:val="24"/>
          <w:rtl/>
        </w:rPr>
        <w:t xml:space="preserve"> והנגלות לנו ולבנינו עד עולם".</w:t>
      </w:r>
      <w:r w:rsidR="008C6A9E">
        <w:rPr>
          <w:rStyle w:val="a5"/>
          <w:rFonts w:cs="David"/>
          <w:szCs w:val="24"/>
          <w:rtl/>
        </w:rPr>
        <w:footnoteReference w:id="9"/>
      </w:r>
    </w:p>
    <w:p w:rsidR="00FD2875" w:rsidRDefault="00FD2875" w:rsidP="00A817FA">
      <w:pPr>
        <w:pStyle w:val="ab"/>
        <w:rPr>
          <w:rFonts w:hint="cs"/>
          <w:rtl/>
          <w:lang w:eastAsia="en-US"/>
        </w:rPr>
      </w:pPr>
      <w:r w:rsidRPr="002437B1">
        <w:rPr>
          <w:rtl/>
          <w:lang w:eastAsia="en-US"/>
        </w:rPr>
        <w:t xml:space="preserve">מכילתא דרבי ישמעאל משפטים - מס' דנזיקין משפטים פרשה יז </w:t>
      </w:r>
    </w:p>
    <w:p w:rsidR="006073B3" w:rsidRDefault="00FD2875" w:rsidP="006073B3">
      <w:pPr>
        <w:pStyle w:val="ac"/>
        <w:rPr>
          <w:rFonts w:hint="cs"/>
          <w:rtl/>
          <w:lang w:eastAsia="en-US"/>
        </w:rPr>
      </w:pPr>
      <w:r w:rsidRPr="002437B1">
        <w:rPr>
          <w:rtl/>
          <w:lang w:eastAsia="en-US"/>
        </w:rPr>
        <w:t>יש אומרים באות</w:t>
      </w:r>
      <w:r w:rsidR="007F00FF">
        <w:rPr>
          <w:rFonts w:hint="cs"/>
          <w:rtl/>
          <w:lang w:eastAsia="en-US"/>
        </w:rPr>
        <w:t>י</w:t>
      </w:r>
      <w:r w:rsidRPr="002437B1">
        <w:rPr>
          <w:rtl/>
          <w:lang w:eastAsia="en-US"/>
        </w:rPr>
        <w:t>ותיה נתנה תורה, שלא יהו ישראל אומרים</w:t>
      </w:r>
      <w:r w:rsidR="006073B3">
        <w:rPr>
          <w:rFonts w:hint="cs"/>
          <w:rtl/>
          <w:lang w:eastAsia="en-US"/>
        </w:rPr>
        <w:t>:</w:t>
      </w:r>
      <w:r w:rsidRPr="002437B1">
        <w:rPr>
          <w:rtl/>
          <w:lang w:eastAsia="en-US"/>
        </w:rPr>
        <w:t xml:space="preserve"> הואיל ואנו מצווין על עבודה זרה נהא בולשין בבורות שיחין ומערות, תלמוד לומר</w:t>
      </w:r>
      <w:r w:rsidR="006073B3">
        <w:rPr>
          <w:rFonts w:hint="cs"/>
          <w:rtl/>
          <w:lang w:eastAsia="en-US"/>
        </w:rPr>
        <w:t>:</w:t>
      </w:r>
      <w:r w:rsidRPr="002437B1">
        <w:rPr>
          <w:rtl/>
          <w:lang w:eastAsia="en-US"/>
        </w:rPr>
        <w:t xml:space="preserve"> </w:t>
      </w:r>
      <w:r w:rsidR="006073B3">
        <w:rPr>
          <w:rFonts w:hint="cs"/>
          <w:rtl/>
          <w:lang w:eastAsia="en-US"/>
        </w:rPr>
        <w:t>"</w:t>
      </w:r>
      <w:r w:rsidRPr="002437B1">
        <w:rPr>
          <w:rtl/>
          <w:lang w:eastAsia="en-US"/>
        </w:rPr>
        <w:t>על ההרים הרמים</w:t>
      </w:r>
      <w:r w:rsidR="006073B3">
        <w:rPr>
          <w:rFonts w:hint="cs"/>
          <w:rtl/>
          <w:lang w:eastAsia="en-US"/>
        </w:rPr>
        <w:t xml:space="preserve"> ועל הגבעות ותחת כל עץ רענן" (</w:t>
      </w:r>
      <w:r w:rsidR="006073B3" w:rsidRPr="002437B1">
        <w:rPr>
          <w:rtl/>
          <w:lang w:eastAsia="en-US"/>
        </w:rPr>
        <w:t>דברים יב ב</w:t>
      </w:r>
      <w:r w:rsidR="006073B3">
        <w:rPr>
          <w:rFonts w:hint="cs"/>
          <w:rtl/>
          <w:lang w:eastAsia="en-US"/>
        </w:rPr>
        <w:t>)</w:t>
      </w:r>
      <w:r w:rsidRPr="002437B1">
        <w:rPr>
          <w:rtl/>
          <w:lang w:eastAsia="en-US"/>
        </w:rPr>
        <w:t>, על הגלוים ולא על הסתרים.</w:t>
      </w:r>
      <w:r w:rsidR="008C6A9E">
        <w:rPr>
          <w:rStyle w:val="a5"/>
          <w:rtl/>
          <w:lang w:eastAsia="en-US"/>
        </w:rPr>
        <w:footnoteReference w:id="10"/>
      </w:r>
    </w:p>
    <w:p w:rsidR="00D6469B" w:rsidRDefault="00D6469B" w:rsidP="00D6469B">
      <w:pPr>
        <w:spacing w:before="240" w:line="300" w:lineRule="atLeast"/>
        <w:rPr>
          <w:rFonts w:cs="Arial"/>
          <w:b/>
          <w:bCs/>
          <w:szCs w:val="24"/>
          <w:rtl/>
        </w:rPr>
      </w:pPr>
      <w:r>
        <w:rPr>
          <w:rFonts w:cs="Arial"/>
          <w:b/>
          <w:bCs/>
          <w:szCs w:val="24"/>
          <w:rtl/>
        </w:rPr>
        <w:t>רמב"ן דברים פרק כט פסוק כח</w:t>
      </w:r>
    </w:p>
    <w:p w:rsidR="00D6469B" w:rsidRDefault="00D6469B" w:rsidP="00D6469B">
      <w:pPr>
        <w:spacing w:line="320" w:lineRule="atLeast"/>
        <w:jc w:val="both"/>
        <w:rPr>
          <w:rFonts w:cs="David"/>
          <w:szCs w:val="24"/>
          <w:rtl/>
        </w:rPr>
      </w:pPr>
      <w:r>
        <w:rPr>
          <w:rFonts w:cs="David"/>
          <w:szCs w:val="24"/>
          <w:rtl/>
        </w:rPr>
        <w:t xml:space="preserve">ודעתי בדרך הפשט, כי "הנסתרות" הם החטאים הנסתרים מן העושים אותם, כמו </w:t>
      </w:r>
      <w:r w:rsidR="009E1D6C">
        <w:rPr>
          <w:rFonts w:cs="David" w:hint="cs"/>
          <w:szCs w:val="24"/>
          <w:rtl/>
        </w:rPr>
        <w:t>"</w:t>
      </w:r>
      <w:r>
        <w:rPr>
          <w:rFonts w:cs="David"/>
          <w:szCs w:val="24"/>
          <w:rtl/>
        </w:rPr>
        <w:t>שגיאות מי יבין מנסתרות נקני</w:t>
      </w:r>
      <w:r w:rsidR="009E1D6C">
        <w:rPr>
          <w:rFonts w:cs="David" w:hint="cs"/>
          <w:szCs w:val="24"/>
          <w:rtl/>
        </w:rPr>
        <w:t>"</w:t>
      </w:r>
      <w:r>
        <w:rPr>
          <w:rFonts w:cs="David"/>
          <w:szCs w:val="24"/>
          <w:rtl/>
        </w:rPr>
        <w:t xml:space="preserve"> (תהלים יט יג). יאמר: הנסתרות לשם לבדו הם, אין לנו בהן עוון אשר חטא. אבל הנגלות שהם הזדונות, לנו ולבנינו עד עולם לעשות את כל דברי התורה הזאת חוקת עולם. שכך קבלנו על אשר ישנו פה ועל אשר איננו פה לדורות עולם.</w:t>
      </w:r>
      <w:r>
        <w:rPr>
          <w:rStyle w:val="a5"/>
          <w:rFonts w:cs="David"/>
          <w:szCs w:val="24"/>
          <w:rtl/>
        </w:rPr>
        <w:footnoteReference w:id="11"/>
      </w:r>
    </w:p>
    <w:p w:rsidR="00D6469B" w:rsidRDefault="00D6469B" w:rsidP="00D6469B">
      <w:pPr>
        <w:spacing w:before="240" w:line="300" w:lineRule="atLeast"/>
        <w:rPr>
          <w:rFonts w:cs="Arial"/>
          <w:b/>
          <w:bCs/>
          <w:szCs w:val="24"/>
          <w:rtl/>
        </w:rPr>
      </w:pPr>
      <w:r>
        <w:rPr>
          <w:rFonts w:cs="Arial"/>
          <w:b/>
          <w:bCs/>
          <w:szCs w:val="24"/>
          <w:rtl/>
        </w:rPr>
        <w:t>רמב"ם הלכות יסודי התורה פרק ז הלכה ז</w:t>
      </w:r>
    </w:p>
    <w:p w:rsidR="00D6469B" w:rsidRDefault="00D6469B" w:rsidP="00D6469B">
      <w:pPr>
        <w:spacing w:line="320" w:lineRule="atLeast"/>
        <w:jc w:val="both"/>
        <w:rPr>
          <w:rFonts w:cs="David"/>
          <w:szCs w:val="24"/>
          <w:rtl/>
        </w:rPr>
      </w:pPr>
      <w:r>
        <w:rPr>
          <w:rFonts w:cs="David"/>
          <w:szCs w:val="24"/>
          <w:rtl/>
        </w:rPr>
        <w:t>"... הואיל ואדם גדול וחכם וראוי לנבואה [הוא]</w:t>
      </w:r>
      <w:r w:rsidR="001F1EAA">
        <w:rPr>
          <w:rFonts w:cs="David" w:hint="cs"/>
          <w:szCs w:val="24"/>
          <w:rtl/>
        </w:rPr>
        <w:t>,</w:t>
      </w:r>
      <w:r>
        <w:rPr>
          <w:rFonts w:cs="David"/>
          <w:szCs w:val="24"/>
          <w:rtl/>
        </w:rPr>
        <w:t xml:space="preserve"> מעמידים אותו על חזקתו. שבכך נצטווינו, כמו שנצטווינו לחתוך את הדין ע"פ שני עדים כשרים</w:t>
      </w:r>
      <w:r w:rsidR="001F1EAA">
        <w:rPr>
          <w:rFonts w:cs="David" w:hint="cs"/>
          <w:szCs w:val="24"/>
          <w:rtl/>
        </w:rPr>
        <w:t>.</w:t>
      </w:r>
      <w:r>
        <w:rPr>
          <w:rFonts w:cs="David"/>
          <w:szCs w:val="24"/>
          <w:rtl/>
        </w:rPr>
        <w:t xml:space="preserve"> ואע"פ שאפשר שהעידו בשקר הואיל וכשרים הם אצלנו</w:t>
      </w:r>
      <w:r w:rsidR="001F1EAA">
        <w:rPr>
          <w:rFonts w:cs="David" w:hint="cs"/>
          <w:szCs w:val="24"/>
          <w:rtl/>
        </w:rPr>
        <w:t>,</w:t>
      </w:r>
      <w:r>
        <w:rPr>
          <w:rFonts w:cs="David"/>
          <w:szCs w:val="24"/>
          <w:rtl/>
        </w:rPr>
        <w:t xml:space="preserve"> מעמידין אותן על כשרותן. ובדברים האלו וכיוצא בהן 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 xml:space="preserve">הנסתרות לה' </w:t>
      </w:r>
      <w:r w:rsidR="00E85516">
        <w:rPr>
          <w:rFonts w:cs="David"/>
          <w:szCs w:val="24"/>
          <w:rtl/>
        </w:rPr>
        <w:t>אלוהינו</w:t>
      </w:r>
      <w:r>
        <w:rPr>
          <w:rFonts w:cs="David"/>
          <w:szCs w:val="24"/>
          <w:rtl/>
        </w:rPr>
        <w:t xml:space="preserve"> והנגלות לנו ולבנינו</w:t>
      </w:r>
      <w:r w:rsidR="001F1EAA">
        <w:rPr>
          <w:rFonts w:cs="David" w:hint="cs"/>
          <w:szCs w:val="24"/>
          <w:rtl/>
        </w:rPr>
        <w:t>"</w:t>
      </w:r>
      <w:r>
        <w:rPr>
          <w:rFonts w:cs="David"/>
          <w:szCs w:val="24"/>
          <w:rtl/>
        </w:rPr>
        <w:t>, ונאמר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כי האדם יראה לעיניים וה' יראה ללבב</w:t>
      </w:r>
      <w:r w:rsidR="001F1EAA">
        <w:rPr>
          <w:rFonts w:cs="David" w:hint="cs"/>
          <w:szCs w:val="24"/>
          <w:rtl/>
        </w:rPr>
        <w:t>"</w:t>
      </w:r>
      <w:r>
        <w:rPr>
          <w:rFonts w:cs="David"/>
          <w:szCs w:val="24"/>
          <w:rtl/>
        </w:rPr>
        <w:t>.</w:t>
      </w:r>
      <w:r>
        <w:rPr>
          <w:rStyle w:val="a5"/>
          <w:rFonts w:cs="David"/>
          <w:szCs w:val="24"/>
          <w:rtl/>
        </w:rPr>
        <w:footnoteReference w:id="12"/>
      </w:r>
    </w:p>
    <w:p w:rsidR="00FD2875" w:rsidRPr="00FD2875" w:rsidRDefault="00FD2875" w:rsidP="00FD2875">
      <w:pPr>
        <w:pStyle w:val="ab"/>
        <w:rPr>
          <w:rtl/>
        </w:rPr>
      </w:pPr>
      <w:r w:rsidRPr="00FD2875">
        <w:rPr>
          <w:rtl/>
        </w:rPr>
        <w:t xml:space="preserve">פסיקתא זוטרתא (לקח טוב) דברים פרשת נצבים דף נא עמוד א </w:t>
      </w:r>
    </w:p>
    <w:p w:rsidR="00D6469B" w:rsidRDefault="008F446F" w:rsidP="008F446F">
      <w:pPr>
        <w:spacing w:line="320" w:lineRule="atLeast"/>
        <w:jc w:val="both"/>
        <w:rPr>
          <w:rFonts w:cs="David" w:hint="cs"/>
          <w:szCs w:val="24"/>
          <w:rtl/>
        </w:rPr>
      </w:pPr>
      <w:r>
        <w:rPr>
          <w:rFonts w:cs="David" w:hint="cs"/>
          <w:szCs w:val="24"/>
          <w:rtl/>
        </w:rPr>
        <w:t>"</w:t>
      </w:r>
      <w:r w:rsidR="00FD2875" w:rsidRPr="00FD2875">
        <w:rPr>
          <w:rFonts w:cs="David"/>
          <w:szCs w:val="24"/>
          <w:rtl/>
        </w:rPr>
        <w:t>הנסתרות לה' אלהינו</w:t>
      </w:r>
      <w:r>
        <w:rPr>
          <w:rFonts w:cs="David" w:hint="cs"/>
          <w:szCs w:val="24"/>
          <w:rtl/>
        </w:rPr>
        <w:t>"</w:t>
      </w:r>
      <w:r w:rsidR="00AC1B83">
        <w:rPr>
          <w:rFonts w:cs="David" w:hint="cs"/>
          <w:szCs w:val="24"/>
          <w:rtl/>
        </w:rPr>
        <w:t>,</w:t>
      </w:r>
      <w:r w:rsidR="00FD2875" w:rsidRPr="00FD2875">
        <w:rPr>
          <w:rFonts w:cs="David"/>
          <w:szCs w:val="24"/>
          <w:rtl/>
        </w:rPr>
        <w:t xml:space="preserve"> אלו קיצי הגלות שהם סתומים וחתומים. כענין שנאמר על ידי דניאל</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ואתה דניאל סתום הדברים וחתום הספר עד עת קץ</w:t>
      </w:r>
      <w:r w:rsidR="00AC1B83">
        <w:rPr>
          <w:rFonts w:cs="David" w:hint="cs"/>
          <w:szCs w:val="24"/>
          <w:rtl/>
        </w:rPr>
        <w:t xml:space="preserve">" </w:t>
      </w:r>
      <w:r w:rsidR="00AC1B83" w:rsidRPr="00FD2875">
        <w:rPr>
          <w:rFonts w:cs="David"/>
          <w:szCs w:val="24"/>
          <w:rtl/>
        </w:rPr>
        <w:t>(דניאל יב</w:t>
      </w:r>
      <w:r>
        <w:rPr>
          <w:rFonts w:cs="David" w:hint="cs"/>
          <w:szCs w:val="24"/>
          <w:rtl/>
        </w:rPr>
        <w:t xml:space="preserve"> ד וגם פסוק ט שם</w:t>
      </w:r>
      <w:r w:rsidR="00AC1B83" w:rsidRPr="00FD2875">
        <w:rPr>
          <w:rFonts w:cs="David"/>
          <w:szCs w:val="24"/>
          <w:rtl/>
        </w:rPr>
        <w:t>)</w:t>
      </w:r>
      <w:r w:rsidR="00FD2875" w:rsidRPr="00FD2875">
        <w:rPr>
          <w:rFonts w:cs="David"/>
          <w:szCs w:val="24"/>
          <w:rtl/>
        </w:rPr>
        <w:t>. ואומר</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כי יום נקם בלבי</w:t>
      </w:r>
      <w:r w:rsidR="00B12C9E">
        <w:rPr>
          <w:rFonts w:cs="David" w:hint="cs"/>
          <w:szCs w:val="24"/>
          <w:rtl/>
        </w:rPr>
        <w:t>"</w:t>
      </w:r>
      <w:r>
        <w:rPr>
          <w:rFonts w:cs="David" w:hint="cs"/>
          <w:szCs w:val="24"/>
          <w:rtl/>
        </w:rPr>
        <w:t xml:space="preserve"> </w:t>
      </w:r>
      <w:r w:rsidRPr="00FD2875">
        <w:rPr>
          <w:rFonts w:cs="David"/>
          <w:szCs w:val="24"/>
          <w:rtl/>
        </w:rPr>
        <w:t>(ישעיה סג</w:t>
      </w:r>
      <w:r>
        <w:rPr>
          <w:rFonts w:cs="David" w:hint="cs"/>
          <w:szCs w:val="24"/>
          <w:rtl/>
        </w:rPr>
        <w:t xml:space="preserve"> ד</w:t>
      </w:r>
      <w:r w:rsidRPr="00FD2875">
        <w:rPr>
          <w:rFonts w:cs="David"/>
          <w:szCs w:val="24"/>
          <w:rtl/>
        </w:rPr>
        <w:t xml:space="preserve">) </w:t>
      </w:r>
      <w:r w:rsidR="00B12C9E">
        <w:rPr>
          <w:rFonts w:cs="David" w:hint="cs"/>
          <w:szCs w:val="24"/>
          <w:rtl/>
        </w:rPr>
        <w:t xml:space="preserve"> - </w:t>
      </w:r>
      <w:r w:rsidR="00FD2875" w:rsidRPr="00FD2875">
        <w:rPr>
          <w:rFonts w:cs="David"/>
          <w:szCs w:val="24"/>
          <w:rtl/>
        </w:rPr>
        <w:t>אפילו הלב לפה לא גילה</w:t>
      </w:r>
      <w:r>
        <w:rPr>
          <w:rFonts w:cs="David" w:hint="cs"/>
          <w:szCs w:val="24"/>
          <w:rtl/>
        </w:rPr>
        <w:t>.</w:t>
      </w:r>
      <w:r w:rsidR="0073418F">
        <w:rPr>
          <w:rStyle w:val="a5"/>
          <w:rFonts w:cs="David"/>
          <w:szCs w:val="24"/>
          <w:rtl/>
        </w:rPr>
        <w:footnoteReference w:id="13"/>
      </w:r>
      <w:r w:rsidR="00AC1B83">
        <w:rPr>
          <w:rFonts w:cs="David" w:hint="cs"/>
          <w:szCs w:val="24"/>
          <w:rtl/>
        </w:rPr>
        <w:t xml:space="preserve"> </w:t>
      </w:r>
      <w:r>
        <w:rPr>
          <w:rFonts w:cs="David" w:hint="cs"/>
          <w:szCs w:val="24"/>
          <w:rtl/>
        </w:rPr>
        <w:t>"</w:t>
      </w:r>
      <w:r w:rsidR="00FD2875" w:rsidRPr="00FD2875">
        <w:rPr>
          <w:rFonts w:cs="David"/>
          <w:szCs w:val="24"/>
          <w:rtl/>
        </w:rPr>
        <w:t>והנגלות</w:t>
      </w:r>
      <w:r>
        <w:rPr>
          <w:rFonts w:cs="David" w:hint="cs"/>
          <w:szCs w:val="24"/>
          <w:rtl/>
        </w:rPr>
        <w:t>"</w:t>
      </w:r>
      <w:r w:rsidR="00AC1B83">
        <w:rPr>
          <w:rFonts w:cs="David" w:hint="cs"/>
          <w:szCs w:val="24"/>
          <w:rtl/>
        </w:rPr>
        <w:t>,</w:t>
      </w:r>
      <w:r w:rsidR="00FD2875" w:rsidRPr="00FD2875">
        <w:rPr>
          <w:rFonts w:cs="David"/>
          <w:szCs w:val="24"/>
          <w:rtl/>
        </w:rPr>
        <w:t xml:space="preserve"> אלו תשובה ומעשים טובים. </w:t>
      </w:r>
      <w:r>
        <w:rPr>
          <w:rFonts w:cs="David" w:hint="cs"/>
          <w:szCs w:val="24"/>
          <w:rtl/>
        </w:rPr>
        <w:t>"</w:t>
      </w:r>
      <w:r w:rsidR="00FD2875" w:rsidRPr="00FD2875">
        <w:rPr>
          <w:rFonts w:cs="David"/>
          <w:szCs w:val="24"/>
          <w:rtl/>
        </w:rPr>
        <w:t>עד עולם</w:t>
      </w:r>
      <w:r>
        <w:rPr>
          <w:rFonts w:cs="David" w:hint="cs"/>
          <w:szCs w:val="24"/>
          <w:rtl/>
        </w:rPr>
        <w:t>", אפילו בגלותנו</w:t>
      </w:r>
      <w:r w:rsidR="00FD2875" w:rsidRPr="00FD2875">
        <w:rPr>
          <w:rFonts w:cs="David"/>
          <w:szCs w:val="24"/>
          <w:rtl/>
        </w:rPr>
        <w:t>.</w:t>
      </w:r>
      <w:r w:rsidR="00F22516">
        <w:rPr>
          <w:rStyle w:val="a5"/>
          <w:rFonts w:cs="David"/>
          <w:szCs w:val="24"/>
          <w:rtl/>
        </w:rPr>
        <w:footnoteReference w:id="14"/>
      </w:r>
    </w:p>
    <w:p w:rsidR="00D81588" w:rsidRPr="00D81588" w:rsidRDefault="00D81588" w:rsidP="00D871B2">
      <w:pPr>
        <w:pStyle w:val="ab"/>
        <w:rPr>
          <w:rtl/>
        </w:rPr>
      </w:pPr>
      <w:r w:rsidRPr="00D81588">
        <w:rPr>
          <w:rtl/>
        </w:rPr>
        <w:t xml:space="preserve">מסכת סוטה דף כב עמוד ב </w:t>
      </w:r>
    </w:p>
    <w:p w:rsidR="00321EB2" w:rsidRDefault="00321EB2" w:rsidP="00321EB2">
      <w:pPr>
        <w:spacing w:line="320" w:lineRule="atLeast"/>
        <w:jc w:val="both"/>
        <w:rPr>
          <w:rFonts w:cs="David" w:hint="cs"/>
          <w:szCs w:val="24"/>
          <w:rtl/>
        </w:rPr>
      </w:pPr>
      <w:r>
        <w:rPr>
          <w:rFonts w:cs="David" w:hint="cs"/>
          <w:szCs w:val="24"/>
          <w:rtl/>
        </w:rPr>
        <w:t xml:space="preserve">תנו רבנן: </w:t>
      </w:r>
      <w:r w:rsidR="00D81588" w:rsidRPr="00D81588">
        <w:rPr>
          <w:rFonts w:cs="David"/>
          <w:szCs w:val="24"/>
          <w:rtl/>
        </w:rPr>
        <w:t>שבעה פרושין הן: פרוש שיכמי, פרוש נקפי, פרוש קיזאי, פרוש מדוכיא, פרוש מה חובתי ואעשנה, פרוש מאהבה, פרוש מיראה. פרוש שיכמי - זה העושה מעשה שכם. פרוש נקפי - זה המנקיף את רגליו. פרוש קיזאי - א"ר נחמן בר יצחק: זה המקיז דם לכתלים</w:t>
      </w:r>
      <w:r>
        <w:rPr>
          <w:rFonts w:cs="David" w:hint="cs"/>
          <w:szCs w:val="24"/>
          <w:rtl/>
        </w:rPr>
        <w:t xml:space="preserve"> ..</w:t>
      </w:r>
      <w:r w:rsidR="00D81588" w:rsidRPr="00D81588">
        <w:rPr>
          <w:rFonts w:cs="David"/>
          <w:szCs w:val="24"/>
          <w:rtl/>
        </w:rPr>
        <w:t>.</w:t>
      </w:r>
      <w:r>
        <w:rPr>
          <w:rStyle w:val="a5"/>
          <w:rFonts w:cs="David"/>
          <w:szCs w:val="24"/>
          <w:rtl/>
        </w:rPr>
        <w:footnoteReference w:id="15"/>
      </w:r>
      <w:r w:rsidR="00D81588" w:rsidRPr="00D81588">
        <w:rPr>
          <w:rFonts w:cs="David"/>
          <w:szCs w:val="24"/>
          <w:rtl/>
        </w:rPr>
        <w:t xml:space="preserve"> אמר רב נחמן בר יצחק: דמטמרא מטמרא, ודמגליא מגליא, בי דינא רבה ליתפרע מהני ד</w:t>
      </w:r>
      <w:r>
        <w:rPr>
          <w:rFonts w:cs="David"/>
          <w:szCs w:val="24"/>
          <w:rtl/>
        </w:rPr>
        <w:t>ְ</w:t>
      </w:r>
      <w:r w:rsidR="00D81588" w:rsidRPr="00D81588">
        <w:rPr>
          <w:rFonts w:cs="David"/>
          <w:szCs w:val="24"/>
          <w:rtl/>
        </w:rPr>
        <w:t>ח</w:t>
      </w:r>
      <w:r>
        <w:rPr>
          <w:rFonts w:cs="David"/>
          <w:szCs w:val="24"/>
          <w:rtl/>
        </w:rPr>
        <w:t>ָ</w:t>
      </w:r>
      <w:r w:rsidR="00D81588" w:rsidRPr="00D81588">
        <w:rPr>
          <w:rFonts w:cs="David"/>
          <w:szCs w:val="24"/>
          <w:rtl/>
        </w:rPr>
        <w:t>פו</w:t>
      </w:r>
      <w:r>
        <w:rPr>
          <w:rFonts w:cs="David"/>
          <w:szCs w:val="24"/>
          <w:rtl/>
        </w:rPr>
        <w:t>ּ</w:t>
      </w:r>
      <w:r w:rsidR="00D81588" w:rsidRPr="00D81588">
        <w:rPr>
          <w:rFonts w:cs="David"/>
          <w:szCs w:val="24"/>
          <w:rtl/>
        </w:rPr>
        <w:t xml:space="preserve"> גו</w:t>
      </w:r>
      <w:r>
        <w:rPr>
          <w:rFonts w:cs="David"/>
          <w:szCs w:val="24"/>
          <w:rtl/>
        </w:rPr>
        <w:t>ּ</w:t>
      </w:r>
      <w:r w:rsidR="00D81588" w:rsidRPr="00D81588">
        <w:rPr>
          <w:rFonts w:cs="David"/>
          <w:szCs w:val="24"/>
          <w:rtl/>
        </w:rPr>
        <w:t>נ</w:t>
      </w:r>
      <w:r>
        <w:rPr>
          <w:rFonts w:cs="David"/>
          <w:szCs w:val="24"/>
          <w:rtl/>
        </w:rPr>
        <w:t>ְ</w:t>
      </w:r>
      <w:r w:rsidR="00D81588" w:rsidRPr="00D81588">
        <w:rPr>
          <w:rFonts w:cs="David"/>
          <w:szCs w:val="24"/>
          <w:rtl/>
        </w:rPr>
        <w:t>ד</w:t>
      </w:r>
      <w:r>
        <w:rPr>
          <w:rFonts w:cs="David"/>
          <w:szCs w:val="24"/>
          <w:rtl/>
        </w:rPr>
        <w:t>ֵ</w:t>
      </w:r>
      <w:r w:rsidR="00D81588" w:rsidRPr="00D81588">
        <w:rPr>
          <w:rFonts w:cs="David"/>
          <w:szCs w:val="24"/>
          <w:rtl/>
        </w:rPr>
        <w:t>י.</w:t>
      </w:r>
      <w:r>
        <w:rPr>
          <w:rStyle w:val="a5"/>
          <w:rFonts w:cs="David"/>
          <w:szCs w:val="24"/>
          <w:rtl/>
        </w:rPr>
        <w:footnoteReference w:id="16"/>
      </w:r>
      <w:r w:rsidR="00D81588" w:rsidRPr="00D81588">
        <w:rPr>
          <w:rFonts w:cs="David"/>
          <w:szCs w:val="24"/>
          <w:rtl/>
        </w:rPr>
        <w:t xml:space="preserve"> </w:t>
      </w:r>
    </w:p>
    <w:p w:rsidR="00D81588" w:rsidRDefault="00D81588" w:rsidP="00321EB2">
      <w:pPr>
        <w:pStyle w:val="a3"/>
        <w:rPr>
          <w:rFonts w:hint="cs"/>
          <w:rtl/>
        </w:rPr>
      </w:pPr>
    </w:p>
    <w:p w:rsidR="0073418F" w:rsidRDefault="0073418F" w:rsidP="00F22516">
      <w:pPr>
        <w:pStyle w:val="a3"/>
        <w:rPr>
          <w:rtl/>
        </w:rPr>
      </w:pPr>
    </w:p>
    <w:p w:rsidR="001F1EAA" w:rsidRPr="005E6C10" w:rsidRDefault="001F1EAA" w:rsidP="00F767BD">
      <w:pPr>
        <w:pStyle w:val="ad"/>
        <w:spacing w:before="120"/>
        <w:rPr>
          <w:rFonts w:hint="cs"/>
          <w:rtl/>
          <w:lang w:eastAsia="en-US"/>
        </w:rPr>
      </w:pPr>
      <w:r w:rsidRPr="005E6C10">
        <w:rPr>
          <w:rtl/>
          <w:lang w:eastAsia="en-US"/>
        </w:rPr>
        <w:t xml:space="preserve">שבת שלום </w:t>
      </w:r>
      <w:r w:rsidRPr="005E6C10">
        <w:rPr>
          <w:rFonts w:hint="cs"/>
          <w:rtl/>
          <w:lang w:eastAsia="en-US"/>
        </w:rPr>
        <w:t>ואתם נצבים</w:t>
      </w:r>
    </w:p>
    <w:p w:rsidR="00D6469B" w:rsidRDefault="001F1EAA" w:rsidP="00B20CB3">
      <w:pPr>
        <w:pStyle w:val="ad"/>
        <w:rPr>
          <w:rFonts w:hint="cs"/>
          <w:b w:val="0"/>
          <w:bCs w:val="0"/>
          <w:rtl/>
        </w:rPr>
      </w:pPr>
      <w:r w:rsidRPr="005E6C10">
        <w:rPr>
          <w:rFonts w:hint="cs"/>
          <w:rtl/>
          <w:lang w:eastAsia="en-US"/>
        </w:rPr>
        <w:t>מחלקי המים</w:t>
      </w:r>
    </w:p>
    <w:sectPr w:rsidR="00D6469B" w:rsidSect="00E421D5">
      <w:headerReference w:type="default" r:id="rId7"/>
      <w:footerReference w:type="default" r:id="rId8"/>
      <w:headerReference w:type="first" r:id="rId9"/>
      <w:endnotePr>
        <w:numFmt w:val="lowerLetter"/>
      </w:endnotePr>
      <w:pgSz w:w="11907" w:h="16840" w:code="9"/>
      <w:pgMar w:top="1361"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E7" w:rsidRDefault="009467E7">
      <w:r>
        <w:separator/>
      </w:r>
    </w:p>
  </w:endnote>
  <w:endnote w:type="continuationSeparator" w:id="0">
    <w:p w:rsidR="009467E7" w:rsidRDefault="009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F54D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F54D3">
      <w:rPr>
        <w:rStyle w:val="af1"/>
        <w:noProof/>
        <w:rtl/>
      </w:rPr>
      <w:t>3</w:t>
    </w:r>
    <w:r w:rsidRPr="00F8747C">
      <w:rPr>
        <w:rStyle w:val="af1"/>
      </w:rPr>
      <w:fldChar w:fldCharType="end"/>
    </w:r>
  </w:p>
  <w:p w:rsidR="001C7A26" w:rsidRDefault="001C7A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E7" w:rsidRDefault="009467E7">
      <w:pPr>
        <w:rPr>
          <w:lang w:eastAsia="en-US"/>
        </w:rPr>
      </w:pPr>
      <w:r>
        <w:separator/>
      </w:r>
    </w:p>
  </w:footnote>
  <w:footnote w:type="continuationSeparator" w:id="0">
    <w:p w:rsidR="009467E7" w:rsidRDefault="009467E7">
      <w:r>
        <w:continuationSeparator/>
      </w:r>
    </w:p>
  </w:footnote>
  <w:footnote w:id="1">
    <w:p w:rsidR="00E83C8D" w:rsidRDefault="00E83C8D" w:rsidP="00E85516">
      <w:pPr>
        <w:pStyle w:val="a3"/>
        <w:rPr>
          <w:rFonts w:hint="cs"/>
          <w:rtl/>
        </w:rPr>
      </w:pPr>
      <w:r>
        <w:rPr>
          <w:rStyle w:val="a5"/>
        </w:rPr>
        <w:footnoteRef/>
      </w:r>
      <w:r>
        <w:rPr>
          <w:rtl/>
        </w:rPr>
        <w:t xml:space="preserve"> </w:t>
      </w:r>
      <w:r>
        <w:rPr>
          <w:rFonts w:hint="cs"/>
          <w:rtl/>
        </w:rPr>
        <w:t>מעמד הברכה והקללה שבהר גריזים ועיבל כמתואר בפרק כז בדברים. רשב"ם מפנה כאן לפירושו בפסוק טו שם.</w:t>
      </w:r>
    </w:p>
  </w:footnote>
  <w:footnote w:id="2">
    <w:p w:rsidR="00C97D3C" w:rsidRDefault="00C97D3C" w:rsidP="00E85516">
      <w:pPr>
        <w:pStyle w:val="a3"/>
        <w:rPr>
          <w:rFonts w:hint="cs"/>
          <w:rtl/>
        </w:rPr>
      </w:pPr>
      <w:r>
        <w:rPr>
          <w:rStyle w:val="a5"/>
        </w:rPr>
        <w:footnoteRef/>
      </w:r>
      <w:r>
        <w:rPr>
          <w:rtl/>
        </w:rPr>
        <w:t xml:space="preserve"> </w:t>
      </w:r>
      <w:r>
        <w:rPr>
          <w:rFonts w:hint="cs"/>
          <w:rtl/>
        </w:rPr>
        <w:t xml:space="preserve">לפני שנצלול </w:t>
      </w:r>
      <w:r w:rsidR="00E85516">
        <w:rPr>
          <w:rFonts w:hint="cs"/>
          <w:rtl/>
        </w:rPr>
        <w:t>ל</w:t>
      </w:r>
      <w:r>
        <w:rPr>
          <w:rFonts w:hint="cs"/>
          <w:rtl/>
        </w:rPr>
        <w:t>מדרשים ודרשות, נעצור לתחנה קצרה אצל פירושו הפשטני של רשב"ם שהנסתרות הם הדברים עליהם הזהירה התורה במעמד הברכות והקללות בהר גריזים ועיבל (פרשת כי תבוא): "שאין הדבר ליענש ביד בית דין אלא ביד הקב"ה". והנגלות הם הדברים שמסורים "לנו ולבנינו לעשות עפ"י דיני עדים".</w:t>
      </w:r>
      <w:r>
        <w:rPr>
          <w:rFonts w:cs="David" w:hint="cs"/>
          <w:b/>
          <w:bCs/>
          <w:szCs w:val="24"/>
          <w:rtl/>
          <w:lang w:eastAsia="en-US"/>
        </w:rPr>
        <w:t xml:space="preserve"> </w:t>
      </w:r>
      <w:r w:rsidRPr="00E83C8D">
        <w:rPr>
          <w:rFonts w:hint="cs"/>
          <w:rtl/>
        </w:rPr>
        <w:t>ראה גם פירוש אבן עזרא שאומר דברים דומים</w:t>
      </w:r>
      <w:r>
        <w:rPr>
          <w:rFonts w:hint="cs"/>
          <w:rtl/>
        </w:rPr>
        <w:t>, אך מביא גם פירוש של "יש אומרים" שאומר: "</w:t>
      </w:r>
      <w:r>
        <w:rPr>
          <w:rtl/>
        </w:rPr>
        <w:t>כי הנסתרות והנגלות הם לה', ואין לנו כי אם לעשות דברי התורה</w:t>
      </w:r>
      <w:r>
        <w:rPr>
          <w:rFonts w:hint="cs"/>
          <w:rtl/>
        </w:rPr>
        <w:t>". אבן עזרא דוחה פירוש זה מכל וכל ואומר בלשונו החדה: "</w:t>
      </w:r>
      <w:r>
        <w:rPr>
          <w:rtl/>
        </w:rPr>
        <w:t>וזה הפי</w:t>
      </w:r>
      <w:r>
        <w:rPr>
          <w:rFonts w:hint="cs"/>
          <w:rtl/>
        </w:rPr>
        <w:t>רוש</w:t>
      </w:r>
      <w:r>
        <w:rPr>
          <w:rtl/>
        </w:rPr>
        <w:t xml:space="preserve"> בלא ראש ורגל</w:t>
      </w:r>
      <w:r>
        <w:rPr>
          <w:rFonts w:hint="cs"/>
          <w:rtl/>
        </w:rPr>
        <w:t>"</w:t>
      </w:r>
      <w:r>
        <w:rPr>
          <w:rtl/>
        </w:rPr>
        <w:t>.</w:t>
      </w:r>
    </w:p>
  </w:footnote>
  <w:footnote w:id="3">
    <w:p w:rsidR="00F42E56" w:rsidRDefault="00F42E56" w:rsidP="00E85516">
      <w:pPr>
        <w:pStyle w:val="a3"/>
        <w:rPr>
          <w:rFonts w:hint="cs"/>
          <w:rtl/>
        </w:rPr>
      </w:pPr>
      <w:r>
        <w:rPr>
          <w:rStyle w:val="a5"/>
        </w:rPr>
        <w:footnoteRef/>
      </w:r>
      <w:r>
        <w:rPr>
          <w:rtl/>
        </w:rPr>
        <w:t xml:space="preserve"> </w:t>
      </w:r>
      <w:r>
        <w:rPr>
          <w:rFonts w:hint="cs"/>
          <w:rtl/>
        </w:rPr>
        <w:t>עפ"י מסורת המקרא יש סימון נקודות מעל האותיות במספר מקומות ב</w:t>
      </w:r>
      <w:r w:rsidR="00EC1615">
        <w:rPr>
          <w:rFonts w:hint="cs"/>
          <w:rtl/>
        </w:rPr>
        <w:t>תורה</w:t>
      </w:r>
      <w:r>
        <w:rPr>
          <w:rFonts w:hint="cs"/>
          <w:rtl/>
        </w:rPr>
        <w:t xml:space="preserve"> וכבר הרחבנו בנושא זה ומקורותיו בדברינו </w:t>
      </w:r>
      <w:hyperlink r:id="rId1" w:history="1">
        <w:r w:rsidRPr="00EC1615">
          <w:rPr>
            <w:rStyle w:val="Hyperlink"/>
            <w:rFonts w:hint="cs"/>
            <w:rtl/>
          </w:rPr>
          <w:t>מפגש יעקב ועשו</w:t>
        </w:r>
      </w:hyperlink>
      <w:r>
        <w:rPr>
          <w:rFonts w:hint="cs"/>
          <w:rtl/>
        </w:rPr>
        <w:t xml:space="preserve"> בפרשת וישלח. ניקוד כזה אומר דרשני</w:t>
      </w:r>
      <w:r w:rsidR="00EC1615">
        <w:rPr>
          <w:rFonts w:hint="cs"/>
          <w:rtl/>
        </w:rPr>
        <w:t xml:space="preserve"> ומצביע על </w:t>
      </w:r>
      <w:r>
        <w:rPr>
          <w:rFonts w:hint="cs"/>
          <w:rtl/>
        </w:rPr>
        <w:t>רובד סמוי מ</w:t>
      </w:r>
      <w:r w:rsidR="00E85516">
        <w:rPr>
          <w:rFonts w:hint="eastAsia"/>
          <w:rtl/>
        </w:rPr>
        <w:t>ְ</w:t>
      </w:r>
      <w:r>
        <w:rPr>
          <w:rFonts w:hint="cs"/>
          <w:rtl/>
        </w:rPr>
        <w:t>ע</w:t>
      </w:r>
      <w:r w:rsidR="00E85516">
        <w:rPr>
          <w:rFonts w:hint="eastAsia"/>
          <w:rtl/>
        </w:rPr>
        <w:t>ֶ</w:t>
      </w:r>
      <w:r>
        <w:rPr>
          <w:rFonts w:hint="cs"/>
          <w:rtl/>
        </w:rPr>
        <w:t>ב</w:t>
      </w:r>
      <w:r w:rsidR="00E85516">
        <w:rPr>
          <w:rFonts w:hint="eastAsia"/>
          <w:rtl/>
        </w:rPr>
        <w:t>ֶ</w:t>
      </w:r>
      <w:r>
        <w:rPr>
          <w:rFonts w:hint="cs"/>
          <w:rtl/>
        </w:rPr>
        <w:t>ר ואולי אפילו בניגוד לפשט המילים. מקור זה באבות דרבי נתן</w:t>
      </w:r>
      <w:r>
        <w:rPr>
          <w:rtl/>
        </w:rPr>
        <w:t xml:space="preserve"> (וכן המקבילה באבות דרבי נתן נוסח ב פרק לז) מונה עשרה מקומות בתורה שיש ניקוד על האותיות. ובכולם יש סיבה ברורה, לבד מהמקרה שלנו. זאת ועוד, רק במקרה שלנו מופיע ה</w:t>
      </w:r>
      <w:r w:rsidR="00E85516">
        <w:rPr>
          <w:rtl/>
        </w:rPr>
        <w:t>ָ</w:t>
      </w:r>
      <w:r>
        <w:rPr>
          <w:rtl/>
        </w:rPr>
        <w:t>ס</w:t>
      </w:r>
      <w:r w:rsidR="00E85516">
        <w:rPr>
          <w:rtl/>
        </w:rPr>
        <w:t>ָ</w:t>
      </w:r>
      <w:r>
        <w:rPr>
          <w:rtl/>
        </w:rPr>
        <w:t>פ</w:t>
      </w:r>
      <w:r w:rsidR="00E85516">
        <w:rPr>
          <w:rtl/>
        </w:rPr>
        <w:t>ֵ</w:t>
      </w:r>
      <w:r>
        <w:rPr>
          <w:rtl/>
        </w:rPr>
        <w:t>ק שהיה לעזרא אם לנקד אם לא וחששו</w:t>
      </w:r>
      <w:r w:rsidR="00E85516">
        <w:rPr>
          <w:rtl/>
        </w:rPr>
        <w:t>ֹ</w:t>
      </w:r>
      <w:r>
        <w:rPr>
          <w:rtl/>
        </w:rPr>
        <w:t xml:space="preserve"> "מה יגיד אליהו". מה הספק שהיה כאן לעזרא? איזה נסתר מסתתר בפסוק זה? האם הוא בחלק "הנסתרות לה' </w:t>
      </w:r>
      <w:r w:rsidR="00E85516">
        <w:rPr>
          <w:rtl/>
        </w:rPr>
        <w:t>אלוהינו</w:t>
      </w:r>
      <w:r>
        <w:rPr>
          <w:rtl/>
        </w:rPr>
        <w:t>" או ב"נגלות לנו ולבנינו"?</w:t>
      </w:r>
    </w:p>
  </w:footnote>
  <w:footnote w:id="4">
    <w:p w:rsidR="00AC1831" w:rsidRDefault="00AC1831" w:rsidP="0038683D">
      <w:pPr>
        <w:pStyle w:val="a3"/>
        <w:rPr>
          <w:rFonts w:hint="cs"/>
          <w:rtl/>
        </w:rPr>
      </w:pPr>
      <w:r>
        <w:rPr>
          <w:rStyle w:val="a5"/>
        </w:rPr>
        <w:footnoteRef/>
      </w:r>
      <w:r>
        <w:rPr>
          <w:rtl/>
        </w:rPr>
        <w:t xml:space="preserve"> שיטת ר' יהודה היא שכל זמן שהיו </w:t>
      </w:r>
      <w:smartTag w:uri="urn:schemas-microsoft-com:office:smarttags" w:element="PersonName">
        <w:smartTagPr>
          <w:attr w:name="ProductID" w:val="בני ישראל"/>
        </w:smartTagPr>
        <w:r>
          <w:rPr>
            <w:rtl/>
          </w:rPr>
          <w:t>בני ישראל</w:t>
        </w:r>
      </w:smartTag>
      <w:r>
        <w:rPr>
          <w:rtl/>
        </w:rPr>
        <w:t xml:space="preserve"> במדבר התחייבו בערבות הדדית (</w:t>
      </w:r>
      <w:r w:rsidR="00EC1615">
        <w:rPr>
          <w:rFonts w:hint="cs"/>
          <w:rtl/>
        </w:rPr>
        <w:t xml:space="preserve">מדין </w:t>
      </w:r>
      <w:hyperlink r:id="rId2" w:history="1">
        <w:r w:rsidRPr="00EC1615">
          <w:rPr>
            <w:rStyle w:val="Hyperlink"/>
            <w:rtl/>
          </w:rPr>
          <w:t>כל ישראל ער</w:t>
        </w:r>
        <w:r w:rsidRPr="00EC1615">
          <w:rPr>
            <w:rStyle w:val="Hyperlink"/>
            <w:rtl/>
          </w:rPr>
          <w:t>ב</w:t>
        </w:r>
        <w:r w:rsidRPr="00EC1615">
          <w:rPr>
            <w:rStyle w:val="Hyperlink"/>
            <w:rtl/>
          </w:rPr>
          <w:t>ים זה בזה</w:t>
        </w:r>
      </w:hyperlink>
      <w:r w:rsidR="00EC1615">
        <w:rPr>
          <w:rFonts w:hint="cs"/>
          <w:rtl/>
        </w:rPr>
        <w:t xml:space="preserve"> עליו הרחבנו לדון בפרשת בחוקותי</w:t>
      </w:r>
      <w:r>
        <w:rPr>
          <w:rtl/>
        </w:rPr>
        <w:t xml:space="preserve">) רק על הנגלות. אבל לאחר שנכנסו לארץ, </w:t>
      </w:r>
      <w:r>
        <w:rPr>
          <w:rFonts w:hint="cs"/>
          <w:rtl/>
        </w:rPr>
        <w:t>ה</w:t>
      </w:r>
      <w:r>
        <w:rPr>
          <w:rtl/>
        </w:rPr>
        <w:t xml:space="preserve">תחייבו גם על הנסתרות. שיטה זו מסבירה אמנם את העונש שקיבלו ישראל בגין חטאו של עכן (36 איש שנהרגו: "רובה של סנהדרין", </w:t>
      </w:r>
      <w:r w:rsidR="00EC1615">
        <w:rPr>
          <w:rFonts w:hint="cs"/>
          <w:rtl/>
        </w:rPr>
        <w:t>בירושלמי להלן</w:t>
      </w:r>
      <w:r>
        <w:rPr>
          <w:rtl/>
        </w:rPr>
        <w:t xml:space="preserve">), אך היא מאד אוטופית שהרי "אין אדם יודע מה בלבו של חברו" (פסחים נד ב). ואולי ר' יהודה סובר שהישיבה בארץ הייתה צריכה להביא את עם ישראל לדרגה גבוהה של אחווה ולכידות </w:t>
      </w:r>
      <w:r>
        <w:rPr>
          <w:rFonts w:hint="cs"/>
          <w:rtl/>
        </w:rPr>
        <w:t xml:space="preserve">עד </w:t>
      </w:r>
      <w:r>
        <w:rPr>
          <w:rtl/>
        </w:rPr>
        <w:t>שיכלו</w:t>
      </w:r>
      <w:r>
        <w:rPr>
          <w:rFonts w:hint="cs"/>
          <w:rtl/>
        </w:rPr>
        <w:t xml:space="preserve"> (נדרשו)</w:t>
      </w:r>
      <w:r>
        <w:rPr>
          <w:rtl/>
        </w:rPr>
        <w:t xml:space="preserve"> גם לערוב על הנסתרות ולדעת מה בלבו של חברו. ורש"י </w:t>
      </w:r>
      <w:r w:rsidR="0038683D">
        <w:rPr>
          <w:rFonts w:hint="cs"/>
          <w:rtl/>
        </w:rPr>
        <w:t>בגמרא סנהדרין</w:t>
      </w:r>
      <w:r>
        <w:rPr>
          <w:rtl/>
        </w:rPr>
        <w:t xml:space="preserve"> מעיר שלפי שיטת ר' יהודה "היה לו לנקוד את הנקודה הזאת על לה' אלהינו, אבל לאו אורח ארעא לנקוד את השם".</w:t>
      </w:r>
    </w:p>
  </w:footnote>
  <w:footnote w:id="5">
    <w:p w:rsidR="00AC1831" w:rsidRDefault="00AC1831" w:rsidP="0038683D">
      <w:pPr>
        <w:pStyle w:val="a3"/>
        <w:rPr>
          <w:rFonts w:hint="cs"/>
          <w:rtl/>
        </w:rPr>
      </w:pPr>
      <w:r>
        <w:rPr>
          <w:rStyle w:val="a5"/>
        </w:rPr>
        <w:footnoteRef/>
      </w:r>
      <w:r>
        <w:rPr>
          <w:rtl/>
        </w:rPr>
        <w:t xml:space="preserve"> שיטת ר' נחמיה </w:t>
      </w:r>
      <w:r w:rsidR="0038683D">
        <w:rPr>
          <w:rFonts w:hint="cs"/>
          <w:rtl/>
        </w:rPr>
        <w:t xml:space="preserve">היא </w:t>
      </w:r>
      <w:r>
        <w:rPr>
          <w:rFonts w:hint="cs"/>
          <w:rtl/>
        </w:rPr>
        <w:t xml:space="preserve">שעל הנסתרות אף פעם לא נענשים </w:t>
      </w:r>
      <w:r>
        <w:rPr>
          <w:rtl/>
        </w:rPr>
        <w:t>–</w:t>
      </w:r>
      <w:r>
        <w:rPr>
          <w:rFonts w:hint="cs"/>
          <w:rtl/>
        </w:rPr>
        <w:t xml:space="preserve"> "עד עולם"</w:t>
      </w:r>
      <w:r w:rsidR="00E85516">
        <w:rPr>
          <w:rFonts w:hint="cs"/>
          <w:rtl/>
        </w:rPr>
        <w:t xml:space="preserve"> (גם לשעבר)</w:t>
      </w:r>
      <w:r>
        <w:rPr>
          <w:rFonts w:hint="cs"/>
          <w:rtl/>
        </w:rPr>
        <w:t xml:space="preserve">, </w:t>
      </w:r>
      <w:r w:rsidR="0038683D">
        <w:rPr>
          <w:rFonts w:hint="cs"/>
          <w:rtl/>
        </w:rPr>
        <w:t>ו</w:t>
      </w:r>
      <w:r>
        <w:rPr>
          <w:rFonts w:hint="cs"/>
          <w:rtl/>
        </w:rPr>
        <w:t>על הנגלות</w:t>
      </w:r>
      <w:r w:rsidR="0038683D">
        <w:rPr>
          <w:rFonts w:hint="cs"/>
          <w:rtl/>
        </w:rPr>
        <w:t xml:space="preserve"> נענשו רק משנכסו לארץ. שיטה זו </w:t>
      </w:r>
      <w:r>
        <w:rPr>
          <w:rtl/>
        </w:rPr>
        <w:t xml:space="preserve">נראית יותר מציאותית, אך היא צריכה להסביר את המקרה של עכן וגם מדוע באמת לא נענשו </w:t>
      </w:r>
      <w:smartTag w:uri="urn:schemas-microsoft-com:office:smarttags" w:element="PersonName">
        <w:smartTagPr>
          <w:attr w:name="ProductID" w:val="בני ישראל"/>
        </w:smartTagPr>
        <w:r>
          <w:rPr>
            <w:rtl/>
          </w:rPr>
          <w:t>בני ישראל</w:t>
        </w:r>
      </w:smartTag>
      <w:r>
        <w:rPr>
          <w:rtl/>
        </w:rPr>
        <w:t xml:space="preserve"> על הנגלות לפני הכניסה לארץ. על השאלה הראשונה עונה הגמרא בהמשך הסוגיה </w:t>
      </w:r>
      <w:r w:rsidR="00EC1615">
        <w:rPr>
          <w:rFonts w:hint="cs"/>
          <w:rtl/>
        </w:rPr>
        <w:t xml:space="preserve">בסנהדרין מג הנ"ל, </w:t>
      </w:r>
      <w:r>
        <w:rPr>
          <w:rtl/>
        </w:rPr>
        <w:t xml:space="preserve">שאשתו ובניו של עכן ידעו וזה כבר הופך את הדבר ל"נגלות". </w:t>
      </w:r>
      <w:r w:rsidR="00EC1615">
        <w:rPr>
          <w:rFonts w:hint="cs"/>
          <w:rtl/>
        </w:rPr>
        <w:t>(</w:t>
      </w:r>
      <w:r>
        <w:rPr>
          <w:rtl/>
        </w:rPr>
        <w:t xml:space="preserve">ראה שטיינזלץ </w:t>
      </w:r>
      <w:r w:rsidR="00EC1615">
        <w:rPr>
          <w:rFonts w:hint="cs"/>
          <w:rtl/>
        </w:rPr>
        <w:t xml:space="preserve">שם </w:t>
      </w:r>
      <w:r>
        <w:rPr>
          <w:rtl/>
        </w:rPr>
        <w:t xml:space="preserve">שהביא בשם המאירי שכל דבר שיודעים אותו שלושה אנשים נחשב ידוע לכל). ראה גם פירוש מהרש"א כאן שאומר שאצל עכן </w:t>
      </w:r>
      <w:r w:rsidR="00E85516">
        <w:rPr>
          <w:rFonts w:hint="cs"/>
          <w:rtl/>
        </w:rPr>
        <w:t xml:space="preserve">הציבור בכללותו </w:t>
      </w:r>
      <w:r>
        <w:rPr>
          <w:rtl/>
        </w:rPr>
        <w:t xml:space="preserve">התרשל בשמירה </w:t>
      </w:r>
      <w:r w:rsidR="00E85516">
        <w:rPr>
          <w:rFonts w:hint="cs"/>
          <w:rtl/>
        </w:rPr>
        <w:t>ע</w:t>
      </w:r>
      <w:r>
        <w:rPr>
          <w:rtl/>
        </w:rPr>
        <w:t>ל לק</w:t>
      </w:r>
      <w:r>
        <w:rPr>
          <w:rFonts w:hint="cs"/>
          <w:rtl/>
        </w:rPr>
        <w:t>י</w:t>
      </w:r>
      <w:r>
        <w:rPr>
          <w:rtl/>
        </w:rPr>
        <w:t>ח</w:t>
      </w:r>
      <w:r>
        <w:rPr>
          <w:rFonts w:hint="cs"/>
          <w:rtl/>
        </w:rPr>
        <w:t>ה</w:t>
      </w:r>
      <w:r>
        <w:rPr>
          <w:rtl/>
        </w:rPr>
        <w:t xml:space="preserve"> מהחרם (מעין "הוכח תוכיח").</w:t>
      </w:r>
      <w:r>
        <w:rPr>
          <w:rFonts w:hint="cs"/>
          <w:rtl/>
        </w:rPr>
        <w:t xml:space="preserve"> </w:t>
      </w:r>
      <w:r>
        <w:rPr>
          <w:rtl/>
        </w:rPr>
        <w:t>על השאלה השנייה צריך לומר שהכלל "כל ישראל ערבים זה בזה" נכנס לתוקף רק בכניסה לארץ ישראל, לאחר ההשבעה בהר גריזים והר עיבל (</w:t>
      </w:r>
      <w:r>
        <w:rPr>
          <w:rFonts w:hint="cs"/>
          <w:rtl/>
        </w:rPr>
        <w:t xml:space="preserve">רק </w:t>
      </w:r>
      <w:r>
        <w:rPr>
          <w:rtl/>
        </w:rPr>
        <w:t xml:space="preserve">שני ארורים שם הם "בסתר", כל השאר הם דברים שבגלוי, </w:t>
      </w:r>
      <w:r w:rsidR="00EC1615">
        <w:rPr>
          <w:rFonts w:hint="cs"/>
          <w:rtl/>
        </w:rPr>
        <w:t xml:space="preserve">ובניגוד לשיטת </w:t>
      </w:r>
      <w:r>
        <w:rPr>
          <w:rtl/>
        </w:rPr>
        <w:t xml:space="preserve">רשב"ם </w:t>
      </w:r>
      <w:r w:rsidR="00C97D3C">
        <w:rPr>
          <w:rFonts w:hint="cs"/>
          <w:rtl/>
        </w:rPr>
        <w:t>ב</w:t>
      </w:r>
      <w:r>
        <w:rPr>
          <w:rtl/>
        </w:rPr>
        <w:t>פרק כז פסוק טו</w:t>
      </w:r>
      <w:r w:rsidR="00EC1615">
        <w:rPr>
          <w:rFonts w:hint="cs"/>
          <w:rtl/>
        </w:rPr>
        <w:t xml:space="preserve"> ובהערה 1 בה פתחנו</w:t>
      </w:r>
      <w:r>
        <w:rPr>
          <w:rtl/>
        </w:rPr>
        <w:t xml:space="preserve">). רש"י בפרשתנו </w:t>
      </w:r>
      <w:r w:rsidR="00EC1615">
        <w:rPr>
          <w:rFonts w:hint="cs"/>
          <w:rtl/>
        </w:rPr>
        <w:t>מ</w:t>
      </w:r>
      <w:r>
        <w:rPr>
          <w:rtl/>
        </w:rPr>
        <w:t xml:space="preserve">ביא רק את שיטת ר' נחמיה (שלא כבמקומות אחרים בהם הוא מביא את שתי השיטות, ראה </w:t>
      </w:r>
      <w:r w:rsidR="00EC1615">
        <w:rPr>
          <w:rFonts w:hint="cs"/>
          <w:rtl/>
        </w:rPr>
        <w:t xml:space="preserve">למשל </w:t>
      </w:r>
      <w:r>
        <w:rPr>
          <w:rtl/>
        </w:rPr>
        <w:t>פרשת האזינו הסמוכה, פרק לב פסוק מג) וסיכמָהּ בלשונו הצחה. ונראה שרוב המפרשים הולכים בעקבות רש"י ומקבלים את שיטת ר' נחמיה</w:t>
      </w:r>
      <w:r w:rsidR="00EC1615">
        <w:rPr>
          <w:rFonts w:hint="cs"/>
          <w:rtl/>
        </w:rPr>
        <w:t xml:space="preserve"> שהיא אולי פירוש לדברי משה </w:t>
      </w:r>
      <w:r w:rsidR="003628D5">
        <w:rPr>
          <w:rFonts w:hint="cs"/>
          <w:rtl/>
        </w:rPr>
        <w:t>ב</w:t>
      </w:r>
      <w:r w:rsidR="003628D5">
        <w:rPr>
          <w:rtl/>
        </w:rPr>
        <w:t>דברים יב ח</w:t>
      </w:r>
      <w:r w:rsidR="003628D5">
        <w:rPr>
          <w:rFonts w:hint="cs"/>
          <w:rtl/>
        </w:rPr>
        <w:t>-ט: "</w:t>
      </w:r>
      <w:r w:rsidR="003628D5">
        <w:rPr>
          <w:rtl/>
        </w:rPr>
        <w:t>לֹא תַעֲשׂוּן כְּכֹל אֲשֶׁר אֲנַחְנוּ עֹשִׂים פֹּה הַיּוֹם אִישׁ כָּל־הַיָּשָׁר בְּעֵינָיו:</w:t>
      </w:r>
      <w:r w:rsidR="003628D5">
        <w:rPr>
          <w:rFonts w:hint="cs"/>
          <w:rtl/>
        </w:rPr>
        <w:t xml:space="preserve"> </w:t>
      </w:r>
      <w:r w:rsidR="003628D5">
        <w:rPr>
          <w:rtl/>
        </w:rPr>
        <w:t>כִּי לֹא־בָאתֶם עַד־עָתָּה אֶל־הַמְּנוּחָה וְאֶל־הַנַּחֲלָה</w:t>
      </w:r>
      <w:r w:rsidR="003628D5">
        <w:rPr>
          <w:rFonts w:hint="cs"/>
          <w:rtl/>
        </w:rPr>
        <w:t xml:space="preserve"> וכו' ".</w:t>
      </w:r>
    </w:p>
  </w:footnote>
  <w:footnote w:id="6">
    <w:p w:rsidR="00D6469B" w:rsidRDefault="00D6469B" w:rsidP="00E421D5">
      <w:pPr>
        <w:pStyle w:val="a3"/>
        <w:rPr>
          <w:rFonts w:hint="cs"/>
          <w:rtl/>
        </w:rPr>
      </w:pPr>
      <w:r>
        <w:rPr>
          <w:rStyle w:val="a5"/>
        </w:rPr>
        <w:footnoteRef/>
      </w:r>
      <w:r>
        <w:rPr>
          <w:rtl/>
        </w:rPr>
        <w:t xml:space="preserve"> </w:t>
      </w:r>
      <w:r w:rsidR="00B36D94">
        <w:rPr>
          <w:rFonts w:hint="cs"/>
          <w:rtl/>
        </w:rPr>
        <w:t>מזכיר את מעמד הר סיני: "</w:t>
      </w:r>
      <w:r w:rsidR="00B36D94">
        <w:rPr>
          <w:rtl/>
        </w:rPr>
        <w:t>מלמד שכפה הקב"ה עליהם את ההר כגיגית, ואמר להם: אם אתם מקבלים התורה - מוטב, ואם לאו - שם תהא קבורתכם</w:t>
      </w:r>
      <w:r w:rsidR="00B36D94">
        <w:rPr>
          <w:rFonts w:hint="cs"/>
          <w:rtl/>
        </w:rPr>
        <w:t>" (</w:t>
      </w:r>
      <w:r w:rsidR="00B36D94">
        <w:rPr>
          <w:rtl/>
        </w:rPr>
        <w:t>מסכת שבת דף פח עמוד א</w:t>
      </w:r>
      <w:r w:rsidR="00B36D94">
        <w:rPr>
          <w:rFonts w:hint="cs"/>
          <w:rtl/>
        </w:rPr>
        <w:t>). אבל בקריעת ים סוף לא עשה כך ואדרבא: "</w:t>
      </w:r>
      <w:r w:rsidR="00B36D94">
        <w:rPr>
          <w:rtl/>
        </w:rPr>
        <w:t>עבודה זרה עברה עם ישראל בים</w:t>
      </w:r>
      <w:r w:rsidR="00B36D94">
        <w:rPr>
          <w:rFonts w:hint="cs"/>
          <w:rtl/>
        </w:rPr>
        <w:t>" (</w:t>
      </w:r>
      <w:r w:rsidR="00B36D94">
        <w:rPr>
          <w:rtl/>
        </w:rPr>
        <w:t>מכילתא דרבי ישמעאל בא - מסכתא דפסחא פרשה יד</w:t>
      </w:r>
      <w:r w:rsidR="00B36D94">
        <w:rPr>
          <w:rFonts w:hint="cs"/>
          <w:rtl/>
        </w:rPr>
        <w:t xml:space="preserve">, ראה דברינו </w:t>
      </w:r>
      <w:hyperlink r:id="rId3" w:history="1">
        <w:r w:rsidR="00B36D94" w:rsidRPr="00E421D5">
          <w:rPr>
            <w:rStyle w:val="Hyperlink"/>
            <w:rFonts w:hint="cs"/>
            <w:rtl/>
          </w:rPr>
          <w:t xml:space="preserve">וימרו על ים </w:t>
        </w:r>
        <w:r w:rsidR="003F0C0F" w:rsidRPr="00E421D5">
          <w:rPr>
            <w:rStyle w:val="Hyperlink"/>
            <w:rFonts w:hint="cs"/>
            <w:rtl/>
          </w:rPr>
          <w:t>סוף</w:t>
        </w:r>
      </w:hyperlink>
      <w:r w:rsidR="003F0C0F">
        <w:rPr>
          <w:rFonts w:hint="cs"/>
          <w:rtl/>
        </w:rPr>
        <w:t xml:space="preserve"> בפרשת בשלח. אצל יהושע, העם נדרש להכרעה בחציית הירדן. </w:t>
      </w:r>
      <w:r>
        <w:rPr>
          <w:rFonts w:hint="cs"/>
          <w:rtl/>
        </w:rPr>
        <w:t xml:space="preserve">ראה </w:t>
      </w:r>
      <w:r w:rsidR="003F0C0F">
        <w:rPr>
          <w:rFonts w:hint="cs"/>
          <w:rtl/>
        </w:rPr>
        <w:t xml:space="preserve">גם </w:t>
      </w:r>
      <w:r w:rsidR="00C97D3C">
        <w:rPr>
          <w:rFonts w:hint="cs"/>
          <w:rtl/>
        </w:rPr>
        <w:t xml:space="preserve">גמרא </w:t>
      </w:r>
      <w:r w:rsidR="00EC1615">
        <w:rPr>
          <w:rFonts w:hint="cs"/>
          <w:rtl/>
        </w:rPr>
        <w:t xml:space="preserve">בבלי </w:t>
      </w:r>
      <w:r>
        <w:rPr>
          <w:rtl/>
        </w:rPr>
        <w:t>מסכת סוטה דף לד עמוד א</w:t>
      </w:r>
      <w:r>
        <w:rPr>
          <w:rFonts w:hint="cs"/>
          <w:rtl/>
        </w:rPr>
        <w:t>: "</w:t>
      </w:r>
      <w:r>
        <w:rPr>
          <w:rtl/>
        </w:rPr>
        <w:t>עודם בירדן, אמר להם יהושע: דעו על מה אתם עוברים את הירדן, על מנת שתורישו את יושבי הארץ מפניכם, שנאמר: והורשתם את כל יושבי הארץ מפניכם</w:t>
      </w:r>
      <w:r>
        <w:rPr>
          <w:rFonts w:hint="cs"/>
          <w:rtl/>
        </w:rPr>
        <w:t xml:space="preserve"> (</w:t>
      </w:r>
      <w:r>
        <w:rPr>
          <w:rtl/>
        </w:rPr>
        <w:t>במדבר לג</w:t>
      </w:r>
      <w:r>
        <w:rPr>
          <w:rFonts w:hint="cs"/>
          <w:rtl/>
        </w:rPr>
        <w:t xml:space="preserve"> נב). </w:t>
      </w:r>
      <w:r>
        <w:rPr>
          <w:rtl/>
        </w:rPr>
        <w:t>אם אתם עושין כן - מוטב, ואם לאו - באין מים ושוטפין אותיכם. מאי אותיכם? אותי ואתכם</w:t>
      </w:r>
      <w:r>
        <w:rPr>
          <w:rFonts w:hint="cs"/>
          <w:rtl/>
        </w:rPr>
        <w:t>"</w:t>
      </w:r>
      <w:r>
        <w:rPr>
          <w:rtl/>
        </w:rPr>
        <w:t>.</w:t>
      </w:r>
    </w:p>
  </w:footnote>
  <w:footnote w:id="7">
    <w:p w:rsidR="00AC1831" w:rsidRDefault="00AC1831" w:rsidP="00AC1831">
      <w:pPr>
        <w:pStyle w:val="a3"/>
        <w:rPr>
          <w:rFonts w:hint="cs"/>
        </w:rPr>
      </w:pPr>
      <w:r>
        <w:rPr>
          <w:rStyle w:val="a5"/>
        </w:rPr>
        <w:footnoteRef/>
      </w:r>
      <w:r>
        <w:rPr>
          <w:rtl/>
        </w:rPr>
        <w:t xml:space="preserve"> </w:t>
      </w:r>
      <w:r>
        <w:rPr>
          <w:rFonts w:hint="cs"/>
          <w:rtl/>
        </w:rPr>
        <w:t xml:space="preserve">נכון, מתאים, נאה, </w:t>
      </w:r>
      <w:r w:rsidR="003F0C0F">
        <w:rPr>
          <w:rFonts w:hint="cs"/>
          <w:rtl/>
        </w:rPr>
        <w:t xml:space="preserve">ראוי - </w:t>
      </w:r>
      <w:r>
        <w:rPr>
          <w:rFonts w:hint="cs"/>
          <w:rtl/>
        </w:rPr>
        <w:t>ניב לשון שכיח בתלמוד הירושלמי. ו</w:t>
      </w:r>
      <w:r w:rsidR="00EC1615">
        <w:rPr>
          <w:rFonts w:hint="cs"/>
          <w:rtl/>
        </w:rPr>
        <w:t>ב</w:t>
      </w:r>
      <w:r>
        <w:rPr>
          <w:rFonts w:hint="cs"/>
          <w:rtl/>
        </w:rPr>
        <w:t xml:space="preserve">ימינו: כיאות. </w:t>
      </w:r>
    </w:p>
  </w:footnote>
  <w:footnote w:id="8">
    <w:p w:rsidR="00AC1831" w:rsidRDefault="00AC1831" w:rsidP="00EC1615">
      <w:pPr>
        <w:pStyle w:val="a3"/>
        <w:rPr>
          <w:rFonts w:hint="cs"/>
          <w:rtl/>
        </w:rPr>
      </w:pPr>
      <w:r>
        <w:rPr>
          <w:rStyle w:val="a5"/>
        </w:rPr>
        <w:footnoteRef/>
      </w:r>
      <w:r>
        <w:rPr>
          <w:rtl/>
        </w:rPr>
        <w:t xml:space="preserve"> פרק שביעי בירושלמי מסכת סוטה</w:t>
      </w:r>
      <w:r>
        <w:rPr>
          <w:rFonts w:hint="cs"/>
          <w:rtl/>
        </w:rPr>
        <w:t>,</w:t>
      </w:r>
      <w:r>
        <w:rPr>
          <w:rtl/>
        </w:rPr>
        <w:t xml:space="preserve"> מתאר בהרחבה את האירוע של חציית הירדן בכניסה לארץ, ההשבעה בהר גריזים והר עיבל, בניית המזבח וכתיבת התורה על האבנים כמוזכר בפרשת כי תבוא</w:t>
      </w:r>
      <w:r>
        <w:rPr>
          <w:rFonts w:hint="cs"/>
          <w:rtl/>
        </w:rPr>
        <w:t xml:space="preserve">, דברים פרק כז (ראה דברינו </w:t>
      </w:r>
      <w:hyperlink r:id="rId4" w:history="1">
        <w:r w:rsidRPr="00EC1615">
          <w:rPr>
            <w:rStyle w:val="Hyperlink"/>
            <w:rFonts w:hint="cs"/>
            <w:rtl/>
          </w:rPr>
          <w:t>האבן תשמור על האבן</w:t>
        </w:r>
      </w:hyperlink>
      <w:r>
        <w:rPr>
          <w:rFonts w:hint="cs"/>
          <w:rtl/>
        </w:rPr>
        <w:t xml:space="preserve"> בפרשת כי תבוא)</w:t>
      </w:r>
      <w:r>
        <w:rPr>
          <w:rtl/>
        </w:rPr>
        <w:t xml:space="preserve">. הירושלמי מציע שיטת ביניים בין ר' יהודה ור' נחמיה שבבבלי. לכתחילה כר' יהודה, אבל לאחר חורבן </w:t>
      </w:r>
      <w:smartTag w:uri="urn:schemas-microsoft-com:office:smarttags" w:element="PersonName">
        <w:smartTagPr>
          <w:attr w:name="ProductID" w:val="בית שני -"/>
        </w:smartTagPr>
        <w:r>
          <w:rPr>
            <w:rtl/>
          </w:rPr>
          <w:t>בית שני -</w:t>
        </w:r>
      </w:smartTag>
      <w:r>
        <w:rPr>
          <w:rtl/>
        </w:rPr>
        <w:t xml:space="preserve"> ביבנה - "הותרה הרצועה" ולא נענשים עוד על הנסתרות. אולי בגלל שראו ששנאת חינם גוברת על "כל ישראל ערבים זה בזה". בעקבות החורבן נתפוגג העם </w:t>
      </w:r>
      <w:r>
        <w:rPr>
          <w:rFonts w:hint="cs"/>
          <w:rtl/>
        </w:rPr>
        <w:t>כגוף מרכזי, חדלה עבודת המקדש</w:t>
      </w:r>
      <w:r w:rsidR="00EC1615">
        <w:rPr>
          <w:rFonts w:hint="cs"/>
          <w:rtl/>
        </w:rPr>
        <w:t xml:space="preserve"> המכפרת על הכלל</w:t>
      </w:r>
      <w:r>
        <w:rPr>
          <w:rFonts w:hint="cs"/>
          <w:rtl/>
        </w:rPr>
        <w:t xml:space="preserve"> </w:t>
      </w:r>
      <w:r>
        <w:rPr>
          <w:rtl/>
        </w:rPr>
        <w:t>וחוזרים לתקופת המדבר</w:t>
      </w:r>
      <w:r w:rsidR="00EC1615">
        <w:rPr>
          <w:rFonts w:hint="cs"/>
          <w:rtl/>
        </w:rPr>
        <w:t xml:space="preserve"> ("איש כל הישר בעיניו")</w:t>
      </w:r>
      <w:r>
        <w:rPr>
          <w:rtl/>
        </w:rPr>
        <w:t>. כדאי גם לשים לב ללשון הירושלמי: "אין לכם עסק בנסתרות" שרומז לפסוק מבן סירא (ג כא-כב): "פלאו</w:t>
      </w:r>
      <w:r w:rsidR="009E1D6C">
        <w:rPr>
          <w:rtl/>
        </w:rPr>
        <w:t>ֹ</w:t>
      </w:r>
      <w:r>
        <w:rPr>
          <w:rtl/>
        </w:rPr>
        <w:t xml:space="preserve">ת ממך אל תדרוש ומכוסה ממך אל תחקור: במה שהורשית התבונן ואין לך עסק בנסתרות" (מובא בגמרא חגיגה יג א בשינוי לשון קל, בירושלמי חגיגה וכן במקומות רבים אחרים בש"ס, </w:t>
      </w:r>
      <w:r w:rsidR="009E1D6C">
        <w:rPr>
          <w:rFonts w:hint="cs"/>
          <w:rtl/>
        </w:rPr>
        <w:t>ב</w:t>
      </w:r>
      <w:r>
        <w:rPr>
          <w:rtl/>
        </w:rPr>
        <w:t>מדרשים</w:t>
      </w:r>
      <w:r w:rsidR="009E1D6C">
        <w:rPr>
          <w:rFonts w:hint="cs"/>
          <w:rtl/>
        </w:rPr>
        <w:t xml:space="preserve"> כגון בראשית רבה ח ב, פרשני המקרא, </w:t>
      </w:r>
      <w:r>
        <w:rPr>
          <w:rtl/>
        </w:rPr>
        <w:t>ובעיקר בספרות השו"ת לדורותיה).</w:t>
      </w:r>
    </w:p>
  </w:footnote>
  <w:footnote w:id="9">
    <w:p w:rsidR="008C6A9E" w:rsidRDefault="008C6A9E" w:rsidP="00EC1615">
      <w:pPr>
        <w:pStyle w:val="a3"/>
        <w:rPr>
          <w:rFonts w:hint="cs"/>
          <w:rtl/>
        </w:rPr>
      </w:pPr>
      <w:r>
        <w:rPr>
          <w:rStyle w:val="a5"/>
        </w:rPr>
        <w:footnoteRef/>
      </w:r>
      <w:r>
        <w:rPr>
          <w:rtl/>
        </w:rPr>
        <w:t xml:space="preserve"> ראה פירוש אור החיים כט כח שהפסוק "הנסתרות לה' </w:t>
      </w:r>
      <w:r w:rsidR="00E85516">
        <w:rPr>
          <w:rtl/>
        </w:rPr>
        <w:t>אלוהינו</w:t>
      </w:r>
      <w:r>
        <w:rPr>
          <w:rtl/>
        </w:rPr>
        <w:t xml:space="preserve"> וכו'" הוא דברי העם: "היא תשובת ישראל למשה שהנסתרות לא יתחייבו בהם, אבל הנגלות קיימו וקבלו עליהם הערבות". ראה בהמשך דבריו איך הוא מקשר פסוק זה לתחילת הפרשה. ואת החיבור בין המכילתא לבבלי (הן שיטת ר' יהודה והן שיטת ר' נחמיה) ולירושלמי שלעיל</w:t>
      </w:r>
      <w:r w:rsidR="00EC1615">
        <w:rPr>
          <w:rFonts w:hint="cs"/>
          <w:rtl/>
        </w:rPr>
        <w:t>,</w:t>
      </w:r>
      <w:r>
        <w:rPr>
          <w:rtl/>
        </w:rPr>
        <w:t xml:space="preserve"> נשאיר ל</w:t>
      </w:r>
      <w:r w:rsidR="00EC1615">
        <w:rPr>
          <w:rFonts w:hint="cs"/>
          <w:rtl/>
        </w:rPr>
        <w:t>שואבי המים ונשמח לקבל הסברים ופירושים</w:t>
      </w:r>
      <w:r>
        <w:rPr>
          <w:rtl/>
        </w:rPr>
        <w:t>. עכ"פ</w:t>
      </w:r>
      <w:r w:rsidR="00F767BD">
        <w:rPr>
          <w:rFonts w:hint="cs"/>
          <w:rtl/>
        </w:rPr>
        <w:t>,</w:t>
      </w:r>
      <w:r>
        <w:rPr>
          <w:rtl/>
        </w:rPr>
        <w:t xml:space="preserve"> מכילתא זו </w:t>
      </w:r>
      <w:smartTag w:uri="urn:schemas-microsoft-com:office:smarttags" w:element="PersonName">
        <w:r>
          <w:rPr>
            <w:rtl/>
          </w:rPr>
          <w:t>מאירה</w:t>
        </w:r>
      </w:smartTag>
      <w:r>
        <w:rPr>
          <w:rtl/>
        </w:rPr>
        <w:t xml:space="preserve"> באור חדש את הדרש הקלאסי של "ויחן ישראל כנגד ההר"</w:t>
      </w:r>
      <w:r>
        <w:rPr>
          <w:rFonts w:hint="cs"/>
          <w:rtl/>
        </w:rPr>
        <w:t xml:space="preserve"> -</w:t>
      </w:r>
      <w:r>
        <w:rPr>
          <w:rtl/>
        </w:rPr>
        <w:t xml:space="preserve"> "בלב אחד כאיש אחד"</w:t>
      </w:r>
      <w:r>
        <w:rPr>
          <w:rFonts w:hint="cs"/>
          <w:rtl/>
        </w:rPr>
        <w:t xml:space="preserve"> (רש"י שמות יט ב על בסיס המדרשים). באחדות שלימה לרגע, </w:t>
      </w:r>
      <w:r>
        <w:rPr>
          <w:rtl/>
        </w:rPr>
        <w:t>אבל גם ב</w:t>
      </w:r>
      <w:r>
        <w:rPr>
          <w:rFonts w:hint="cs"/>
          <w:rtl/>
        </w:rPr>
        <w:t>ראיי</w:t>
      </w:r>
      <w:r>
        <w:rPr>
          <w:rtl/>
        </w:rPr>
        <w:t>ה מפוכחת</w:t>
      </w:r>
      <w:r w:rsidR="00F767BD">
        <w:rPr>
          <w:rFonts w:hint="cs"/>
          <w:rtl/>
        </w:rPr>
        <w:t xml:space="preserve"> ומעשית</w:t>
      </w:r>
      <w:r>
        <w:rPr>
          <w:rtl/>
        </w:rPr>
        <w:t xml:space="preserve">. ואפשר שגם דברי רש"י על הפסוק </w:t>
      </w:r>
      <w:r w:rsidR="00F767BD">
        <w:rPr>
          <w:rFonts w:hint="cs"/>
          <w:rtl/>
        </w:rPr>
        <w:t xml:space="preserve">(אותם לא הבאנו ומומלץ מאד לפתוח בהם) </w:t>
      </w:r>
      <w:r>
        <w:rPr>
          <w:rtl/>
        </w:rPr>
        <w:t>מבוססים לא רק על הגמרא בסנהדרין הנ"ל אלא גם על דברי מכילתא אלה.</w:t>
      </w:r>
    </w:p>
  </w:footnote>
  <w:footnote w:id="10">
    <w:p w:rsidR="008C6A9E" w:rsidRDefault="008C6A9E" w:rsidP="00D81588">
      <w:pPr>
        <w:pStyle w:val="a3"/>
        <w:rPr>
          <w:rFonts w:hint="cs"/>
          <w:rtl/>
        </w:rPr>
      </w:pPr>
      <w:r>
        <w:rPr>
          <w:rStyle w:val="a5"/>
        </w:rPr>
        <w:footnoteRef/>
      </w:r>
      <w:r>
        <w:rPr>
          <w:rtl/>
        </w:rPr>
        <w:t xml:space="preserve"> </w:t>
      </w:r>
      <w:r>
        <w:rPr>
          <w:rFonts w:hint="cs"/>
          <w:rtl/>
          <w:lang w:eastAsia="en-US"/>
        </w:rPr>
        <w:t xml:space="preserve">נראה שהמכילתא </w:t>
      </w:r>
      <w:r w:rsidR="00F767BD">
        <w:rPr>
          <w:rFonts w:hint="cs"/>
          <w:rtl/>
          <w:lang w:eastAsia="en-US"/>
        </w:rPr>
        <w:t>ל</w:t>
      </w:r>
      <w:r>
        <w:rPr>
          <w:rFonts w:hint="cs"/>
          <w:rtl/>
          <w:lang w:eastAsia="en-US"/>
        </w:rPr>
        <w:t xml:space="preserve">שיטתה. לא רק שהציבור לא מתמשכן על עבירות שעשו אחרים בסתר, וערבותו ואחריותו היא רק על הדברים הגלויים; גם במצוות </w:t>
      </w:r>
      <w:r w:rsidR="00F767BD">
        <w:rPr>
          <w:rFonts w:hint="cs"/>
          <w:rtl/>
          <w:lang w:eastAsia="en-US"/>
        </w:rPr>
        <w:t xml:space="preserve">של "קום ועשה" בראשם </w:t>
      </w:r>
      <w:r>
        <w:rPr>
          <w:rFonts w:hint="cs"/>
          <w:rtl/>
          <w:lang w:eastAsia="en-US"/>
        </w:rPr>
        <w:t xml:space="preserve">עבודה זרה, אין צורך לרוץ ולחפש כל מקום אפשרי בו אולי יש עבודה זרה (או כל עבירה אחרת), אלא רק במקומות בהם נהגו עובדי ע"ז לפלוח. התורה מדברת בלשון ברורה </w:t>
      </w:r>
      <w:r>
        <w:rPr>
          <w:rtl/>
          <w:lang w:eastAsia="en-US"/>
        </w:rPr>
        <w:t>–</w:t>
      </w:r>
      <w:r>
        <w:rPr>
          <w:rFonts w:hint="cs"/>
          <w:rtl/>
          <w:lang w:eastAsia="en-US"/>
        </w:rPr>
        <w:t xml:space="preserve"> באותיותיה </w:t>
      </w:r>
      <w:r>
        <w:rPr>
          <w:rtl/>
          <w:lang w:eastAsia="en-US"/>
        </w:rPr>
        <w:t>–</w:t>
      </w:r>
      <w:r>
        <w:rPr>
          <w:rFonts w:hint="cs"/>
          <w:rtl/>
          <w:lang w:eastAsia="en-US"/>
        </w:rPr>
        <w:t xml:space="preserve"> כשהיא מציינת היכן יש לחפש: על ההרים, על הגבעות, בנטיעות אשרה וכו'. הביטוי "באותיותיה נתנה תורה"</w:t>
      </w:r>
      <w:r w:rsidR="00C97D3C">
        <w:rPr>
          <w:rFonts w:hint="cs"/>
          <w:rtl/>
          <w:lang w:eastAsia="en-US"/>
        </w:rPr>
        <w:t>, שזה מקורו ומופעו היחיד,</w:t>
      </w:r>
      <w:r>
        <w:rPr>
          <w:rFonts w:hint="cs"/>
          <w:rtl/>
          <w:lang w:eastAsia="en-US"/>
        </w:rPr>
        <w:t xml:space="preserve"> דומה ל</w:t>
      </w:r>
      <w:r w:rsidR="00BD6FB1">
        <w:rPr>
          <w:rFonts w:hint="cs"/>
          <w:rtl/>
          <w:lang w:eastAsia="en-US"/>
        </w:rPr>
        <w:t>ביטוי "דברה תורה בלשון בני אדם", או גם "</w:t>
      </w:r>
      <w:hyperlink r:id="rId5" w:history="1">
        <w:r w:rsidRPr="00D81588">
          <w:rPr>
            <w:rStyle w:val="Hyperlink"/>
            <w:rFonts w:hint="cs"/>
            <w:rtl/>
            <w:lang w:eastAsia="en-US"/>
          </w:rPr>
          <w:t>אין מקרא יוצא מידי פשוטו</w:t>
        </w:r>
      </w:hyperlink>
      <w:r w:rsidR="00BD6FB1">
        <w:rPr>
          <w:rFonts w:hint="cs"/>
          <w:rtl/>
          <w:lang w:eastAsia="en-US"/>
        </w:rPr>
        <w:t>"</w:t>
      </w:r>
      <w:r w:rsidR="00D81588">
        <w:rPr>
          <w:rFonts w:hint="cs"/>
          <w:rtl/>
          <w:lang w:eastAsia="en-US"/>
        </w:rPr>
        <w:t xml:space="preserve">, אליו כבר נדרשנו בפרשת וישב. ראה גם דברינו </w:t>
      </w:r>
      <w:hyperlink r:id="rId6" w:history="1">
        <w:r w:rsidR="00D81588" w:rsidRPr="00D81588">
          <w:rPr>
            <w:rStyle w:val="Hyperlink"/>
            <w:rFonts w:hint="cs"/>
            <w:rtl/>
            <w:lang w:eastAsia="en-US"/>
          </w:rPr>
          <w:t>פשוטו של מקרא</w:t>
        </w:r>
      </w:hyperlink>
      <w:r w:rsidR="00D81588">
        <w:rPr>
          <w:rFonts w:hint="cs"/>
          <w:rtl/>
          <w:lang w:eastAsia="en-US"/>
        </w:rPr>
        <w:t xml:space="preserve"> בפרשת חיי שרה. </w:t>
      </w:r>
      <w:r w:rsidR="00BD6FB1">
        <w:rPr>
          <w:rFonts w:hint="cs"/>
          <w:rtl/>
          <w:lang w:eastAsia="en-US"/>
        </w:rPr>
        <w:t>וזה נושא נכבד שיש ל</w:t>
      </w:r>
      <w:r w:rsidR="00D81588">
        <w:rPr>
          <w:rFonts w:hint="cs"/>
          <w:rtl/>
          <w:lang w:eastAsia="en-US"/>
        </w:rPr>
        <w:t>הוסיף ו</w:t>
      </w:r>
      <w:r w:rsidR="00BD6FB1">
        <w:rPr>
          <w:rFonts w:hint="cs"/>
          <w:rtl/>
          <w:lang w:eastAsia="en-US"/>
        </w:rPr>
        <w:t xml:space="preserve">דון </w:t>
      </w:r>
      <w:r w:rsidR="00D81588">
        <w:rPr>
          <w:rFonts w:hint="cs"/>
          <w:rtl/>
          <w:lang w:eastAsia="en-US"/>
        </w:rPr>
        <w:t xml:space="preserve">בו </w:t>
      </w:r>
      <w:r w:rsidR="00BD6FB1">
        <w:rPr>
          <w:rFonts w:hint="cs"/>
          <w:rtl/>
          <w:lang w:eastAsia="en-US"/>
        </w:rPr>
        <w:t>וקשור לשיטת הדרשות של ר' ישמעאל כנגד ר' עקיבא</w:t>
      </w:r>
      <w:r>
        <w:rPr>
          <w:rFonts w:hint="cs"/>
          <w:rtl/>
          <w:lang w:eastAsia="en-US"/>
        </w:rPr>
        <w:t>.</w:t>
      </w:r>
    </w:p>
  </w:footnote>
  <w:footnote w:id="11">
    <w:p w:rsidR="00D6469B" w:rsidRDefault="00D6469B" w:rsidP="00A8763A">
      <w:pPr>
        <w:pStyle w:val="a3"/>
        <w:rPr>
          <w:rtl/>
        </w:rPr>
      </w:pPr>
      <w:r>
        <w:rPr>
          <w:rStyle w:val="a5"/>
          <w:rtl/>
        </w:rPr>
        <w:footnoteRef/>
      </w:r>
      <w:r>
        <w:rPr>
          <w:rtl/>
        </w:rPr>
        <w:t xml:space="preserve"> רמב"ן פותח כאן כיוון אחר לגבי הפסוק שלנו</w:t>
      </w:r>
      <w:r w:rsidR="006073B3">
        <w:rPr>
          <w:rFonts w:hint="cs"/>
          <w:rtl/>
        </w:rPr>
        <w:t xml:space="preserve"> ואולי ממשיך את המכילתא האחרונה</w:t>
      </w:r>
      <w:r>
        <w:rPr>
          <w:rtl/>
        </w:rPr>
        <w:t xml:space="preserve">. לא מדובר בערבות הדדית, בנסתרות של הזולת, אלא בנסתרות של האדם עצמו. וכמו שאנחנו אומרים </w:t>
      </w:r>
      <w:r w:rsidR="001F1EAA">
        <w:rPr>
          <w:rFonts w:hint="cs"/>
          <w:rtl/>
        </w:rPr>
        <w:t>בווידו</w:t>
      </w:r>
      <w:r w:rsidR="001F1EAA">
        <w:rPr>
          <w:rFonts w:hint="eastAsia"/>
          <w:rtl/>
        </w:rPr>
        <w:t>י</w:t>
      </w:r>
      <w:r>
        <w:rPr>
          <w:rtl/>
        </w:rPr>
        <w:t xml:space="preserve"> ביום הכיפורים: "את הגלויים לנו כבר אמרנום לפניך והודינו לך עליהם. ואת שאינם גלויים לנו לפניך הם גלויים וידועים כדבר שנאמר: הנסתרות לה' </w:t>
      </w:r>
      <w:r w:rsidR="00E85516">
        <w:rPr>
          <w:rtl/>
        </w:rPr>
        <w:t>אלוהינו</w:t>
      </w:r>
      <w:r>
        <w:rPr>
          <w:rtl/>
        </w:rPr>
        <w:t xml:space="preserve"> והנגלות לנו ולבנינו לעשות את כל דברי התורה הזאת". ואולי עצם אמירת </w:t>
      </w:r>
      <w:r w:rsidR="001F1EAA">
        <w:rPr>
          <w:rFonts w:hint="cs"/>
          <w:rtl/>
        </w:rPr>
        <w:t>הווידו</w:t>
      </w:r>
      <w:r w:rsidR="001F1EAA">
        <w:rPr>
          <w:rFonts w:hint="eastAsia"/>
          <w:rtl/>
        </w:rPr>
        <w:t>י</w:t>
      </w:r>
      <w:r>
        <w:rPr>
          <w:rtl/>
        </w:rPr>
        <w:t xml:space="preserve"> ביחד עם כל הציבור, מזכירה גם את המשמעות הראשונה של הפסוק של הערבות ההדדית. דברי הרמב"ן מתקשרים למדרש תנאים לדברים פרק לג פסוק ו (שכנראה לא היה לפני הרמב"ן): "דוד כשביקש על אותו עוון, בתחילה התחיל מקלס להקב"ה ...ואחר כך התחיל מקלס לתורה ...ואחר כך מבקש על השגיאות ...ובסוף הוא אומר</w:t>
      </w:r>
      <w:r w:rsidR="001F1EAA">
        <w:rPr>
          <w:rFonts w:hint="cs"/>
          <w:rtl/>
        </w:rPr>
        <w:t xml:space="preserve">: </w:t>
      </w:r>
      <w:r>
        <w:rPr>
          <w:rtl/>
        </w:rPr>
        <w:t>מנסתרות נקני</w:t>
      </w:r>
      <w:r w:rsidR="001F1EAA">
        <w:rPr>
          <w:rFonts w:hint="cs"/>
          <w:rtl/>
        </w:rPr>
        <w:t xml:space="preserve">, </w:t>
      </w:r>
      <w:r>
        <w:rPr>
          <w:rtl/>
        </w:rPr>
        <w:t xml:space="preserve">מפני שהנסתרות להקב"ה שנאמר: הנסתרות לה' </w:t>
      </w:r>
      <w:r w:rsidR="00E85516">
        <w:rPr>
          <w:rtl/>
        </w:rPr>
        <w:t>אלוהינו</w:t>
      </w:r>
      <w:r>
        <w:rPr>
          <w:rtl/>
        </w:rPr>
        <w:t xml:space="preserve"> ...". </w:t>
      </w:r>
      <w:r w:rsidR="00F767BD">
        <w:rPr>
          <w:rFonts w:hint="cs"/>
          <w:rtl/>
        </w:rPr>
        <w:t xml:space="preserve">דברי </w:t>
      </w:r>
      <w:r>
        <w:rPr>
          <w:rtl/>
        </w:rPr>
        <w:t>רמב"ן, המחזור ומדרש התנאים מתבסס</w:t>
      </w:r>
      <w:r w:rsidR="00F767BD">
        <w:rPr>
          <w:rFonts w:hint="cs"/>
          <w:rtl/>
        </w:rPr>
        <w:t>ים</w:t>
      </w:r>
      <w:r>
        <w:rPr>
          <w:rtl/>
        </w:rPr>
        <w:t xml:space="preserve"> על הפסוק בתהלים יט: "שגיאות מי יבין מנסתרות נקני ... ונקיתי מפשע רב". ועל פסוק זה, מדרשיו והקשר שלו לפסוק שלנו, </w:t>
      </w:r>
      <w:r w:rsidR="00A8763A">
        <w:rPr>
          <w:rFonts w:hint="cs"/>
          <w:rtl/>
        </w:rPr>
        <w:t xml:space="preserve">כבר זכינו לכתוב ביום הכיפורים </w:t>
      </w:r>
      <w:hyperlink r:id="rId7" w:history="1">
        <w:r w:rsidR="00A8763A" w:rsidRPr="00A8763A">
          <w:rPr>
            <w:rStyle w:val="Hyperlink"/>
            <w:rFonts w:hint="cs"/>
            <w:rtl/>
          </w:rPr>
          <w:t>כיסוי החטא או גילויו</w:t>
        </w:r>
      </w:hyperlink>
      <w:r>
        <w:rPr>
          <w:rtl/>
        </w:rPr>
        <w:t>.</w:t>
      </w:r>
      <w:r w:rsidR="001F1EAA">
        <w:rPr>
          <w:rFonts w:hint="cs"/>
          <w:rtl/>
        </w:rPr>
        <w:t xml:space="preserve"> ראה </w:t>
      </w:r>
      <w:r w:rsidR="00A8763A">
        <w:rPr>
          <w:rFonts w:hint="cs"/>
          <w:rtl/>
        </w:rPr>
        <w:t xml:space="preserve">גם </w:t>
      </w:r>
      <w:r w:rsidR="001F1EAA">
        <w:rPr>
          <w:rFonts w:hint="cs"/>
          <w:rtl/>
        </w:rPr>
        <w:t xml:space="preserve">דברינו </w:t>
      </w:r>
      <w:hyperlink r:id="rId8" w:history="1">
        <w:r w:rsidR="00FD2875" w:rsidRPr="00F767BD">
          <w:rPr>
            <w:rStyle w:val="Hyperlink"/>
            <w:rFonts w:hint="cs"/>
            <w:rtl/>
          </w:rPr>
          <w:t>יודעים לרצות את בוראם</w:t>
        </w:r>
      </w:hyperlink>
      <w:r w:rsidR="00FD2875">
        <w:rPr>
          <w:rFonts w:hint="cs"/>
          <w:rtl/>
        </w:rPr>
        <w:t xml:space="preserve"> ביום הכיפורים וכן </w:t>
      </w:r>
      <w:hyperlink r:id="rId9" w:history="1">
        <w:r w:rsidR="001F1EAA" w:rsidRPr="00F767BD">
          <w:rPr>
            <w:rStyle w:val="Hyperlink"/>
            <w:rFonts w:hint="cs"/>
            <w:rtl/>
          </w:rPr>
          <w:t>ייכתב עווני</w:t>
        </w:r>
      </w:hyperlink>
      <w:r w:rsidR="001F1EAA">
        <w:rPr>
          <w:rFonts w:hint="cs"/>
          <w:rtl/>
        </w:rPr>
        <w:t xml:space="preserve"> בפרשת חוקת.</w:t>
      </w:r>
    </w:p>
  </w:footnote>
  <w:footnote w:id="12">
    <w:p w:rsidR="00D6469B" w:rsidRDefault="00D6469B" w:rsidP="00321EB2">
      <w:pPr>
        <w:pStyle w:val="a3"/>
        <w:rPr>
          <w:rtl/>
        </w:rPr>
      </w:pPr>
      <w:r>
        <w:rPr>
          <w:rStyle w:val="a5"/>
          <w:rtl/>
        </w:rPr>
        <w:footnoteRef/>
      </w:r>
      <w:r>
        <w:rPr>
          <w:rtl/>
        </w:rPr>
        <w:t xml:space="preserve"> </w:t>
      </w:r>
      <w:r w:rsidR="009A05B9">
        <w:rPr>
          <w:rFonts w:hint="cs"/>
          <w:rtl/>
        </w:rPr>
        <w:t xml:space="preserve">רמב"ם דן שם בנושא הסבוך, איך נאמין לנביא ונדע שהוא דובר אמת ועד כמה העניין תלוי באות ומופת שיעשה או בנבואת </w:t>
      </w:r>
      <w:r w:rsidR="00321EB2">
        <w:rPr>
          <w:rFonts w:hint="cs"/>
          <w:rtl/>
        </w:rPr>
        <w:t xml:space="preserve">על </w:t>
      </w:r>
      <w:r w:rsidR="009A05B9">
        <w:rPr>
          <w:rFonts w:hint="cs"/>
          <w:rtl/>
        </w:rPr>
        <w:t xml:space="preserve">העתיד ועד כמה באישיותו של האדם וחזקתו כאיש הגון וישר. לנושא זה נדרש רמב"ם גם במקומות אחרים כמו בתחילת הקדמתו לפירושו למשנה והדברים צריכים עיון נפרד. ראה נגיעת מעט </w:t>
      </w:r>
      <w:r w:rsidR="00321EB2">
        <w:rPr>
          <w:rFonts w:hint="cs"/>
          <w:rtl/>
        </w:rPr>
        <w:t xml:space="preserve">בנושא זה </w:t>
      </w:r>
      <w:r w:rsidR="009A05B9">
        <w:rPr>
          <w:rFonts w:hint="cs"/>
          <w:rtl/>
        </w:rPr>
        <w:t xml:space="preserve">בדברינו </w:t>
      </w:r>
      <w:hyperlink r:id="rId10" w:history="1">
        <w:r w:rsidR="009A05B9" w:rsidRPr="009A05B9">
          <w:rPr>
            <w:rStyle w:val="Hyperlink"/>
            <w:rFonts w:hint="cs"/>
            <w:rtl/>
          </w:rPr>
          <w:t xml:space="preserve">ונתן אליך </w:t>
        </w:r>
        <w:r w:rsidR="009A05B9" w:rsidRPr="009A05B9">
          <w:rPr>
            <w:rStyle w:val="Hyperlink"/>
            <w:rFonts w:hint="cs"/>
            <w:rtl/>
          </w:rPr>
          <w:t>א</w:t>
        </w:r>
        <w:r w:rsidR="009A05B9" w:rsidRPr="009A05B9">
          <w:rPr>
            <w:rStyle w:val="Hyperlink"/>
            <w:rFonts w:hint="cs"/>
            <w:rtl/>
          </w:rPr>
          <w:t>ות או מופת</w:t>
        </w:r>
      </w:hyperlink>
      <w:r w:rsidR="009A05B9">
        <w:rPr>
          <w:rFonts w:hint="cs"/>
          <w:rtl/>
        </w:rPr>
        <w:t xml:space="preserve"> בפרשת ראה. כאן, עושה רמב"ם </w:t>
      </w:r>
      <w:r>
        <w:rPr>
          <w:rtl/>
        </w:rPr>
        <w:t xml:space="preserve">שימוש בפסוק שלנו </w:t>
      </w:r>
      <w:r w:rsidR="009A05B9">
        <w:rPr>
          <w:rFonts w:hint="cs"/>
          <w:rtl/>
        </w:rPr>
        <w:t xml:space="preserve">לצורך קבלת הנביא, וזהו </w:t>
      </w:r>
      <w:r>
        <w:rPr>
          <w:rtl/>
        </w:rPr>
        <w:t xml:space="preserve">חידוש </w:t>
      </w:r>
      <w:r w:rsidR="009A05B9">
        <w:rPr>
          <w:rFonts w:hint="cs"/>
          <w:rtl/>
        </w:rPr>
        <w:t>ש</w:t>
      </w:r>
      <w:r>
        <w:rPr>
          <w:rtl/>
        </w:rPr>
        <w:t xml:space="preserve">איננו בחז"ל. </w:t>
      </w:r>
      <w:r w:rsidR="009A05B9">
        <w:rPr>
          <w:rFonts w:hint="cs"/>
          <w:rtl/>
        </w:rPr>
        <w:t xml:space="preserve">בהקשר דומה אך שונה, ראה דבריו </w:t>
      </w:r>
      <w:r>
        <w:rPr>
          <w:rtl/>
        </w:rPr>
        <w:t xml:space="preserve">בשו"ת הרמב"ם סימן מא: "ואין אנו דנים אלא בנגלות ולא הפקידנו אלוקים אלא על מה שגלוי. הנסתרות לה' אלקינו והנגלות לנו ולבנינו עד עולם לעשות את כל דברי התורה הזאת". ובשו"ת יחווה דעת (לרב </w:t>
      </w:r>
      <w:smartTag w:uri="urn:schemas-microsoft-com:office:smarttags" w:element="PersonName">
        <w:r>
          <w:rPr>
            <w:rtl/>
          </w:rPr>
          <w:t>עוב</w:t>
        </w:r>
      </w:smartTag>
      <w:r>
        <w:rPr>
          <w:rtl/>
        </w:rPr>
        <w:t>דיה יוסף</w:t>
      </w:r>
      <w:r w:rsidR="006B2D1B">
        <w:rPr>
          <w:rFonts w:hint="cs"/>
          <w:rtl/>
        </w:rPr>
        <w:t xml:space="preserve"> ז"ל</w:t>
      </w:r>
      <w:r>
        <w:rPr>
          <w:rtl/>
        </w:rPr>
        <w:t xml:space="preserve">) חלק ו סימן לז הוא כותב: "לפיכך אין הלכה כהזוהר נגד הפוסקים, שאין לנו עסק בנסתרות, כי הנסתרות לה' </w:t>
      </w:r>
      <w:r w:rsidR="00E85516">
        <w:rPr>
          <w:rtl/>
        </w:rPr>
        <w:t>אלוהינו</w:t>
      </w:r>
      <w:r>
        <w:rPr>
          <w:rtl/>
        </w:rPr>
        <w:t xml:space="preserve"> והנגלות לנו ולבנינו עד עולם". במרוצת הדורות קיבל הפסוק שבפרשתנו משמעויות רבות ומגוונות, בנוסף למשמעות המקורית שבחז"ל ופרשני המקרא הנ"ל. אם ביחס לעיסוק בתורת הנסתר ("אין לך עסק בנסתרות" הנ"ל, בפרט כאשר יש עימות בין הקבלה להלכה), אם בבחינת "אין לדיין אלא מה שעיניו רואות" ואם בבחינת "גזירת הכתוב, חוקה חקקתי לך".</w:t>
      </w:r>
    </w:p>
  </w:footnote>
  <w:footnote w:id="13">
    <w:p w:rsidR="0073418F" w:rsidRDefault="0073418F" w:rsidP="0073418F">
      <w:pPr>
        <w:pStyle w:val="a3"/>
        <w:rPr>
          <w:rFonts w:hint="cs"/>
          <w:rtl/>
        </w:rPr>
      </w:pPr>
      <w:r>
        <w:rPr>
          <w:rStyle w:val="a5"/>
        </w:rPr>
        <w:footnoteRef/>
      </w:r>
      <w:r>
        <w:rPr>
          <w:rtl/>
        </w:rPr>
        <w:t xml:space="preserve"> </w:t>
      </w:r>
      <w:r>
        <w:rPr>
          <w:rFonts w:hint="cs"/>
          <w:rtl/>
        </w:rPr>
        <w:t xml:space="preserve">ובארמית: </w:t>
      </w:r>
      <w:r>
        <w:rPr>
          <w:rtl/>
        </w:rPr>
        <w:t>ליבא לפומא לא גלי</w:t>
      </w:r>
      <w:r>
        <w:rPr>
          <w:rFonts w:hint="cs"/>
          <w:rtl/>
        </w:rPr>
        <w:t xml:space="preserve">. ראה </w:t>
      </w:r>
      <w:r>
        <w:rPr>
          <w:rtl/>
        </w:rPr>
        <w:t>מדרש תהלים (בובר) מזמור ט</w:t>
      </w:r>
      <w:r>
        <w:rPr>
          <w:rFonts w:hint="cs"/>
          <w:rtl/>
        </w:rPr>
        <w:t>: :</w:t>
      </w:r>
      <w:r>
        <w:rPr>
          <w:rtl/>
        </w:rPr>
        <w:t xml:space="preserve"> </w:t>
      </w:r>
      <w:r>
        <w:rPr>
          <w:rFonts w:hint="cs"/>
          <w:rtl/>
        </w:rPr>
        <w:t>"</w:t>
      </w:r>
      <w:r>
        <w:rPr>
          <w:rtl/>
        </w:rPr>
        <w:t>ר' שמואל מתני בשם ר' יהודה</w:t>
      </w:r>
      <w:r>
        <w:rPr>
          <w:rFonts w:hint="cs"/>
          <w:rtl/>
        </w:rPr>
        <w:t>:</w:t>
      </w:r>
      <w:r>
        <w:rPr>
          <w:rtl/>
        </w:rPr>
        <w:t xml:space="preserve"> אם יאמר לך אדם מתי קץ הגאולה באה, אל תאמין בו, לפי שכתוב</w:t>
      </w:r>
      <w:r>
        <w:rPr>
          <w:rFonts w:hint="cs"/>
          <w:rtl/>
        </w:rPr>
        <w:t>:</w:t>
      </w:r>
      <w:r>
        <w:rPr>
          <w:rtl/>
        </w:rPr>
        <w:t xml:space="preserve"> כי יום נקם בלבי, ליבא לפומא לא גלי, פומא למאן גלי</w:t>
      </w:r>
      <w:r>
        <w:rPr>
          <w:rFonts w:hint="cs"/>
          <w:rtl/>
        </w:rPr>
        <w:t xml:space="preserve">?". ובהמשך שם </w:t>
      </w:r>
      <w:r w:rsidR="009A05B9">
        <w:rPr>
          <w:rFonts w:hint="cs"/>
          <w:rtl/>
        </w:rPr>
        <w:t xml:space="preserve">מובא </w:t>
      </w:r>
      <w:r>
        <w:rPr>
          <w:rFonts w:hint="cs"/>
          <w:rtl/>
        </w:rPr>
        <w:t>מעין קל וחומר מקברו של משה שנעלם: "</w:t>
      </w:r>
      <w:r>
        <w:rPr>
          <w:rtl/>
        </w:rPr>
        <w:t>בדבר שנתתי לך סימני סימנים אין כל בריה יכולה לעמוד עליו, על הקץ שנאמר</w:t>
      </w:r>
      <w:r>
        <w:rPr>
          <w:rFonts w:hint="cs"/>
          <w:rtl/>
        </w:rPr>
        <w:t>:</w:t>
      </w:r>
      <w:r>
        <w:rPr>
          <w:rtl/>
        </w:rPr>
        <w:t xml:space="preserve"> כי סתומים וחתומים הדברים עד עת קץ (דניאל יב ט), על אחת כמה וכמה</w:t>
      </w:r>
      <w:r>
        <w:rPr>
          <w:rFonts w:hint="cs"/>
          <w:rtl/>
        </w:rPr>
        <w:t>!" ראה מקבילה ב</w:t>
      </w:r>
      <w:r>
        <w:rPr>
          <w:rtl/>
        </w:rPr>
        <w:t xml:space="preserve">קהלת רבה </w:t>
      </w:r>
      <w:r>
        <w:rPr>
          <w:rFonts w:hint="cs"/>
          <w:rtl/>
        </w:rPr>
        <w:t>יב י.</w:t>
      </w:r>
    </w:p>
  </w:footnote>
  <w:footnote w:id="14">
    <w:p w:rsidR="00F22516" w:rsidRDefault="00F22516">
      <w:pPr>
        <w:pStyle w:val="a3"/>
        <w:rPr>
          <w:rFonts w:hint="cs"/>
          <w:rtl/>
        </w:rPr>
      </w:pPr>
      <w:r>
        <w:rPr>
          <w:rStyle w:val="a5"/>
        </w:rPr>
        <w:footnoteRef/>
      </w:r>
      <w:r>
        <w:rPr>
          <w:rtl/>
        </w:rPr>
        <w:t xml:space="preserve"> </w:t>
      </w:r>
      <w:r>
        <w:rPr>
          <w:rFonts w:hint="cs"/>
          <w:rtl/>
        </w:rPr>
        <w:t xml:space="preserve">הנגלות הם תשובה ומעשים טובים, אבל אין אלה בהכרח על מנת שניגאל מגלותנו. אפילו אם נישאר בגלותנו "עד עולם", עד שיבוא אותו קץ פלאי שמתמהמה והדוד חומק ועובר שוב ושוב, אנו נעסוק בתשובה ומעשים טובים. </w:t>
      </w:r>
      <w:r w:rsidR="00321EB2">
        <w:rPr>
          <w:rFonts w:hint="cs"/>
          <w:rtl/>
        </w:rPr>
        <w:t xml:space="preserve">הרי זו </w:t>
      </w:r>
      <w:r>
        <w:rPr>
          <w:rFonts w:hint="cs"/>
          <w:rtl/>
        </w:rPr>
        <w:t>דרשה גלותית עם אמונה רבה וביטחון רב, אבל אולי גם עם חידלון מלנסות לקום ולעלות וליטול גורלנו בידינו.</w:t>
      </w:r>
    </w:p>
  </w:footnote>
  <w:footnote w:id="15">
    <w:p w:rsidR="00321EB2" w:rsidRDefault="00321EB2" w:rsidP="00321EB2">
      <w:pPr>
        <w:pStyle w:val="a3"/>
        <w:rPr>
          <w:rFonts w:hint="cs"/>
        </w:rPr>
      </w:pPr>
      <w:r>
        <w:rPr>
          <w:rStyle w:val="a5"/>
        </w:rPr>
        <w:footnoteRef/>
      </w:r>
      <w:r>
        <w:rPr>
          <w:rtl/>
        </w:rPr>
        <w:t xml:space="preserve"> </w:t>
      </w:r>
      <w:r>
        <w:rPr>
          <w:rFonts w:hint="cs"/>
          <w:rtl/>
        </w:rPr>
        <w:t>כל אלה סוגי "פרושים" שמתראים כפרושים-צדיקים ואינם אלא צבועים. הגמרא שם מפרטת מהם "מכות פרושים" שבמשנה סוטה פרק ג משנה ג שהם אחד מ</w:t>
      </w:r>
      <w:r>
        <w:rPr>
          <w:rFonts w:hint="eastAsia"/>
          <w:rtl/>
        </w:rPr>
        <w:t>ָ</w:t>
      </w:r>
      <w:r>
        <w:rPr>
          <w:rFonts w:hint="cs"/>
          <w:rtl/>
        </w:rPr>
        <w:t>ב</w:t>
      </w:r>
      <w:r>
        <w:rPr>
          <w:rFonts w:hint="eastAsia"/>
          <w:rtl/>
        </w:rPr>
        <w:t>ְ</w:t>
      </w:r>
      <w:r>
        <w:rPr>
          <w:rFonts w:hint="cs"/>
          <w:rtl/>
        </w:rPr>
        <w:t>ל</w:t>
      </w:r>
      <w:r>
        <w:rPr>
          <w:rFonts w:hint="eastAsia"/>
          <w:rtl/>
        </w:rPr>
        <w:t>ֵ</w:t>
      </w:r>
      <w:r>
        <w:rPr>
          <w:rFonts w:hint="cs"/>
          <w:rtl/>
        </w:rPr>
        <w:t>י או מ</w:t>
      </w:r>
      <w:r>
        <w:rPr>
          <w:rFonts w:hint="eastAsia"/>
          <w:rtl/>
        </w:rPr>
        <w:t>ְ</w:t>
      </w:r>
      <w:r>
        <w:rPr>
          <w:rFonts w:hint="cs"/>
          <w:rtl/>
        </w:rPr>
        <w:t>כ</w:t>
      </w:r>
      <w:r>
        <w:rPr>
          <w:rFonts w:hint="eastAsia"/>
          <w:rtl/>
        </w:rPr>
        <w:t>ָ</w:t>
      </w:r>
      <w:r>
        <w:rPr>
          <w:rFonts w:hint="cs"/>
          <w:rtl/>
        </w:rPr>
        <w:t>ל</w:t>
      </w:r>
      <w:r>
        <w:rPr>
          <w:rFonts w:hint="eastAsia"/>
          <w:rtl/>
        </w:rPr>
        <w:t>ֵ</w:t>
      </w:r>
      <w:r>
        <w:rPr>
          <w:rFonts w:hint="cs"/>
          <w:rtl/>
        </w:rPr>
        <w:t>י עולם.</w:t>
      </w:r>
    </w:p>
  </w:footnote>
  <w:footnote w:id="16">
    <w:p w:rsidR="00321EB2" w:rsidRDefault="00321EB2">
      <w:pPr>
        <w:pStyle w:val="a3"/>
        <w:rPr>
          <w:rFonts w:hint="cs"/>
          <w:rtl/>
        </w:rPr>
      </w:pPr>
      <w:r>
        <w:rPr>
          <w:rStyle w:val="a5"/>
        </w:rPr>
        <w:footnoteRef/>
      </w:r>
      <w:r>
        <w:rPr>
          <w:rtl/>
        </w:rPr>
        <w:t xml:space="preserve"> </w:t>
      </w:r>
      <w:r>
        <w:rPr>
          <w:rFonts w:hint="cs"/>
          <w:rtl/>
        </w:rPr>
        <w:t xml:space="preserve">תרגום: הנסתר </w:t>
      </w:r>
      <w:r>
        <w:rPr>
          <w:rtl/>
        </w:rPr>
        <w:t>–</w:t>
      </w:r>
      <w:r>
        <w:rPr>
          <w:rFonts w:hint="cs"/>
          <w:rtl/>
        </w:rPr>
        <w:t xml:space="preserve"> נסתר והגלוי </w:t>
      </w:r>
      <w:r>
        <w:rPr>
          <w:rtl/>
        </w:rPr>
        <w:t>–</w:t>
      </w:r>
      <w:r>
        <w:rPr>
          <w:rFonts w:hint="cs"/>
          <w:rtl/>
        </w:rPr>
        <w:t xml:space="preserve"> גלוי. בית הדין הגדול (שבשמים) ייפרע מהלובשים גלימות של פרושים (מתחזים כפרושים. ראה פירוש רש"י שם: "</w:t>
      </w:r>
      <w:r>
        <w:rPr>
          <w:rtl/>
        </w:rPr>
        <w:t>הנסתרות נסתרות מבני אדם והגלויות גלויות</w:t>
      </w:r>
      <w:r>
        <w:rPr>
          <w:rFonts w:hint="cs"/>
          <w:rtl/>
        </w:rPr>
        <w:t xml:space="preserve">. ומכל מקום, לבית דין </w:t>
      </w:r>
      <w:r>
        <w:rPr>
          <w:rtl/>
        </w:rPr>
        <w:t>הגדול כולם גלויות והוא יפרע מן המתכסים בטליתות ומראין עצמן כפרושין ואינן פרושין.</w:t>
      </w:r>
      <w:r>
        <w:rPr>
          <w:rFonts w:hint="cs"/>
          <w:rtl/>
        </w:rPr>
        <w:t>" וסוף הסוגיה שם הם דברי אלכסנדר ינאי לשלומציון אשתו ערב מותו: "</w:t>
      </w:r>
      <w:r w:rsidRPr="00D81588">
        <w:rPr>
          <w:rtl/>
        </w:rPr>
        <w:t>אמר לה ינאי מלכא לדביתיה: אל תתיראי מן הפרושין ולא ממי שאינן פרושין, אלא מן הצבועין שדומין לפרושין, שמעשיהן כמעשה זמרי ומבקשין שכר כפנחס</w:t>
      </w:r>
      <w:r>
        <w:rPr>
          <w:rFonts w:hint="cs"/>
          <w:rtl/>
        </w:rPr>
        <w:t>"</w:t>
      </w:r>
      <w:r w:rsidRPr="00D81588">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6C" w:rsidRDefault="001C786C" w:rsidP="00E421D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F50A6">
      <w:rPr>
        <w:rtl/>
        <w:lang w:eastAsia="en-US"/>
      </w:rPr>
      <w:t>נצבים, שביעית לנחמה, חותמת השנה</w:t>
    </w:r>
    <w:r>
      <w:rPr>
        <w:rtl/>
      </w:rPr>
      <w:fldChar w:fldCharType="end"/>
    </w:r>
    <w:r>
      <w:rPr>
        <w:rtl/>
        <w:lang w:eastAsia="en-US"/>
      </w:rPr>
      <w:tab/>
    </w:r>
    <w:r>
      <w:rPr>
        <w:rFonts w:hint="cs"/>
        <w:rtl/>
        <w:lang w:eastAsia="en-US"/>
      </w:rPr>
      <w:t>תש</w:t>
    </w:r>
    <w:r w:rsidR="00D6469B">
      <w:rPr>
        <w:rFonts w:hint="cs"/>
        <w:rtl/>
        <w:lang w:eastAsia="en-US"/>
      </w:rPr>
      <w:t>נ"ט, תשס"ב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F50A6">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F54D3">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01F72"/>
    <w:rsid w:val="00017B43"/>
    <w:rsid w:val="0002152A"/>
    <w:rsid w:val="00025BFF"/>
    <w:rsid w:val="000325F0"/>
    <w:rsid w:val="00032711"/>
    <w:rsid w:val="000514F3"/>
    <w:rsid w:val="00066BA8"/>
    <w:rsid w:val="0008132B"/>
    <w:rsid w:val="0008267B"/>
    <w:rsid w:val="000A7E78"/>
    <w:rsid w:val="000B22EC"/>
    <w:rsid w:val="000D26F2"/>
    <w:rsid w:val="000D3872"/>
    <w:rsid w:val="000D4770"/>
    <w:rsid w:val="000E3649"/>
    <w:rsid w:val="000E7B55"/>
    <w:rsid w:val="000F134A"/>
    <w:rsid w:val="00111871"/>
    <w:rsid w:val="0011362C"/>
    <w:rsid w:val="001607E0"/>
    <w:rsid w:val="0017304A"/>
    <w:rsid w:val="00185F7E"/>
    <w:rsid w:val="00192667"/>
    <w:rsid w:val="001A0FB7"/>
    <w:rsid w:val="001A7235"/>
    <w:rsid w:val="001C1CD2"/>
    <w:rsid w:val="001C786C"/>
    <w:rsid w:val="001C7A26"/>
    <w:rsid w:val="001F1EAA"/>
    <w:rsid w:val="001F4E5F"/>
    <w:rsid w:val="001F76CD"/>
    <w:rsid w:val="00220CB5"/>
    <w:rsid w:val="002217D6"/>
    <w:rsid w:val="00235E0E"/>
    <w:rsid w:val="00255253"/>
    <w:rsid w:val="00255896"/>
    <w:rsid w:val="00261BB4"/>
    <w:rsid w:val="00265FCD"/>
    <w:rsid w:val="00284057"/>
    <w:rsid w:val="002A0FF9"/>
    <w:rsid w:val="002C1433"/>
    <w:rsid w:val="002C4833"/>
    <w:rsid w:val="002C5250"/>
    <w:rsid w:val="002D00FD"/>
    <w:rsid w:val="002E7540"/>
    <w:rsid w:val="00321576"/>
    <w:rsid w:val="00321EB2"/>
    <w:rsid w:val="00325BC4"/>
    <w:rsid w:val="00343275"/>
    <w:rsid w:val="0034360C"/>
    <w:rsid w:val="003505C3"/>
    <w:rsid w:val="003624F0"/>
    <w:rsid w:val="003628D5"/>
    <w:rsid w:val="00363A80"/>
    <w:rsid w:val="0038683D"/>
    <w:rsid w:val="003931CA"/>
    <w:rsid w:val="00396376"/>
    <w:rsid w:val="003C1FEA"/>
    <w:rsid w:val="003C52D2"/>
    <w:rsid w:val="003C5F9C"/>
    <w:rsid w:val="003D1610"/>
    <w:rsid w:val="003E11E3"/>
    <w:rsid w:val="003F0C0F"/>
    <w:rsid w:val="003F12CA"/>
    <w:rsid w:val="0040119A"/>
    <w:rsid w:val="0040522D"/>
    <w:rsid w:val="00442FBB"/>
    <w:rsid w:val="00452F97"/>
    <w:rsid w:val="00467645"/>
    <w:rsid w:val="00480BCD"/>
    <w:rsid w:val="00482CE5"/>
    <w:rsid w:val="004C09C6"/>
    <w:rsid w:val="004E28AC"/>
    <w:rsid w:val="004F4703"/>
    <w:rsid w:val="005213C1"/>
    <w:rsid w:val="00525236"/>
    <w:rsid w:val="00532094"/>
    <w:rsid w:val="00533BED"/>
    <w:rsid w:val="0053584F"/>
    <w:rsid w:val="0053720B"/>
    <w:rsid w:val="00543C8C"/>
    <w:rsid w:val="00545C68"/>
    <w:rsid w:val="0055770B"/>
    <w:rsid w:val="00561239"/>
    <w:rsid w:val="005633BF"/>
    <w:rsid w:val="00586923"/>
    <w:rsid w:val="005A392C"/>
    <w:rsid w:val="005A5286"/>
    <w:rsid w:val="005B6D45"/>
    <w:rsid w:val="005E6C10"/>
    <w:rsid w:val="006050C6"/>
    <w:rsid w:val="006073B3"/>
    <w:rsid w:val="00612BCF"/>
    <w:rsid w:val="00613F63"/>
    <w:rsid w:val="006463F9"/>
    <w:rsid w:val="00670E2C"/>
    <w:rsid w:val="00674E57"/>
    <w:rsid w:val="00681EC7"/>
    <w:rsid w:val="006B2D1B"/>
    <w:rsid w:val="006B50C8"/>
    <w:rsid w:val="006D4117"/>
    <w:rsid w:val="006E0156"/>
    <w:rsid w:val="006F50A6"/>
    <w:rsid w:val="006F5423"/>
    <w:rsid w:val="007037C3"/>
    <w:rsid w:val="00725A8F"/>
    <w:rsid w:val="0073418F"/>
    <w:rsid w:val="0074235A"/>
    <w:rsid w:val="007547DD"/>
    <w:rsid w:val="007939B8"/>
    <w:rsid w:val="00796202"/>
    <w:rsid w:val="00797080"/>
    <w:rsid w:val="007C2B73"/>
    <w:rsid w:val="007C6329"/>
    <w:rsid w:val="007E43CF"/>
    <w:rsid w:val="007E7F06"/>
    <w:rsid w:val="007F00FF"/>
    <w:rsid w:val="007F7F93"/>
    <w:rsid w:val="00815607"/>
    <w:rsid w:val="00820898"/>
    <w:rsid w:val="00821824"/>
    <w:rsid w:val="00861BD9"/>
    <w:rsid w:val="00861E1E"/>
    <w:rsid w:val="00872590"/>
    <w:rsid w:val="00872A56"/>
    <w:rsid w:val="00874F13"/>
    <w:rsid w:val="008925A8"/>
    <w:rsid w:val="00894D9E"/>
    <w:rsid w:val="00895158"/>
    <w:rsid w:val="008A1416"/>
    <w:rsid w:val="008C429E"/>
    <w:rsid w:val="008C5234"/>
    <w:rsid w:val="008C5F2C"/>
    <w:rsid w:val="008C62BD"/>
    <w:rsid w:val="008C6A9E"/>
    <w:rsid w:val="008F446F"/>
    <w:rsid w:val="009156D7"/>
    <w:rsid w:val="00924157"/>
    <w:rsid w:val="00927B15"/>
    <w:rsid w:val="0094060C"/>
    <w:rsid w:val="009467E7"/>
    <w:rsid w:val="00977D29"/>
    <w:rsid w:val="009A05B9"/>
    <w:rsid w:val="009C03BD"/>
    <w:rsid w:val="009C19EA"/>
    <w:rsid w:val="009E11DF"/>
    <w:rsid w:val="009E1D6C"/>
    <w:rsid w:val="009E47B5"/>
    <w:rsid w:val="009E4C1F"/>
    <w:rsid w:val="00A0047C"/>
    <w:rsid w:val="00A23689"/>
    <w:rsid w:val="00A25D87"/>
    <w:rsid w:val="00A308AB"/>
    <w:rsid w:val="00A500A2"/>
    <w:rsid w:val="00A51317"/>
    <w:rsid w:val="00A817FA"/>
    <w:rsid w:val="00A85AA6"/>
    <w:rsid w:val="00A87000"/>
    <w:rsid w:val="00A87297"/>
    <w:rsid w:val="00A8763A"/>
    <w:rsid w:val="00AA2075"/>
    <w:rsid w:val="00AA7C31"/>
    <w:rsid w:val="00AB045E"/>
    <w:rsid w:val="00AC1831"/>
    <w:rsid w:val="00AC1B83"/>
    <w:rsid w:val="00AD4637"/>
    <w:rsid w:val="00AE08C9"/>
    <w:rsid w:val="00AE3BAC"/>
    <w:rsid w:val="00B04326"/>
    <w:rsid w:val="00B07EAD"/>
    <w:rsid w:val="00B102EE"/>
    <w:rsid w:val="00B12C9E"/>
    <w:rsid w:val="00B1491A"/>
    <w:rsid w:val="00B20CB3"/>
    <w:rsid w:val="00B22606"/>
    <w:rsid w:val="00B36D94"/>
    <w:rsid w:val="00B52C57"/>
    <w:rsid w:val="00B70390"/>
    <w:rsid w:val="00B859BF"/>
    <w:rsid w:val="00B87C25"/>
    <w:rsid w:val="00BA7BCE"/>
    <w:rsid w:val="00BB0DC4"/>
    <w:rsid w:val="00BC124B"/>
    <w:rsid w:val="00BD164B"/>
    <w:rsid w:val="00BD6FB1"/>
    <w:rsid w:val="00BF05AD"/>
    <w:rsid w:val="00BF068D"/>
    <w:rsid w:val="00C00D92"/>
    <w:rsid w:val="00C07B8B"/>
    <w:rsid w:val="00C62242"/>
    <w:rsid w:val="00C7246E"/>
    <w:rsid w:val="00C855A1"/>
    <w:rsid w:val="00C97D3C"/>
    <w:rsid w:val="00CA749B"/>
    <w:rsid w:val="00CE0A10"/>
    <w:rsid w:val="00CE48B8"/>
    <w:rsid w:val="00CF6497"/>
    <w:rsid w:val="00D10A1B"/>
    <w:rsid w:val="00D257CD"/>
    <w:rsid w:val="00D27190"/>
    <w:rsid w:val="00D32B82"/>
    <w:rsid w:val="00D36DB1"/>
    <w:rsid w:val="00D4007C"/>
    <w:rsid w:val="00D6469B"/>
    <w:rsid w:val="00D6748C"/>
    <w:rsid w:val="00D81588"/>
    <w:rsid w:val="00D871B2"/>
    <w:rsid w:val="00D8734B"/>
    <w:rsid w:val="00DA1B89"/>
    <w:rsid w:val="00DA4339"/>
    <w:rsid w:val="00DA58AC"/>
    <w:rsid w:val="00DA62E6"/>
    <w:rsid w:val="00DE4883"/>
    <w:rsid w:val="00E062F7"/>
    <w:rsid w:val="00E11C69"/>
    <w:rsid w:val="00E1642D"/>
    <w:rsid w:val="00E219DB"/>
    <w:rsid w:val="00E21BCF"/>
    <w:rsid w:val="00E21C6C"/>
    <w:rsid w:val="00E37C9B"/>
    <w:rsid w:val="00E421D5"/>
    <w:rsid w:val="00E828FD"/>
    <w:rsid w:val="00E83C8D"/>
    <w:rsid w:val="00E85516"/>
    <w:rsid w:val="00E91F1D"/>
    <w:rsid w:val="00EA0B0F"/>
    <w:rsid w:val="00EB273B"/>
    <w:rsid w:val="00EB33D7"/>
    <w:rsid w:val="00EC1615"/>
    <w:rsid w:val="00EC5A52"/>
    <w:rsid w:val="00EC6EF1"/>
    <w:rsid w:val="00EE284D"/>
    <w:rsid w:val="00EF09E1"/>
    <w:rsid w:val="00F00C72"/>
    <w:rsid w:val="00F023F3"/>
    <w:rsid w:val="00F03FA1"/>
    <w:rsid w:val="00F15D53"/>
    <w:rsid w:val="00F22516"/>
    <w:rsid w:val="00F3242F"/>
    <w:rsid w:val="00F42E56"/>
    <w:rsid w:val="00F57884"/>
    <w:rsid w:val="00F767BD"/>
    <w:rsid w:val="00F91FC3"/>
    <w:rsid w:val="00F92D8E"/>
    <w:rsid w:val="00F939E5"/>
    <w:rsid w:val="00F97147"/>
    <w:rsid w:val="00FD0C05"/>
    <w:rsid w:val="00FD2875"/>
    <w:rsid w:val="00FF14B3"/>
    <w:rsid w:val="00FF3035"/>
    <w:rsid w:val="00FF54D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85E6A8D-703C-4709-AF05-7B548C3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D3"/>
    <w:pPr>
      <w:bidi/>
    </w:pPr>
    <w:rPr>
      <w:rFonts w:cs="Narkisim"/>
      <w:sz w:val="22"/>
      <w:szCs w:val="22"/>
      <w:lang w:eastAsia="he-IL"/>
    </w:rPr>
  </w:style>
  <w:style w:type="paragraph" w:styleId="1">
    <w:name w:val="heading 1"/>
    <w:basedOn w:val="a"/>
    <w:next w:val="a"/>
    <w:link w:val="10"/>
    <w:qFormat/>
    <w:rsid w:val="00FF54D3"/>
    <w:pPr>
      <w:keepNext/>
      <w:tabs>
        <w:tab w:val="right" w:pos="9469"/>
      </w:tabs>
      <w:jc w:val="both"/>
      <w:outlineLvl w:val="0"/>
    </w:pPr>
    <w:rPr>
      <w:rFonts w:cs="David"/>
      <w:b/>
      <w:bCs/>
      <w:szCs w:val="28"/>
    </w:rPr>
  </w:style>
  <w:style w:type="character" w:default="1" w:styleId="a0">
    <w:name w:val="Default Paragraph Font"/>
    <w:uiPriority w:val="1"/>
    <w:semiHidden/>
    <w:unhideWhenUsed/>
    <w:rsid w:val="00FF54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54D3"/>
  </w:style>
  <w:style w:type="paragraph" w:styleId="a3">
    <w:name w:val="footnote text"/>
    <w:basedOn w:val="a"/>
    <w:link w:val="a4"/>
    <w:rsid w:val="00FF54D3"/>
    <w:pPr>
      <w:ind w:left="170" w:hanging="170"/>
      <w:jc w:val="both"/>
    </w:pPr>
    <w:rPr>
      <w:sz w:val="20"/>
      <w:szCs w:val="20"/>
    </w:rPr>
  </w:style>
  <w:style w:type="character" w:styleId="a5">
    <w:name w:val="footnote reference"/>
    <w:semiHidden/>
    <w:rsid w:val="00FF54D3"/>
    <w:rPr>
      <w:vertAlign w:val="superscript"/>
    </w:rPr>
  </w:style>
  <w:style w:type="paragraph" w:styleId="a6">
    <w:name w:val="header"/>
    <w:basedOn w:val="a"/>
    <w:link w:val="a7"/>
    <w:rsid w:val="00FF54D3"/>
    <w:pPr>
      <w:tabs>
        <w:tab w:val="center" w:pos="4153"/>
        <w:tab w:val="right" w:pos="8306"/>
      </w:tabs>
    </w:pPr>
  </w:style>
  <w:style w:type="paragraph" w:styleId="a8">
    <w:name w:val="footer"/>
    <w:basedOn w:val="a"/>
    <w:link w:val="a9"/>
    <w:rsid w:val="00FF54D3"/>
    <w:pPr>
      <w:tabs>
        <w:tab w:val="center" w:pos="4153"/>
        <w:tab w:val="right" w:pos="8306"/>
      </w:tabs>
    </w:pPr>
  </w:style>
  <w:style w:type="paragraph" w:customStyle="1" w:styleId="aa">
    <w:name w:val="כותרת"/>
    <w:basedOn w:val="a"/>
    <w:rsid w:val="00FF54D3"/>
    <w:pPr>
      <w:spacing w:before="240" w:line="320" w:lineRule="atLeast"/>
      <w:jc w:val="center"/>
    </w:pPr>
    <w:rPr>
      <w:rFonts w:cs="David"/>
      <w:b/>
      <w:bCs/>
      <w:spacing w:val="20"/>
      <w:szCs w:val="32"/>
    </w:rPr>
  </w:style>
  <w:style w:type="paragraph" w:customStyle="1" w:styleId="ab">
    <w:name w:val="כותרת קטע"/>
    <w:basedOn w:val="a"/>
    <w:rsid w:val="00FF54D3"/>
    <w:pPr>
      <w:spacing w:before="240" w:line="300" w:lineRule="atLeast"/>
    </w:pPr>
    <w:rPr>
      <w:rFonts w:cs="Arial"/>
      <w:b/>
      <w:bCs/>
      <w:szCs w:val="24"/>
    </w:rPr>
  </w:style>
  <w:style w:type="paragraph" w:customStyle="1" w:styleId="ac">
    <w:name w:val="מקור"/>
    <w:basedOn w:val="a"/>
    <w:rsid w:val="00FF54D3"/>
    <w:pPr>
      <w:spacing w:line="320" w:lineRule="atLeast"/>
      <w:jc w:val="both"/>
    </w:pPr>
    <w:rPr>
      <w:rFonts w:cs="David"/>
      <w:szCs w:val="24"/>
    </w:rPr>
  </w:style>
  <w:style w:type="paragraph" w:customStyle="1" w:styleId="ad">
    <w:name w:val="מחלקי המים"/>
    <w:basedOn w:val="a"/>
    <w:rsid w:val="00FF54D3"/>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FF54D3"/>
    <w:rPr>
      <w:color w:val="0000FF"/>
      <w:u w:val="single"/>
    </w:rPr>
  </w:style>
  <w:style w:type="paragraph" w:styleId="af">
    <w:name w:val="Balloon Text"/>
    <w:basedOn w:val="a"/>
    <w:link w:val="af0"/>
    <w:uiPriority w:val="99"/>
    <w:semiHidden/>
    <w:unhideWhenUsed/>
    <w:rsid w:val="00FF54D3"/>
    <w:rPr>
      <w:rFonts w:ascii="Tahoma" w:hAnsi="Tahoma" w:cs="Tahoma"/>
      <w:sz w:val="16"/>
      <w:szCs w:val="16"/>
    </w:rPr>
  </w:style>
  <w:style w:type="character" w:customStyle="1" w:styleId="a9">
    <w:name w:val="כותרת תחתונה תו"/>
    <w:link w:val="a8"/>
    <w:rsid w:val="00FF54D3"/>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FF54D3"/>
    <w:rPr>
      <w:rFonts w:cs="Narkisim"/>
      <w:lang w:eastAsia="he-IL"/>
    </w:rPr>
  </w:style>
  <w:style w:type="character" w:customStyle="1" w:styleId="10">
    <w:name w:val="כותרת 1 תו"/>
    <w:link w:val="1"/>
    <w:rsid w:val="00FF54D3"/>
    <w:rPr>
      <w:rFonts w:cs="David"/>
      <w:b/>
      <w:bCs/>
      <w:sz w:val="22"/>
      <w:szCs w:val="28"/>
      <w:lang w:eastAsia="he-IL"/>
    </w:rPr>
  </w:style>
  <w:style w:type="character" w:customStyle="1" w:styleId="a7">
    <w:name w:val="כותרת עליונה תו"/>
    <w:link w:val="a6"/>
    <w:rsid w:val="00FF54D3"/>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FF54D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3%D7%A2%D7%99%D7%9D-%D7%9C%D7%A8%D7%A6%D7%95%D7%AA-%D7%90%D7%AA-%D7%91%D7%95%D7%A8%D7%90%D7%9D" TargetMode="External"/><Relationship Id="rId3" Type="http://schemas.openxmlformats.org/officeDocument/2006/relationships/hyperlink" Target="http://www.mayim.org.il/?parasha=%D7%95%D7%99%D7%9E%D7%A8%D7%95-%D7%A2%D7%9C-%D7%99%D7%9D-%D7%A1%D7%95%D7%A31" TargetMode="External"/><Relationship Id="rId7"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parasha=%D7%9B%D7%9C-%D7%99%D7%A9%D7%A8%D7%90%D7%9C-%D7%A2%D7%A8%D7%91%D7%99%D7%9D-%D7%96%D7%94-%D7%91%D7%96%D7%941" TargetMode="External"/><Relationship Id="rId1" Type="http://schemas.openxmlformats.org/officeDocument/2006/relationships/hyperlink" Target="http://www.mayim.org.il/?parasha=%D7%9E%D7%A4%D7%92%D7%A9-%D7%99%D7%A2%D7%A7%D7%91-%D7%95%D7%A2%D7%A9%D7%95" TargetMode="External"/><Relationship Id="rId6" Type="http://schemas.openxmlformats.org/officeDocument/2006/relationships/hyperlink" Target="http://www.mayim.org.il/?parasha=%d7%a4%d7%a9%d7%95%d7%98%d7%95-%d7%a9%d7%9c-%d7%9e%d7%a7%d7%a8%d7%90" TargetMode="External"/><Relationship Id="rId5" Type="http://schemas.openxmlformats.org/officeDocument/2006/relationships/hyperlink" Target="http://www.mayim.org.il/?parasha=%d7%90%d7%99%d7%9f-%d7%9e%d7%a7%d7%a8%d7%90-%d7%99%d7%95%d7%a6%d7%90-%d7%9e%d7%99%d7%93%d7%99-%d7%a4%d7%a9%d7%95%d7%98%d7%951" TargetMode="External"/><Relationship Id="rId10" Type="http://schemas.openxmlformats.org/officeDocument/2006/relationships/hyperlink" Target="http://www.mayim.org.il/?parasha=%d7%95%d7%a0%d7%aa%d7%9f-%d7%90%d7%9c%d7%99%d7%9a-%d7%90%d7%95%d7%aa-%d7%90%d7%95-%d7%9e%d7%95%d7%a4%d7%aa" TargetMode="External"/><Relationship Id="rId4" Type="http://schemas.openxmlformats.org/officeDocument/2006/relationships/hyperlink" Target="http://www.mayim.org.il/?parasha=%D7%94%D7%90%D7%91%D7%9F-%D7%AA%D7%A9%D7%9E%D7%95%D7%A8-%D7%90%D7%AA-%D7%94%D7%90%D7%91%D7%9F1" TargetMode="External"/><Relationship Id="rId9"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45FD-5318-44D2-91F6-847AAAC8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606</Words>
  <Characters>3034</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3633</CharactersWithSpaces>
  <SharedDoc>false</SharedDoc>
  <HLinks>
    <vt:vector size="60" baseType="variant">
      <vt:variant>
        <vt:i4>7405679</vt:i4>
      </vt:variant>
      <vt:variant>
        <vt:i4>27</vt:i4>
      </vt:variant>
      <vt:variant>
        <vt:i4>0</vt:i4>
      </vt:variant>
      <vt:variant>
        <vt:i4>5</vt:i4>
      </vt:variant>
      <vt:variant>
        <vt:lpwstr>http://www.mayim.org.il/?parasha=%d7%95%d7%a0%d7%aa%d7%9f-%d7%90%d7%9c%d7%99%d7%9a-%d7%90%d7%95%d7%aa-%d7%90%d7%95-%d7%9e%d7%95%d7%a4%d7%aa</vt:lpwstr>
      </vt:variant>
      <vt:variant>
        <vt:lpwstr/>
      </vt:variant>
      <vt:variant>
        <vt:i4>2621556</vt:i4>
      </vt:variant>
      <vt:variant>
        <vt:i4>24</vt:i4>
      </vt:variant>
      <vt:variant>
        <vt:i4>0</vt:i4>
      </vt:variant>
      <vt:variant>
        <vt:i4>5</vt:i4>
      </vt:variant>
      <vt:variant>
        <vt:lpwstr>http://www.mayim.org.il/?parasha=%D7%99%D7%99%D7%9B%D7%AA%D7%91-%D7%A2%D7%95%D7%95%D7%A0%D7%99</vt:lpwstr>
      </vt:variant>
      <vt:variant>
        <vt:lpwstr/>
      </vt:variant>
      <vt:variant>
        <vt:i4>5505039</vt:i4>
      </vt:variant>
      <vt:variant>
        <vt:i4>21</vt:i4>
      </vt:variant>
      <vt:variant>
        <vt:i4>0</vt:i4>
      </vt:variant>
      <vt:variant>
        <vt:i4>5</vt:i4>
      </vt:variant>
      <vt:variant>
        <vt:lpwstr>http://www.mayim.org.il/?holiday=%D7%99%D7%95%D7%93%D7%A2%D7%99%D7%9D-%D7%9C%D7%A8%D7%A6%D7%95%D7%AA-%D7%90%D7%AA-%D7%91%D7%95%D7%A8%D7%90%D7%9D</vt:lpwstr>
      </vt:variant>
      <vt:variant>
        <vt:lpwstr/>
      </vt:variant>
      <vt:variant>
        <vt:i4>2883628</vt:i4>
      </vt:variant>
      <vt:variant>
        <vt:i4>18</vt:i4>
      </vt:variant>
      <vt:variant>
        <vt:i4>0</vt:i4>
      </vt:variant>
      <vt:variant>
        <vt:i4>5</vt:i4>
      </vt:variant>
      <vt:variant>
        <vt:lpwstr>http://www.mayim.org.il/?holiday=%d7%9b%d7%99%d7%a1%d7%95%d7%99-%d7%94%d7%97%d7%98%d7%90-%d7%90%d7%95-%d7%92%d7%99%d7%9c%d7%95%d7%99%d7%95</vt:lpwstr>
      </vt:variant>
      <vt:variant>
        <vt:lpwstr/>
      </vt:variant>
      <vt:variant>
        <vt:i4>5242951</vt:i4>
      </vt:variant>
      <vt:variant>
        <vt:i4>15</vt:i4>
      </vt:variant>
      <vt:variant>
        <vt:i4>0</vt:i4>
      </vt:variant>
      <vt:variant>
        <vt:i4>5</vt:i4>
      </vt:variant>
      <vt:variant>
        <vt:lpwstr>http://www.mayim.org.il/?parasha=%d7%a4%d7%a9%d7%95%d7%98%d7%95-%d7%a9%d7%9c-%d7%9e%d7%a7%d7%a8%d7%90</vt:lpwstr>
      </vt:variant>
      <vt:variant>
        <vt:lpwstr/>
      </vt:variant>
      <vt:variant>
        <vt:i4>6881404</vt:i4>
      </vt:variant>
      <vt:variant>
        <vt:i4>12</vt:i4>
      </vt:variant>
      <vt:variant>
        <vt:i4>0</vt:i4>
      </vt:variant>
      <vt:variant>
        <vt:i4>5</vt:i4>
      </vt:variant>
      <vt:variant>
        <vt:lpwstr>http://www.mayim.org.il/?parasha=%d7%90%d7%99%d7%9f-%d7%9e%d7%a7%d7%a8%d7%90-%d7%99%d7%95%d7%a6%d7%90-%d7%9e%d7%99%d7%93%d7%99-%d7%a4%d7%a9%d7%95%d7%98%d7%951</vt:lpwstr>
      </vt:variant>
      <vt:variant>
        <vt:lpwstr/>
      </vt:variant>
      <vt:variant>
        <vt:i4>7733360</vt:i4>
      </vt:variant>
      <vt:variant>
        <vt:i4>9</vt:i4>
      </vt:variant>
      <vt:variant>
        <vt:i4>0</vt:i4>
      </vt:variant>
      <vt:variant>
        <vt:i4>5</vt:i4>
      </vt:variant>
      <vt:variant>
        <vt:lpwstr>http://www.mayim.org.il/?parasha=%D7%94%D7%90%D7%91%D7%9F-%D7%AA%D7%A9%D7%9E%D7%95%D7%A8-%D7%90%D7%AA-%D7%94%D7%90%D7%91%D7%9F1</vt:lpwstr>
      </vt:variant>
      <vt:variant>
        <vt:lpwstr/>
      </vt:variant>
      <vt:variant>
        <vt:i4>5767178</vt:i4>
      </vt:variant>
      <vt:variant>
        <vt:i4>6</vt:i4>
      </vt:variant>
      <vt:variant>
        <vt:i4>0</vt:i4>
      </vt:variant>
      <vt:variant>
        <vt:i4>5</vt:i4>
      </vt:variant>
      <vt:variant>
        <vt:lpwstr>http://www.mayim.org.il/?parasha=%D7%95%D7%99%D7%9E%D7%A8%D7%95-%D7%A2%D7%9C-%D7%99%D7%9D-%D7%A1%D7%95%D7%A31</vt:lpwstr>
      </vt:variant>
      <vt:variant>
        <vt:lpwstr/>
      </vt:variant>
      <vt:variant>
        <vt:i4>1376339</vt:i4>
      </vt:variant>
      <vt:variant>
        <vt:i4>3</vt:i4>
      </vt:variant>
      <vt:variant>
        <vt:i4>0</vt:i4>
      </vt:variant>
      <vt:variant>
        <vt:i4>5</vt:i4>
      </vt:variant>
      <vt:variant>
        <vt:lpwstr>http://www.mayim.org.il/?parasha=%D7%9B%D7%9C-%D7%99%D7%A9%D7%A8%D7%90%D7%9C-%D7%A2%D7%A8%D7%91%D7%99%D7%9D-%D7%96%D7%94-%D7%91%D7%96%D7%941</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שמעון אפק</cp:lastModifiedBy>
  <cp:revision>2</cp:revision>
  <cp:lastPrinted>2016-05-27T04:40:00Z</cp:lastPrinted>
  <dcterms:created xsi:type="dcterms:W3CDTF">2016-06-02T04:51:00Z</dcterms:created>
  <dcterms:modified xsi:type="dcterms:W3CDTF">2016-06-02T04:51:00Z</dcterms:modified>
</cp:coreProperties>
</file>